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D227D3">
      <w:pPr>
        <w:spacing w:before="2600" w:after="0"/>
        <w:jc w:val="center"/>
      </w:pPr>
      <w:r>
        <w:rPr>
          <w:rFonts w:ascii="微软雅黑" w:hAnsi="微软雅黑" w:eastAsia="微软雅黑" w:cs="微软雅黑"/>
          <w:b/>
          <w:bCs/>
          <w:color w:val="1F4E79"/>
          <w:sz w:val="56"/>
          <w:szCs w:val="56"/>
        </w:rPr>
        <w:t>资金对账系统建设方案</w:t>
      </w:r>
    </w:p>
    <w:p w14:paraId="3322FBAB">
      <w:pPr>
        <w:spacing w:before="200" w:after="0"/>
        <w:jc w:val="center"/>
      </w:pPr>
      <w:r>
        <w:rPr>
          <w:rFonts w:ascii="微软雅黑" w:hAnsi="微软雅黑" w:eastAsia="微软雅黑" w:cs="微软雅黑"/>
          <w:color w:val="555555"/>
          <w:sz w:val="28"/>
          <w:szCs w:val="28"/>
        </w:rPr>
        <w:t>银行流水与财务凭证对账核销 · 逻辑与流程设计</w:t>
      </w:r>
    </w:p>
    <w:p w14:paraId="796F20A4">
      <w:pPr>
        <w:spacing w:before="1400" w:after="0"/>
        <w:jc w:val="center"/>
      </w:pPr>
      <w:r>
        <w:rPr>
          <w:rFonts w:ascii="微软雅黑" w:hAnsi="微软雅黑" w:eastAsia="微软雅黑" w:cs="微软雅黑"/>
          <w:color w:val="888888"/>
          <w:sz w:val="22"/>
          <w:szCs w:val="22"/>
        </w:rPr>
        <w:t>面向月末集中对账场景 · 对账码优先核销 · 分组轧差 · 差异工单闭环</w:t>
      </w:r>
    </w:p>
    <w:p w14:paraId="2F505CE0">
      <w:pPr>
        <w:spacing w:before="200"/>
        <w:jc w:val="center"/>
      </w:pPr>
      <w:r>
        <w:rPr>
          <w:rFonts w:ascii="微软雅黑" w:hAnsi="微软雅黑" w:eastAsia="微软雅黑" w:cs="微软雅黑"/>
          <w:color w:val="888888"/>
          <w:sz w:val="22"/>
          <w:szCs w:val="22"/>
        </w:rPr>
        <w:t>2026 年 6 月</w:t>
      </w:r>
    </w:p>
    <w:p w14:paraId="0BB71C4E">
      <w:r>
        <w:br w:type="page"/>
      </w:r>
    </w:p>
    <w:p w14:paraId="788F8A87">
      <w:pPr>
        <w:pStyle w:val="2"/>
      </w:pPr>
      <w:r>
        <w:rPr>
          <w:rFonts w:ascii="微软雅黑" w:hAnsi="微软雅黑" w:eastAsia="微软雅黑" w:cs="微软雅黑"/>
        </w:rPr>
        <w:t>目录</w:t>
      </w:r>
    </w:p>
    <w:sdt>
      <w:sdtPr>
        <w:alias w:val="目录"/>
        <w:id w:val="753726236"/>
      </w:sdtPr>
      <w:sdtContent>
        <w:p w14:paraId="28606997">
          <w:r>
            <w:fldChar w:fldCharType="begin"/>
          </w:r>
          <w:r>
            <w:instrText xml:space="preserve">TOC \h \o "1-2"</w:instrText>
          </w:r>
          <w:r>
            <w:fldChar w:fldCharType="separate"/>
          </w:r>
        </w:p>
        <w:p w14:paraId="56EF2842">
          <w:r>
            <w:fldChar w:fldCharType="end"/>
          </w:r>
        </w:p>
      </w:sdtContent>
    </w:sdt>
    <w:p w14:paraId="58467D37">
      <w:r>
        <w:br w:type="page"/>
      </w:r>
    </w:p>
    <w:p w14:paraId="5B9E9C32">
      <w:pPr>
        <w:pStyle w:val="2"/>
      </w:pPr>
      <w:r>
        <w:rPr>
          <w:rFonts w:ascii="微软雅黑" w:hAnsi="微软雅黑" w:eastAsia="微软雅黑" w:cs="微软雅黑"/>
        </w:rPr>
        <w:t>一、背景与目标</w:t>
      </w:r>
    </w:p>
    <w:p w14:paraId="5F9398F3">
      <w:pPr>
        <w:spacing w:after="120" w:line="276" w:lineRule="auto"/>
        <w:rPr>
          <w:rFonts w:ascii="微软雅黑" w:hAnsi="微软雅黑" w:eastAsia="微软雅黑" w:cs="微软雅黑"/>
          <w:sz w:val="22"/>
          <w:szCs w:val="22"/>
        </w:rPr>
      </w:pPr>
      <w:r>
        <w:rPr>
          <w:rFonts w:ascii="微软雅黑" w:hAnsi="微软雅黑" w:eastAsia="微软雅黑" w:cs="微软雅黑"/>
          <w:sz w:val="22"/>
          <w:szCs w:val="22"/>
        </w:rPr>
        <w:t>资金系统的银行流水与财务共享系统的会计凭证之间需要逐期完成对账核销。当前以月末集中对账为主，主要痛点集中在三方面：</w:t>
      </w:r>
    </w:p>
    <w:p w14:paraId="080E279F">
      <w:pPr>
        <w:numPr>
          <w:ilvl w:val="0"/>
          <w:numId w:val="1"/>
        </w:numPr>
        <w:spacing w:after="120" w:line="276" w:lineRule="auto"/>
        <w:ind w:left="425" w:leftChars="0" w:hanging="425" w:firstLineChars="0"/>
        <w:rPr>
          <w:rFonts w:ascii="微软雅黑" w:hAnsi="微软雅黑" w:eastAsia="微软雅黑" w:cs="微软雅黑"/>
          <w:sz w:val="22"/>
          <w:szCs w:val="22"/>
        </w:rPr>
      </w:pPr>
      <w:r>
        <w:rPr>
          <w:rFonts w:ascii="微软雅黑" w:hAnsi="微软雅黑" w:eastAsia="微软雅黑" w:cs="微软雅黑"/>
          <w:sz w:val="22"/>
          <w:szCs w:val="22"/>
        </w:rPr>
        <w:t>自动匹配率不足导致大量人工干预</w:t>
      </w:r>
    </w:p>
    <w:p w14:paraId="32814B97">
      <w:pPr>
        <w:numPr>
          <w:ilvl w:val="0"/>
          <w:numId w:val="1"/>
        </w:numPr>
        <w:spacing w:after="120" w:line="276" w:lineRule="auto"/>
        <w:ind w:left="425" w:leftChars="0" w:hanging="425" w:firstLineChars="0"/>
        <w:rPr>
          <w:rFonts w:ascii="微软雅黑" w:hAnsi="微软雅黑" w:eastAsia="微软雅黑" w:cs="微软雅黑"/>
          <w:sz w:val="22"/>
          <w:szCs w:val="22"/>
        </w:rPr>
      </w:pPr>
      <w:r>
        <w:rPr>
          <w:rFonts w:ascii="微软雅黑" w:hAnsi="微软雅黑" w:eastAsia="微软雅黑" w:cs="微软雅黑"/>
          <w:sz w:val="22"/>
          <w:szCs w:val="22"/>
        </w:rPr>
        <w:t>拆分合并交易的匹配复杂</w:t>
      </w:r>
    </w:p>
    <w:p w14:paraId="07CE7B82">
      <w:pPr>
        <w:numPr>
          <w:ilvl w:val="0"/>
          <w:numId w:val="1"/>
        </w:numPr>
        <w:spacing w:after="120" w:line="276" w:lineRule="auto"/>
        <w:ind w:left="425" w:leftChars="0" w:hanging="425" w:firstLineChars="0"/>
      </w:pPr>
      <w:r>
        <w:rPr>
          <w:rFonts w:ascii="微软雅黑" w:hAnsi="微软雅黑" w:eastAsia="微软雅黑" w:cs="微软雅黑"/>
          <w:sz w:val="22"/>
          <w:szCs w:val="22"/>
        </w:rPr>
        <w:t>差异处理过程中跨部门反复沟通、责任不清、月月重复</w:t>
      </w:r>
    </w:p>
    <w:p w14:paraId="2C6E752C">
      <w:pPr>
        <w:spacing w:after="120" w:line="276" w:lineRule="auto"/>
        <w:rPr>
          <w:rFonts w:ascii="微软雅黑" w:hAnsi="微软雅黑" w:eastAsia="微软雅黑" w:cs="微软雅黑"/>
          <w:sz w:val="22"/>
          <w:szCs w:val="22"/>
        </w:rPr>
      </w:pPr>
      <w:r>
        <w:rPr>
          <w:rFonts w:ascii="微软雅黑" w:hAnsi="微软雅黑" w:eastAsia="微软雅黑" w:cs="微软雅黑"/>
          <w:sz w:val="22"/>
          <w:szCs w:val="22"/>
        </w:rPr>
        <w:t>本方案的目标是建立一套以确定性规则为主、AI 辅助兜底的对账核销机制，核心包括三层：</w:t>
      </w:r>
    </w:p>
    <w:p w14:paraId="0A1FBABE">
      <w:pPr>
        <w:numPr>
          <w:ilvl w:val="0"/>
          <w:numId w:val="2"/>
        </w:numPr>
        <w:spacing w:after="120" w:line="276" w:lineRule="auto"/>
        <w:ind w:left="425" w:leftChars="0" w:hanging="425" w:firstLineChars="0"/>
        <w:rPr>
          <w:rFonts w:ascii="微软雅黑" w:hAnsi="微软雅黑" w:eastAsia="微软雅黑" w:cs="微软雅黑"/>
          <w:sz w:val="22"/>
          <w:szCs w:val="22"/>
        </w:rPr>
      </w:pPr>
      <w:r>
        <w:rPr>
          <w:rFonts w:ascii="微软雅黑" w:hAnsi="微软雅黑" w:eastAsia="微软雅黑" w:cs="微软雅黑"/>
          <w:sz w:val="22"/>
          <w:szCs w:val="22"/>
        </w:rPr>
        <w:t>以对账码为强关联键的优先核销链路</w:t>
      </w:r>
    </w:p>
    <w:p w14:paraId="785B1D77">
      <w:pPr>
        <w:numPr>
          <w:ilvl w:val="0"/>
          <w:numId w:val="2"/>
        </w:numPr>
        <w:spacing w:after="120" w:line="276" w:lineRule="auto"/>
        <w:ind w:left="425" w:leftChars="0" w:hanging="425" w:firstLineChars="0"/>
        <w:rPr>
          <w:rFonts w:ascii="微软雅黑" w:hAnsi="微软雅黑" w:eastAsia="微软雅黑" w:cs="微软雅黑"/>
          <w:sz w:val="22"/>
          <w:szCs w:val="22"/>
        </w:rPr>
      </w:pPr>
      <w:r>
        <w:rPr>
          <w:rFonts w:ascii="微软雅黑" w:hAnsi="微软雅黑" w:eastAsia="微软雅黑" w:cs="微软雅黑"/>
          <w:sz w:val="22"/>
          <w:szCs w:val="22"/>
        </w:rPr>
        <w:t>面向拆分合并的分组轧差判定逻辑</w:t>
      </w:r>
    </w:p>
    <w:p w14:paraId="30FF93C0">
      <w:pPr>
        <w:numPr>
          <w:ilvl w:val="0"/>
          <w:numId w:val="2"/>
        </w:numPr>
        <w:spacing w:after="120" w:line="276" w:lineRule="auto"/>
        <w:ind w:left="425" w:leftChars="0" w:hanging="425" w:firstLineChars="0"/>
        <w:rPr>
          <w:rFonts w:ascii="微软雅黑" w:hAnsi="微软雅黑" w:eastAsia="微软雅黑" w:cs="微软雅黑"/>
          <w:sz w:val="22"/>
          <w:szCs w:val="22"/>
        </w:rPr>
      </w:pPr>
      <w:r>
        <w:rPr>
          <w:rFonts w:ascii="微软雅黑" w:hAnsi="微软雅黑" w:eastAsia="微软雅黑" w:cs="微软雅黑"/>
          <w:sz w:val="22"/>
          <w:szCs w:val="22"/>
        </w:rPr>
        <w:t>让差异自动流转闭环的工单机制</w:t>
      </w:r>
    </w:p>
    <w:p w14:paraId="5DB84FB7">
      <w:pPr>
        <w:spacing w:after="120" w:line="276" w:lineRule="auto"/>
      </w:pPr>
      <w:r>
        <w:rPr>
          <w:rFonts w:ascii="微软雅黑" w:hAnsi="微软雅黑" w:eastAsia="微软雅黑" w:cs="微软雅黑"/>
          <w:sz w:val="22"/>
          <w:szCs w:val="22"/>
        </w:rPr>
        <w:t>从而在保证审计可追溯的前提下，最大化自动核销率、最小化月末沟通成本。</w:t>
      </w:r>
    </w:p>
    <w:p w14:paraId="5CA7A418">
      <w:pPr>
        <w:spacing w:after="120" w:line="276" w:lineRule="auto"/>
      </w:pPr>
      <w:r>
        <w:rPr>
          <w:rFonts w:ascii="微软雅黑" w:hAnsi="微软雅黑" w:eastAsia="微软雅黑" w:cs="微软雅黑"/>
          <w:b/>
          <w:bCs/>
          <w:sz w:val="22"/>
          <w:szCs w:val="22"/>
        </w:rPr>
        <w:t>设计原则：</w:t>
      </w:r>
      <w:r>
        <w:rPr>
          <w:rFonts w:ascii="微软雅黑" w:hAnsi="微软雅黑" w:eastAsia="微软雅黑" w:cs="微软雅黑"/>
          <w:sz w:val="22"/>
          <w:szCs w:val="22"/>
        </w:rPr>
        <w:t>对账主链路由规则引擎承担（快、准、可审计），AI 仅用于规则覆盖不到的尾部疑难项；所有核销与挂账全程留痕，自动与人工动作可清晰区分。</w:t>
      </w:r>
    </w:p>
    <w:p w14:paraId="1E08311A">
      <w:pPr>
        <w:pStyle w:val="2"/>
      </w:pPr>
      <w:r>
        <w:rPr>
          <w:rFonts w:ascii="微软雅黑" w:hAnsi="微软雅黑" w:eastAsia="微软雅黑" w:cs="微软雅黑"/>
        </w:rPr>
        <w:t>二、对账数据模型与字段归一化</w:t>
      </w:r>
    </w:p>
    <w:p w14:paraId="46176414">
      <w:pPr>
        <w:spacing w:after="120" w:line="276" w:lineRule="auto"/>
      </w:pPr>
      <w:r>
        <w:rPr>
          <w:rFonts w:ascii="微软雅黑" w:hAnsi="微软雅黑" w:eastAsia="微软雅黑" w:cs="微软雅黑"/>
          <w:sz w:val="22"/>
          <w:szCs w:val="22"/>
        </w:rPr>
        <w:t>两侧数据先抽取为统一的对账中间表，字段对齐是后续一切匹配的基础。</w:t>
      </w:r>
    </w:p>
    <w:p w14:paraId="6484105F">
      <w:pPr>
        <w:pStyle w:val="3"/>
      </w:pPr>
      <w:r>
        <w:rPr>
          <w:rFonts w:ascii="微软雅黑" w:hAnsi="微软雅黑" w:eastAsia="微软雅黑" w:cs="微软雅黑"/>
        </w:rPr>
        <w:t>2.1 统一中间表字段</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3510"/>
        <w:gridCol w:w="3510"/>
      </w:tblGrid>
      <w:tr w14:paraId="1E5B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4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10" w:type="dxa"/>
              <w:bottom w:w="60" w:type="dxa"/>
              <w:right w:w="110" w:type="dxa"/>
            </w:tcMar>
          </w:tcPr>
          <w:p w14:paraId="53CFF7FA">
            <w:pPr>
              <w:spacing w:after="0" w:line="252" w:lineRule="auto"/>
              <w:jc w:val="center"/>
            </w:pPr>
            <w:r>
              <w:rPr>
                <w:rFonts w:ascii="微软雅黑" w:hAnsi="微软雅黑" w:eastAsia="微软雅黑" w:cs="微软雅黑"/>
                <w:b/>
                <w:bCs/>
                <w:color w:val="FFFFFF"/>
                <w:sz w:val="20"/>
                <w:szCs w:val="20"/>
              </w:rPr>
              <w:t>数据侧</w:t>
            </w:r>
          </w:p>
        </w:tc>
        <w:tc>
          <w:tcPr>
            <w:tcW w:w="351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10" w:type="dxa"/>
              <w:bottom w:w="60" w:type="dxa"/>
              <w:right w:w="110" w:type="dxa"/>
            </w:tcMar>
          </w:tcPr>
          <w:p w14:paraId="57FC9146">
            <w:pPr>
              <w:spacing w:after="0" w:line="252" w:lineRule="auto"/>
              <w:jc w:val="center"/>
            </w:pPr>
            <w:r>
              <w:rPr>
                <w:rFonts w:ascii="微软雅黑" w:hAnsi="微软雅黑" w:eastAsia="微软雅黑" w:cs="微软雅黑"/>
                <w:b/>
                <w:bCs/>
                <w:color w:val="FFFFFF"/>
                <w:sz w:val="20"/>
                <w:szCs w:val="20"/>
              </w:rPr>
              <w:t>关键字段</w:t>
            </w:r>
          </w:p>
        </w:tc>
        <w:tc>
          <w:tcPr>
            <w:tcW w:w="351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10" w:type="dxa"/>
              <w:bottom w:w="60" w:type="dxa"/>
              <w:right w:w="110" w:type="dxa"/>
            </w:tcMar>
          </w:tcPr>
          <w:p w14:paraId="70EB18D5">
            <w:pPr>
              <w:spacing w:after="0" w:line="252" w:lineRule="auto"/>
              <w:jc w:val="center"/>
            </w:pPr>
            <w:r>
              <w:rPr>
                <w:rFonts w:ascii="微软雅黑" w:hAnsi="微软雅黑" w:eastAsia="微软雅黑" w:cs="微软雅黑"/>
                <w:b/>
                <w:bCs/>
                <w:color w:val="FFFFFF"/>
                <w:sz w:val="20"/>
                <w:szCs w:val="20"/>
              </w:rPr>
              <w:t>说明</w:t>
            </w:r>
          </w:p>
        </w:tc>
      </w:tr>
      <w:tr w14:paraId="153B7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67A54D06">
            <w:pPr>
              <w:spacing w:after="0" w:line="252" w:lineRule="auto"/>
            </w:pPr>
            <w:r>
              <w:rPr>
                <w:rFonts w:ascii="微软雅黑" w:hAnsi="微软雅黑" w:eastAsia="微软雅黑" w:cs="微软雅黑"/>
                <w:sz w:val="20"/>
                <w:szCs w:val="20"/>
              </w:rPr>
              <w:t>银行流水侧</w:t>
            </w:r>
          </w:p>
        </w:tc>
        <w:tc>
          <w:tcPr>
            <w:tcW w:w="351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53F788E8">
            <w:pPr>
              <w:spacing w:after="0" w:line="252" w:lineRule="auto"/>
            </w:pPr>
            <w:r>
              <w:rPr>
                <w:rFonts w:ascii="微软雅黑" w:hAnsi="微软雅黑" w:eastAsia="微软雅黑" w:cs="微软雅黑"/>
                <w:sz w:val="20"/>
                <w:szCs w:val="20"/>
              </w:rPr>
              <w:t>交易日期、入账日期、金额、收付方向、本方账号、对手方户名、对手方账号、摘要/附言、银行流水号、对账码</w:t>
            </w:r>
          </w:p>
        </w:tc>
        <w:tc>
          <w:tcPr>
            <w:tcW w:w="351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0A0CEA8E">
            <w:pPr>
              <w:spacing w:after="0" w:line="252" w:lineRule="auto"/>
            </w:pPr>
            <w:r>
              <w:rPr>
                <w:rFonts w:ascii="微软雅黑" w:hAnsi="微软雅黑" w:eastAsia="微软雅黑" w:cs="微软雅黑"/>
                <w:sz w:val="20"/>
                <w:szCs w:val="20"/>
              </w:rPr>
              <w:t>以银行流水号、对账码为关联键</w:t>
            </w:r>
          </w:p>
        </w:tc>
      </w:tr>
      <w:tr w14:paraId="21622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2A10B62E">
            <w:pPr>
              <w:spacing w:after="0" w:line="252" w:lineRule="auto"/>
            </w:pPr>
            <w:r>
              <w:rPr>
                <w:rFonts w:ascii="微软雅黑" w:hAnsi="微软雅黑" w:eastAsia="微软雅黑" w:cs="微软雅黑"/>
                <w:sz w:val="20"/>
                <w:szCs w:val="20"/>
              </w:rPr>
              <w:t>财务凭证侧</w:t>
            </w:r>
          </w:p>
        </w:tc>
        <w:tc>
          <w:tcPr>
            <w:tcW w:w="351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58A67F9B">
            <w:pPr>
              <w:spacing w:after="0" w:line="252" w:lineRule="auto"/>
            </w:pPr>
            <w:r>
              <w:rPr>
                <w:rFonts w:ascii="微软雅黑" w:hAnsi="微软雅黑" w:eastAsia="微软雅黑" w:cs="微软雅黑"/>
                <w:sz w:val="20"/>
                <w:szCs w:val="20"/>
              </w:rPr>
              <w:t>凭证日期、业务日期、金额、借贷方向、科目、往来对象、摘要、凭证号、关联业务单号、对账码</w:t>
            </w:r>
          </w:p>
        </w:tc>
        <w:tc>
          <w:tcPr>
            <w:tcW w:w="351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21C5373C">
            <w:pPr>
              <w:spacing w:after="0" w:line="252" w:lineRule="auto"/>
            </w:pPr>
            <w:r>
              <w:rPr>
                <w:rFonts w:ascii="微软雅黑" w:hAnsi="微软雅黑" w:eastAsia="微软雅黑" w:cs="微软雅黑"/>
                <w:sz w:val="20"/>
                <w:szCs w:val="20"/>
              </w:rPr>
              <w:t>以业务单号、对账码为关联键</w:t>
            </w:r>
          </w:p>
        </w:tc>
      </w:tr>
    </w:tbl>
    <w:p w14:paraId="0DE5121C">
      <w:pPr>
        <w:spacing w:after="80"/>
      </w:pPr>
    </w:p>
    <w:p w14:paraId="1F814A32">
      <w:pPr>
        <w:pStyle w:val="3"/>
      </w:pPr>
      <w:r>
        <w:rPr>
          <w:rFonts w:ascii="微软雅黑" w:hAnsi="微软雅黑" w:eastAsia="微软雅黑" w:cs="微软雅黑"/>
        </w:rPr>
        <w:t>2.2 字段归一化规则</w:t>
      </w:r>
    </w:p>
    <w:p w14:paraId="1B83A6B8">
      <w:pPr>
        <w:pStyle w:val="16"/>
        <w:numPr>
          <w:ilvl w:val="0"/>
          <w:numId w:val="3"/>
        </w:numPr>
        <w:spacing w:after="80" w:line="264" w:lineRule="auto"/>
      </w:pPr>
      <w:r>
        <w:rPr>
          <w:rFonts w:ascii="微软雅黑" w:hAnsi="微软雅黑" w:eastAsia="微软雅黑" w:cs="微软雅黑"/>
          <w:b/>
          <w:bCs/>
          <w:sz w:val="22"/>
          <w:szCs w:val="22"/>
        </w:rPr>
        <w:t>方向：</w:t>
      </w:r>
      <w:r>
        <w:rPr>
          <w:rFonts w:ascii="微软雅黑" w:hAnsi="微软雅黑" w:eastAsia="微软雅黑" w:cs="微软雅黑"/>
          <w:sz w:val="22"/>
          <w:szCs w:val="22"/>
        </w:rPr>
        <w:t>方向统一：银行收/付与财务借/贷按固定映射表转换为统一方向标识，映射规则需先行约定并固化。</w:t>
      </w:r>
    </w:p>
    <w:p w14:paraId="05F09EF5">
      <w:pPr>
        <w:pStyle w:val="16"/>
        <w:numPr>
          <w:ilvl w:val="0"/>
          <w:numId w:val="3"/>
        </w:numPr>
        <w:spacing w:after="80" w:line="264" w:lineRule="auto"/>
      </w:pPr>
      <w:r>
        <w:rPr>
          <w:rFonts w:ascii="微软雅黑" w:hAnsi="微软雅黑" w:eastAsia="微软雅黑" w:cs="微软雅黑"/>
          <w:b/>
          <w:bCs/>
          <w:sz w:val="22"/>
          <w:szCs w:val="22"/>
        </w:rPr>
        <w:t>金额：</w:t>
      </w:r>
      <w:r>
        <w:rPr>
          <w:rFonts w:ascii="微软雅黑" w:hAnsi="微软雅黑" w:eastAsia="微软雅黑" w:cs="微软雅黑"/>
          <w:sz w:val="22"/>
          <w:szCs w:val="22"/>
        </w:rPr>
        <w:t>金额统一符号与精度，统一保留到分（2 位小数），比较前四舍五入归一，避免浮点误差造成假差异。</w:t>
      </w:r>
    </w:p>
    <w:p w14:paraId="06B4F023">
      <w:pPr>
        <w:pStyle w:val="16"/>
        <w:numPr>
          <w:ilvl w:val="0"/>
          <w:numId w:val="3"/>
        </w:numPr>
        <w:spacing w:after="80" w:line="264" w:lineRule="auto"/>
      </w:pPr>
      <w:r>
        <w:rPr>
          <w:rFonts w:ascii="微软雅黑" w:hAnsi="微软雅黑" w:eastAsia="微软雅黑" w:cs="微软雅黑"/>
          <w:b/>
          <w:bCs/>
          <w:sz w:val="22"/>
          <w:szCs w:val="22"/>
        </w:rPr>
        <w:t>日期：</w:t>
      </w:r>
      <w:r>
        <w:rPr>
          <w:rFonts w:ascii="微软雅黑" w:hAnsi="微软雅黑" w:eastAsia="微软雅黑" w:cs="微软雅黑"/>
          <w:sz w:val="22"/>
          <w:szCs w:val="22"/>
        </w:rPr>
        <w:t>日期统一格式，并区分交易日期与入账/记账日期，供后续时间容差判断。</w:t>
      </w:r>
    </w:p>
    <w:p w14:paraId="26AF2B77">
      <w:pPr>
        <w:pStyle w:val="16"/>
        <w:numPr>
          <w:ilvl w:val="0"/>
          <w:numId w:val="3"/>
        </w:numPr>
        <w:spacing w:after="80" w:line="264" w:lineRule="auto"/>
      </w:pPr>
      <w:r>
        <w:rPr>
          <w:rFonts w:ascii="微软雅黑" w:hAnsi="微软雅黑" w:eastAsia="微软雅黑" w:cs="微软雅黑"/>
          <w:b/>
          <w:bCs/>
          <w:sz w:val="22"/>
          <w:szCs w:val="22"/>
        </w:rPr>
        <w:t>名称：</w:t>
      </w:r>
      <w:r>
        <w:rPr>
          <w:rFonts w:ascii="微软雅黑" w:hAnsi="微软雅黑" w:eastAsia="微软雅黑" w:cs="微软雅黑"/>
          <w:sz w:val="22"/>
          <w:szCs w:val="22"/>
        </w:rPr>
        <w:t>户名/对手方标准化：去空格、全半角统一、并维护简称别名表，供模糊匹配使用。</w:t>
      </w:r>
    </w:p>
    <w:p w14:paraId="641237CC">
      <w:pPr>
        <w:pStyle w:val="2"/>
      </w:pPr>
      <w:r>
        <w:rPr>
          <w:rFonts w:ascii="微软雅黑" w:hAnsi="微软雅黑" w:eastAsia="微软雅黑" w:cs="微软雅黑"/>
        </w:rPr>
        <w:t>三、分层匹配策略</w:t>
      </w:r>
    </w:p>
    <w:p w14:paraId="171DF074">
      <w:pPr>
        <w:spacing w:after="120" w:line="276" w:lineRule="auto"/>
      </w:pPr>
      <w:r>
        <w:rPr>
          <w:rFonts w:ascii="微软雅黑" w:hAnsi="微软雅黑" w:eastAsia="微软雅黑" w:cs="微软雅黑"/>
          <w:sz w:val="22"/>
          <w:szCs w:val="22"/>
        </w:rPr>
        <w:t>按匹配置信度从高到低分层执行，每一层匹配成功的记录即锁定，不再进入下一层。</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200"/>
        <w:gridCol w:w="2880"/>
        <w:gridCol w:w="1880"/>
      </w:tblGrid>
      <w:tr w14:paraId="25C72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10" w:type="dxa"/>
              <w:bottom w:w="60" w:type="dxa"/>
              <w:right w:w="110" w:type="dxa"/>
            </w:tcMar>
          </w:tcPr>
          <w:p w14:paraId="5E16614C">
            <w:pPr>
              <w:spacing w:after="0" w:line="252" w:lineRule="auto"/>
              <w:jc w:val="center"/>
            </w:pPr>
            <w:r>
              <w:rPr>
                <w:rFonts w:ascii="微软雅黑" w:hAnsi="微软雅黑" w:eastAsia="微软雅黑" w:cs="微软雅黑"/>
                <w:b/>
                <w:bCs/>
                <w:color w:val="FFFFFF"/>
                <w:sz w:val="20"/>
                <w:szCs w:val="20"/>
              </w:rPr>
              <w:t>层级</w:t>
            </w:r>
          </w:p>
        </w:tc>
        <w:tc>
          <w:tcPr>
            <w:tcW w:w="3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10" w:type="dxa"/>
              <w:bottom w:w="60" w:type="dxa"/>
              <w:right w:w="110" w:type="dxa"/>
            </w:tcMar>
          </w:tcPr>
          <w:p w14:paraId="6AE1F7BD">
            <w:pPr>
              <w:spacing w:after="0" w:line="252" w:lineRule="auto"/>
              <w:jc w:val="center"/>
            </w:pPr>
            <w:r>
              <w:rPr>
                <w:rFonts w:ascii="微软雅黑" w:hAnsi="微软雅黑" w:eastAsia="微软雅黑" w:cs="微软雅黑"/>
                <w:b/>
                <w:bCs/>
                <w:color w:val="FFFFFF"/>
                <w:sz w:val="20"/>
                <w:szCs w:val="20"/>
              </w:rPr>
              <w:t>匹配方式</w:t>
            </w:r>
          </w:p>
        </w:tc>
        <w:tc>
          <w:tcPr>
            <w:tcW w:w="288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10" w:type="dxa"/>
              <w:bottom w:w="60" w:type="dxa"/>
              <w:right w:w="110" w:type="dxa"/>
            </w:tcMar>
          </w:tcPr>
          <w:p w14:paraId="4E479BA1">
            <w:pPr>
              <w:spacing w:after="0" w:line="252" w:lineRule="auto"/>
              <w:jc w:val="center"/>
            </w:pPr>
            <w:r>
              <w:rPr>
                <w:rFonts w:ascii="微软雅黑" w:hAnsi="微软雅黑" w:eastAsia="微软雅黑" w:cs="微软雅黑"/>
                <w:b/>
                <w:bCs/>
                <w:color w:val="FFFFFF"/>
                <w:sz w:val="20"/>
                <w:szCs w:val="20"/>
              </w:rPr>
              <w:t>适用场景</w:t>
            </w:r>
          </w:p>
        </w:tc>
        <w:tc>
          <w:tcPr>
            <w:tcW w:w="188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10" w:type="dxa"/>
              <w:bottom w:w="60" w:type="dxa"/>
              <w:right w:w="110" w:type="dxa"/>
            </w:tcMar>
          </w:tcPr>
          <w:p w14:paraId="38C8A3BB">
            <w:pPr>
              <w:spacing w:after="0" w:line="252" w:lineRule="auto"/>
              <w:jc w:val="center"/>
            </w:pPr>
            <w:r>
              <w:rPr>
                <w:rFonts w:ascii="微软雅黑" w:hAnsi="微软雅黑" w:eastAsia="微软雅黑" w:cs="微软雅黑"/>
                <w:b/>
                <w:bCs/>
                <w:color w:val="FFFFFF"/>
                <w:sz w:val="20"/>
                <w:szCs w:val="20"/>
              </w:rPr>
              <w:t>置信度</w:t>
            </w:r>
          </w:p>
        </w:tc>
      </w:tr>
      <w:tr w14:paraId="059A0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085DFB2E">
            <w:pPr>
              <w:spacing w:after="0" w:line="252" w:lineRule="auto"/>
            </w:pPr>
            <w:r>
              <w:rPr>
                <w:rFonts w:ascii="微软雅黑" w:hAnsi="微软雅黑" w:eastAsia="微软雅黑" w:cs="微软雅黑"/>
                <w:sz w:val="20"/>
                <w:szCs w:val="20"/>
              </w:rPr>
              <w:t>第 1 层</w:t>
            </w:r>
          </w:p>
        </w:tc>
        <w:tc>
          <w:tcPr>
            <w:tcW w:w="320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3B9303FD">
            <w:pPr>
              <w:spacing w:after="0" w:line="252" w:lineRule="auto"/>
            </w:pPr>
            <w:r>
              <w:rPr>
                <w:rFonts w:ascii="微软雅黑" w:hAnsi="微软雅黑" w:eastAsia="微软雅黑" w:cs="微软雅黑"/>
                <w:sz w:val="20"/>
                <w:szCs w:val="20"/>
              </w:rPr>
              <w:t>对账码精确匹配 / 分组轧差</w:t>
            </w:r>
          </w:p>
        </w:tc>
        <w:tc>
          <w:tcPr>
            <w:tcW w:w="288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79C9F9C4">
            <w:pPr>
              <w:spacing w:after="0" w:line="252" w:lineRule="auto"/>
            </w:pPr>
            <w:r>
              <w:rPr>
                <w:rFonts w:ascii="微软雅黑" w:hAnsi="微软雅黑" w:eastAsia="微软雅黑" w:cs="微软雅黑"/>
                <w:sz w:val="20"/>
                <w:szCs w:val="20"/>
              </w:rPr>
              <w:t>存在对账码（主力链路）</w:t>
            </w:r>
          </w:p>
        </w:tc>
        <w:tc>
          <w:tcPr>
            <w:tcW w:w="188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4B5CADAC">
            <w:pPr>
              <w:spacing w:after="0" w:line="252" w:lineRule="auto"/>
            </w:pPr>
            <w:r>
              <w:rPr>
                <w:rFonts w:ascii="微软雅黑" w:hAnsi="微软雅黑" w:eastAsia="微软雅黑" w:cs="微软雅黑"/>
                <w:sz w:val="20"/>
                <w:szCs w:val="20"/>
              </w:rPr>
              <w:t>高</w:t>
            </w:r>
          </w:p>
        </w:tc>
      </w:tr>
      <w:tr w14:paraId="0FB39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375F6747">
            <w:pPr>
              <w:spacing w:after="0" w:line="252" w:lineRule="auto"/>
            </w:pPr>
            <w:r>
              <w:rPr>
                <w:rFonts w:ascii="微软雅黑" w:hAnsi="微软雅黑" w:eastAsia="微软雅黑" w:cs="微软雅黑"/>
                <w:sz w:val="20"/>
                <w:szCs w:val="20"/>
              </w:rPr>
              <w:t>第 2 层</w:t>
            </w:r>
          </w:p>
        </w:tc>
        <w:tc>
          <w:tcPr>
            <w:tcW w:w="320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4B63A625">
            <w:pPr>
              <w:spacing w:after="0" w:line="252" w:lineRule="auto"/>
            </w:pPr>
            <w:r>
              <w:rPr>
                <w:rFonts w:ascii="微软雅黑" w:hAnsi="微软雅黑" w:eastAsia="微软雅黑" w:cs="微软雅黑"/>
                <w:sz w:val="20"/>
                <w:szCs w:val="20"/>
              </w:rPr>
              <w:t>多字段组合精确匹配（金额+方向+账号+日期）</w:t>
            </w:r>
          </w:p>
        </w:tc>
        <w:tc>
          <w:tcPr>
            <w:tcW w:w="288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623DDEF1">
            <w:pPr>
              <w:spacing w:after="0" w:line="252" w:lineRule="auto"/>
            </w:pPr>
            <w:r>
              <w:rPr>
                <w:rFonts w:ascii="微软雅黑" w:hAnsi="微软雅黑" w:eastAsia="微软雅黑" w:cs="微软雅黑"/>
                <w:sz w:val="20"/>
                <w:szCs w:val="20"/>
              </w:rPr>
              <w:t>无对账码、有强字段</w:t>
            </w:r>
          </w:p>
        </w:tc>
        <w:tc>
          <w:tcPr>
            <w:tcW w:w="188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427F4DD5">
            <w:pPr>
              <w:spacing w:after="0" w:line="252" w:lineRule="auto"/>
            </w:pPr>
            <w:r>
              <w:rPr>
                <w:rFonts w:ascii="微软雅黑" w:hAnsi="微软雅黑" w:eastAsia="微软雅黑" w:cs="微软雅黑"/>
                <w:sz w:val="20"/>
                <w:szCs w:val="20"/>
              </w:rPr>
              <w:t>高</w:t>
            </w:r>
          </w:p>
        </w:tc>
      </w:tr>
      <w:tr w14:paraId="6ADE9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0299D887">
            <w:pPr>
              <w:spacing w:after="0" w:line="252" w:lineRule="auto"/>
            </w:pPr>
            <w:r>
              <w:rPr>
                <w:rFonts w:ascii="微软雅黑" w:hAnsi="微软雅黑" w:eastAsia="微软雅黑" w:cs="微软雅黑"/>
                <w:sz w:val="20"/>
                <w:szCs w:val="20"/>
              </w:rPr>
              <w:t>第 3 层</w:t>
            </w:r>
          </w:p>
        </w:tc>
        <w:tc>
          <w:tcPr>
            <w:tcW w:w="320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0D35AF51">
            <w:pPr>
              <w:spacing w:after="0" w:line="252" w:lineRule="auto"/>
            </w:pPr>
            <w:r>
              <w:rPr>
                <w:rFonts w:ascii="微软雅黑" w:hAnsi="微软雅黑" w:eastAsia="微软雅黑" w:cs="微软雅黑"/>
                <w:sz w:val="20"/>
                <w:szCs w:val="20"/>
              </w:rPr>
              <w:t>一对多 / 多对一凑数匹配（subset-sum）</w:t>
            </w:r>
          </w:p>
        </w:tc>
        <w:tc>
          <w:tcPr>
            <w:tcW w:w="288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017B81A8">
            <w:pPr>
              <w:spacing w:after="0" w:line="252" w:lineRule="auto"/>
            </w:pPr>
            <w:r>
              <w:rPr>
                <w:rFonts w:ascii="微软雅黑" w:hAnsi="微软雅黑" w:eastAsia="微软雅黑" w:cs="微软雅黑"/>
                <w:sz w:val="20"/>
                <w:szCs w:val="20"/>
              </w:rPr>
              <w:t>拆分合并、码缺失</w:t>
            </w:r>
          </w:p>
        </w:tc>
        <w:tc>
          <w:tcPr>
            <w:tcW w:w="188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06825F06">
            <w:pPr>
              <w:spacing w:after="0" w:line="252" w:lineRule="auto"/>
            </w:pPr>
            <w:r>
              <w:rPr>
                <w:rFonts w:ascii="微软雅黑" w:hAnsi="微软雅黑" w:eastAsia="微软雅黑" w:cs="微软雅黑"/>
                <w:sz w:val="20"/>
                <w:szCs w:val="20"/>
              </w:rPr>
              <w:t>中</w:t>
            </w:r>
          </w:p>
        </w:tc>
      </w:tr>
      <w:tr w14:paraId="1BDB0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7EB9E4AB">
            <w:pPr>
              <w:spacing w:after="0" w:line="252" w:lineRule="auto"/>
            </w:pPr>
            <w:r>
              <w:rPr>
                <w:rFonts w:ascii="微软雅黑" w:hAnsi="微软雅黑" w:eastAsia="微软雅黑" w:cs="微软雅黑"/>
                <w:sz w:val="20"/>
                <w:szCs w:val="20"/>
              </w:rPr>
              <w:t>第 4 层</w:t>
            </w:r>
          </w:p>
        </w:tc>
        <w:tc>
          <w:tcPr>
            <w:tcW w:w="320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04461395">
            <w:pPr>
              <w:spacing w:after="0" w:line="252" w:lineRule="auto"/>
            </w:pPr>
            <w:r>
              <w:rPr>
                <w:rFonts w:ascii="微软雅黑" w:hAnsi="微软雅黑" w:eastAsia="微软雅黑" w:cs="微软雅黑"/>
                <w:sz w:val="20"/>
                <w:szCs w:val="20"/>
              </w:rPr>
              <w:t>模糊匹配（相似度+别名表，AI 语义兜底）</w:t>
            </w:r>
          </w:p>
        </w:tc>
        <w:tc>
          <w:tcPr>
            <w:tcW w:w="288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39B0F26A">
            <w:pPr>
              <w:spacing w:after="0" w:line="252" w:lineRule="auto"/>
            </w:pPr>
            <w:r>
              <w:rPr>
                <w:rFonts w:ascii="微软雅黑" w:hAnsi="微软雅黑" w:eastAsia="微软雅黑" w:cs="微软雅黑"/>
                <w:sz w:val="20"/>
                <w:szCs w:val="20"/>
              </w:rPr>
              <w:t>摘要/户名不规范的尾部</w:t>
            </w:r>
          </w:p>
        </w:tc>
        <w:tc>
          <w:tcPr>
            <w:tcW w:w="188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5CCA109F">
            <w:pPr>
              <w:spacing w:after="0" w:line="252" w:lineRule="auto"/>
            </w:pPr>
            <w:r>
              <w:rPr>
                <w:rFonts w:ascii="微软雅黑" w:hAnsi="微软雅黑" w:eastAsia="微软雅黑" w:cs="微软雅黑"/>
                <w:sz w:val="20"/>
                <w:szCs w:val="20"/>
              </w:rPr>
              <w:t>低，需人工确认</w:t>
            </w:r>
          </w:p>
        </w:tc>
      </w:tr>
    </w:tbl>
    <w:p w14:paraId="68F926AE">
      <w:pPr>
        <w:spacing w:after="80"/>
      </w:pPr>
    </w:p>
    <w:p w14:paraId="3F5E10E8">
      <w:pPr>
        <w:spacing w:after="120" w:line="276" w:lineRule="auto"/>
      </w:pPr>
      <w:r>
        <w:rPr>
          <w:rFonts w:ascii="微软雅黑" w:hAnsi="微软雅黑" w:eastAsia="微软雅黑" w:cs="微软雅黑"/>
          <w:b/>
          <w:bCs/>
          <w:sz w:val="22"/>
          <w:szCs w:val="22"/>
        </w:rPr>
        <w:t>AI 介入边界：</w:t>
      </w:r>
      <w:r>
        <w:rPr>
          <w:rFonts w:ascii="微软雅黑" w:hAnsi="微软雅黑" w:eastAsia="微软雅黑" w:cs="微软雅黑"/>
          <w:sz w:val="22"/>
          <w:szCs w:val="22"/>
        </w:rPr>
        <w:t>仅第 4 层语义判断与第 3 层凑数归属判断使用 AI，且 AI 不替代金额校验——金额必须精确轧平，AI 只辅助判断归属与生成说明。</w:t>
      </w:r>
    </w:p>
    <w:p w14:paraId="10F860AE">
      <w:pPr>
        <w:pStyle w:val="2"/>
      </w:pPr>
      <w:r>
        <w:rPr>
          <w:rFonts w:ascii="微软雅黑" w:hAnsi="微软雅黑" w:eastAsia="微软雅黑" w:cs="微软雅黑"/>
        </w:rPr>
        <w:t>四、对账码分组轧差判定逻辑</w:t>
      </w:r>
    </w:p>
    <w:p w14:paraId="1F181BA2">
      <w:pPr>
        <w:spacing w:after="120" w:line="276" w:lineRule="auto"/>
      </w:pPr>
      <w:r>
        <w:rPr>
          <w:rFonts w:ascii="微软雅黑" w:hAnsi="微软雅黑" w:eastAsia="微软雅黑" w:cs="微软雅黑"/>
          <w:sz w:val="22"/>
          <w:szCs w:val="22"/>
        </w:rPr>
        <w:t>分组轧差是自动核销率的决定性环节。其精髓为：有码优先信任整组轧平、轧不平再下钻子集、并以置信度划清自动与人工的边界。</w:t>
      </w:r>
    </w:p>
    <w:p w14:paraId="2E3854E8">
      <w:pPr>
        <w:pStyle w:val="3"/>
      </w:pPr>
      <w:r>
        <w:rPr>
          <w:rFonts w:ascii="微软雅黑" w:hAnsi="微软雅黑" w:eastAsia="微软雅黑" w:cs="微软雅黑"/>
        </w:rPr>
        <w:t>4.1 分组与预处理</w:t>
      </w:r>
    </w:p>
    <w:p w14:paraId="7A94B468">
      <w:pPr>
        <w:spacing w:after="120" w:line="276" w:lineRule="auto"/>
      </w:pPr>
      <w:r>
        <w:rPr>
          <w:rFonts w:ascii="微软雅黑" w:hAnsi="微软雅黑" w:eastAsia="微软雅黑" w:cs="微软雅黑"/>
          <w:sz w:val="22"/>
          <w:szCs w:val="22"/>
        </w:rPr>
        <w:t>按对账码将两侧流水各自归组，组内计算汇总值并做方向校验。</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76FC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BBBBBB" w:sz="0" w:space="0"/>
              <w:left w:val="single" w:color="BBBBBB" w:sz="0" w:space="0"/>
              <w:bottom w:val="single" w:color="BBBBBB" w:sz="0" w:space="0"/>
              <w:right w:val="single" w:color="BBBBBB" w:sz="0" w:space="0"/>
            </w:tcBorders>
            <w:shd w:val="clear" w:color="auto" w:fill="F4F6F8"/>
            <w:tcMar>
              <w:top w:w="100" w:type="dxa"/>
              <w:left w:w="160" w:type="dxa"/>
              <w:bottom w:w="100" w:type="dxa"/>
              <w:right w:w="160" w:type="dxa"/>
            </w:tcMar>
          </w:tcPr>
          <w:p w14:paraId="31FC62AC">
            <w:pPr>
              <w:spacing w:after="0" w:line="240" w:lineRule="auto"/>
            </w:pPr>
            <w:r>
              <w:rPr>
                <w:rFonts w:ascii="Consolas" w:hAnsi="Consolas" w:eastAsia="Consolas" w:cs="Consolas"/>
                <w:sz w:val="18"/>
                <w:szCs w:val="18"/>
              </w:rPr>
              <w:t>对每个对账码 code：</w:t>
            </w:r>
          </w:p>
          <w:p w14:paraId="0D109F65">
            <w:pPr>
              <w:spacing w:after="0" w:line="240" w:lineRule="auto"/>
            </w:pPr>
            <w:r>
              <w:rPr>
                <w:rFonts w:ascii="Consolas" w:hAnsi="Consolas" w:eastAsia="Consolas" w:cs="Consolas"/>
                <w:sz w:val="18"/>
                <w:szCs w:val="18"/>
              </w:rPr>
              <w:t xml:space="preserve">    银行侧：bank_sum = Σ(银行流水金额)，bank_cnt = 笔数</w:t>
            </w:r>
          </w:p>
          <w:p w14:paraId="15D2E3C0">
            <w:pPr>
              <w:spacing w:after="0" w:line="240" w:lineRule="auto"/>
            </w:pPr>
            <w:r>
              <w:rPr>
                <w:rFonts w:ascii="Consolas" w:hAnsi="Consolas" w:eastAsia="Consolas" w:cs="Consolas"/>
                <w:sz w:val="18"/>
                <w:szCs w:val="18"/>
              </w:rPr>
              <w:t xml:space="preserve">    财务侧：fin_sum  = Σ(凭证金额)，    fin_cnt  = 笔数</w:t>
            </w:r>
          </w:p>
          <w:p w14:paraId="6D7E4A34">
            <w:pPr>
              <w:spacing w:after="0" w:line="240" w:lineRule="auto"/>
            </w:pPr>
            <w:r>
              <w:rPr>
                <w:rFonts w:ascii="Consolas" w:hAnsi="Consolas" w:eastAsia="Consolas" w:cs="Consolas"/>
                <w:sz w:val="18"/>
                <w:szCs w:val="18"/>
              </w:rPr>
              <w:t xml:space="preserve">    方向校验：组内方向映射后必须一致，</w:t>
            </w:r>
          </w:p>
          <w:p w14:paraId="37666849">
            <w:pPr>
              <w:spacing w:after="0" w:line="240" w:lineRule="auto"/>
            </w:pPr>
            <w:r>
              <w:rPr>
                <w:rFonts w:ascii="Consolas" w:hAnsi="Consolas" w:eastAsia="Consolas" w:cs="Consolas"/>
                <w:sz w:val="18"/>
                <w:szCs w:val="18"/>
              </w:rPr>
              <w:t xml:space="preserve">             否则先挂「方向异常」</w:t>
            </w:r>
          </w:p>
        </w:tc>
      </w:tr>
    </w:tbl>
    <w:p w14:paraId="7CA62198">
      <w:pPr>
        <w:spacing w:after="80"/>
      </w:pPr>
    </w:p>
    <w:p w14:paraId="16F4ADD1">
      <w:pPr>
        <w:pStyle w:val="3"/>
      </w:pPr>
      <w:r>
        <w:rPr>
          <w:rFonts w:ascii="微软雅黑" w:hAnsi="微软雅黑" w:eastAsia="微软雅黑" w:cs="微软雅黑"/>
        </w:rPr>
        <w:t>4.2 轧差判定决策树</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1C3B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BBBBB" w:sz="0" w:space="0"/>
              <w:left w:val="single" w:color="BBBBBB" w:sz="0" w:space="0"/>
              <w:bottom w:val="single" w:color="BBBBBB" w:sz="0" w:space="0"/>
              <w:right w:val="single" w:color="BBBBBB" w:sz="0" w:space="0"/>
            </w:tcBorders>
            <w:shd w:val="clear" w:color="auto" w:fill="F4F6F8"/>
            <w:tcMar>
              <w:top w:w="100" w:type="dxa"/>
              <w:left w:w="160" w:type="dxa"/>
              <w:bottom w:w="100" w:type="dxa"/>
              <w:right w:w="160" w:type="dxa"/>
            </w:tcMar>
          </w:tcPr>
          <w:p w14:paraId="010FB6A4">
            <w:pPr>
              <w:spacing w:after="0" w:line="240" w:lineRule="auto"/>
            </w:pPr>
            <w:r>
              <w:rPr>
                <w:rFonts w:ascii="Consolas" w:hAnsi="Consolas" w:eastAsia="Consolas" w:cs="Consolas"/>
                <w:sz w:val="18"/>
                <w:szCs w:val="18"/>
              </w:rPr>
              <w:t>diff = bank_sum - fin_sum</w:t>
            </w:r>
          </w:p>
          <w:p w14:paraId="5AE85558">
            <w:pPr>
              <w:spacing w:after="0" w:line="240" w:lineRule="auto"/>
            </w:pPr>
            <w:r>
              <w:rPr>
                <w:rFonts w:ascii="Consolas" w:hAnsi="Consolas" w:eastAsia="Consolas" w:cs="Consolas"/>
                <w:sz w:val="18"/>
                <w:szCs w:val="18"/>
              </w:rPr>
              <w:t xml:space="preserve"> </w:t>
            </w:r>
          </w:p>
          <w:p w14:paraId="16CEC112">
            <w:pPr>
              <w:spacing w:after="0" w:line="240" w:lineRule="auto"/>
            </w:pPr>
            <w:r>
              <w:rPr>
                <w:rFonts w:ascii="Consolas" w:hAnsi="Consolas" w:eastAsia="Consolas" w:cs="Consolas"/>
                <w:sz w:val="18"/>
                <w:szCs w:val="18"/>
              </w:rPr>
              <w:t>├─ diff == 0</w:t>
            </w:r>
          </w:p>
          <w:p w14:paraId="3E2484C2">
            <w:pPr>
              <w:spacing w:after="0" w:line="240" w:lineRule="auto"/>
            </w:pPr>
            <w:r>
              <w:rPr>
                <w:rFonts w:ascii="Consolas" w:hAnsi="Consolas" w:eastAsia="Consolas" w:cs="Consolas"/>
                <w:sz w:val="18"/>
                <w:szCs w:val="18"/>
              </w:rPr>
              <w:t>│   ├─ bank_cnt==1 且 fin_cnt==1 → 【1:1 精确核销】高，自动</w:t>
            </w:r>
          </w:p>
          <w:p w14:paraId="14AC1770">
            <w:pPr>
              <w:spacing w:after="0" w:line="240" w:lineRule="auto"/>
            </w:pPr>
            <w:r>
              <w:rPr>
                <w:rFonts w:ascii="Consolas" w:hAnsi="Consolas" w:eastAsia="Consolas" w:cs="Consolas"/>
                <w:sz w:val="18"/>
                <w:szCs w:val="18"/>
              </w:rPr>
              <w:t>│   ├─ 一侧1笔、另侧多笔        → 【1:N 分组核销】高，自动</w:t>
            </w:r>
          </w:p>
          <w:p w14:paraId="152E7F5B">
            <w:pPr>
              <w:spacing w:after="0" w:line="240" w:lineRule="auto"/>
            </w:pPr>
            <w:r>
              <w:rPr>
                <w:rFonts w:ascii="Consolas" w:hAnsi="Consolas" w:eastAsia="Consolas" w:cs="Consolas"/>
                <w:sz w:val="18"/>
                <w:szCs w:val="18"/>
              </w:rPr>
              <w:t>│   └─ 两侧均多笔              → 【M:N 分组核销】中，自动+抽样复核</w:t>
            </w:r>
          </w:p>
          <w:p w14:paraId="27A8C9B4">
            <w:pPr>
              <w:spacing w:after="0" w:line="240" w:lineRule="auto"/>
            </w:pPr>
            <w:r>
              <w:rPr>
                <w:rFonts w:ascii="Consolas" w:hAnsi="Consolas" w:eastAsia="Consolas" w:cs="Consolas"/>
                <w:sz w:val="18"/>
                <w:szCs w:val="18"/>
              </w:rPr>
              <w:t>│</w:t>
            </w:r>
          </w:p>
          <w:p w14:paraId="4718C7FA">
            <w:pPr>
              <w:spacing w:after="0" w:line="240" w:lineRule="auto"/>
            </w:pPr>
            <w:r>
              <w:rPr>
                <w:rFonts w:ascii="Consolas" w:hAnsi="Consolas" w:eastAsia="Consolas" w:cs="Consolas"/>
                <w:sz w:val="18"/>
                <w:szCs w:val="18"/>
              </w:rPr>
              <w:t>├─ 0 &lt; |diff| &lt;= 容差阈值</w:t>
            </w:r>
          </w:p>
          <w:p w14:paraId="19F33AEC">
            <w:pPr>
              <w:spacing w:after="0" w:line="240" w:lineRule="auto"/>
            </w:pPr>
            <w:r>
              <w:rPr>
                <w:rFonts w:ascii="Consolas" w:hAnsi="Consolas" w:eastAsia="Consolas" w:cs="Consolas"/>
                <w:sz w:val="18"/>
                <w:szCs w:val="18"/>
              </w:rPr>
              <w:t>│   └─ 【可容差核销】差额挂「手续费/尾差」，生成调整建议，中</w:t>
            </w:r>
          </w:p>
          <w:p w14:paraId="25E13CF1">
            <w:pPr>
              <w:spacing w:after="0" w:line="240" w:lineRule="auto"/>
            </w:pPr>
            <w:r>
              <w:rPr>
                <w:rFonts w:ascii="Consolas" w:hAnsi="Consolas" w:eastAsia="Consolas" w:cs="Consolas"/>
                <w:sz w:val="18"/>
                <w:szCs w:val="18"/>
              </w:rPr>
              <w:t>│</w:t>
            </w:r>
          </w:p>
          <w:p w14:paraId="55292D60">
            <w:pPr>
              <w:spacing w:after="0" w:line="240" w:lineRule="auto"/>
            </w:pPr>
            <w:r>
              <w:rPr>
                <w:rFonts w:ascii="Consolas" w:hAnsi="Consolas" w:eastAsia="Consolas" w:cs="Consolas"/>
                <w:sz w:val="18"/>
                <w:szCs w:val="18"/>
              </w:rPr>
              <w:t>└─ |diff| &gt; 容差阈值</w:t>
            </w:r>
          </w:p>
          <w:p w14:paraId="559E09F8">
            <w:pPr>
              <w:spacing w:after="0" w:line="240" w:lineRule="auto"/>
            </w:pPr>
            <w:r>
              <w:rPr>
                <w:rFonts w:ascii="Consolas" w:hAnsi="Consolas" w:eastAsia="Consolas" w:cs="Consolas"/>
                <w:sz w:val="18"/>
                <w:szCs w:val="18"/>
              </w:rPr>
              <w:t xml:space="preserve">    ├─ 组内子集可轧平(subset-sum) → 【部分核销】</w:t>
            </w:r>
          </w:p>
          <w:p w14:paraId="6E24F59F">
            <w:pPr>
              <w:spacing w:after="0" w:line="240" w:lineRule="auto"/>
            </w:pPr>
            <w:r>
              <w:rPr>
                <w:rFonts w:ascii="Consolas" w:hAnsi="Consolas" w:eastAsia="Consolas" w:cs="Consolas"/>
                <w:sz w:val="18"/>
                <w:szCs w:val="18"/>
              </w:rPr>
              <w:t xml:space="preserve">    │       已轧平部分核销，剩余挂「未达/缺漏」</w:t>
            </w:r>
          </w:p>
          <w:p w14:paraId="0838207D">
            <w:pPr>
              <w:spacing w:after="0" w:line="240" w:lineRule="auto"/>
            </w:pPr>
            <w:r>
              <w:rPr>
                <w:rFonts w:ascii="Consolas" w:hAnsi="Consolas" w:eastAsia="Consolas" w:cs="Consolas"/>
                <w:sz w:val="18"/>
                <w:szCs w:val="18"/>
              </w:rPr>
              <w:t xml:space="preserve">    └─ 无法轧平 → 【整组挂账】进差异工单</w:t>
            </w:r>
          </w:p>
        </w:tc>
      </w:tr>
    </w:tbl>
    <w:p w14:paraId="1F2BA67B">
      <w:pPr>
        <w:spacing w:after="80"/>
      </w:pPr>
    </w:p>
    <w:p w14:paraId="3C6C7D2D">
      <w:pPr>
        <w:pStyle w:val="3"/>
      </w:pPr>
      <w:r>
        <w:rPr>
          <w:rFonts w:ascii="微软雅黑" w:hAnsi="微软雅黑" w:eastAsia="微软雅黑" w:cs="微软雅黑"/>
        </w:rPr>
        <w:t>4.3 关键判定参数</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4560"/>
      </w:tblGrid>
      <w:tr w14:paraId="4046F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10" w:type="dxa"/>
              <w:bottom w:w="60" w:type="dxa"/>
              <w:right w:w="110" w:type="dxa"/>
            </w:tcMar>
          </w:tcPr>
          <w:p w14:paraId="4E43BF0A">
            <w:pPr>
              <w:spacing w:after="0" w:line="252" w:lineRule="auto"/>
              <w:jc w:val="center"/>
            </w:pPr>
            <w:r>
              <w:rPr>
                <w:rFonts w:ascii="微软雅黑" w:hAnsi="微软雅黑" w:eastAsia="微软雅黑" w:cs="微软雅黑"/>
                <w:b/>
                <w:bCs/>
                <w:color w:val="FFFFFF"/>
                <w:sz w:val="20"/>
                <w:szCs w:val="20"/>
              </w:rPr>
              <w:t>参数</w:t>
            </w:r>
          </w:p>
        </w:tc>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10" w:type="dxa"/>
              <w:bottom w:w="60" w:type="dxa"/>
              <w:right w:w="110" w:type="dxa"/>
            </w:tcMar>
          </w:tcPr>
          <w:p w14:paraId="22ED37EB">
            <w:pPr>
              <w:spacing w:after="0" w:line="252" w:lineRule="auto"/>
              <w:jc w:val="center"/>
            </w:pPr>
            <w:r>
              <w:rPr>
                <w:rFonts w:ascii="微软雅黑" w:hAnsi="微软雅黑" w:eastAsia="微软雅黑" w:cs="微软雅黑"/>
                <w:b/>
                <w:bCs/>
                <w:color w:val="FFFFFF"/>
                <w:sz w:val="20"/>
                <w:szCs w:val="20"/>
              </w:rPr>
              <w:t>建议值</w:t>
            </w:r>
          </w:p>
        </w:tc>
        <w:tc>
          <w:tcPr>
            <w:tcW w:w="45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10" w:type="dxa"/>
              <w:bottom w:w="60" w:type="dxa"/>
              <w:right w:w="110" w:type="dxa"/>
            </w:tcMar>
          </w:tcPr>
          <w:p w14:paraId="5F09C016">
            <w:pPr>
              <w:spacing w:after="0" w:line="252" w:lineRule="auto"/>
              <w:jc w:val="center"/>
            </w:pPr>
            <w:r>
              <w:rPr>
                <w:rFonts w:ascii="微软雅黑" w:hAnsi="微软雅黑" w:eastAsia="微软雅黑" w:cs="微软雅黑"/>
                <w:b/>
                <w:bCs/>
                <w:color w:val="FFFFFF"/>
                <w:sz w:val="20"/>
                <w:szCs w:val="20"/>
              </w:rPr>
              <w:t>说明</w:t>
            </w:r>
          </w:p>
        </w:tc>
      </w:tr>
      <w:tr w14:paraId="71B12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63BADFD3">
            <w:pPr>
              <w:spacing w:after="0" w:line="252" w:lineRule="auto"/>
            </w:pPr>
            <w:r>
              <w:rPr>
                <w:rFonts w:ascii="微软雅黑" w:hAnsi="微软雅黑" w:eastAsia="微软雅黑" w:cs="微软雅黑"/>
                <w:sz w:val="20"/>
                <w:szCs w:val="20"/>
              </w:rPr>
              <w:t>金额容差</w:t>
            </w:r>
          </w:p>
        </w:tc>
        <w:tc>
          <w:tcPr>
            <w:tcW w:w="220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77B1CC29">
            <w:pPr>
              <w:spacing w:after="0" w:line="252" w:lineRule="auto"/>
            </w:pPr>
            <w:r>
              <w:rPr>
                <w:rFonts w:ascii="微软雅黑" w:hAnsi="微软雅黑" w:eastAsia="微软雅黑" w:cs="微软雅黑"/>
                <w:sz w:val="20"/>
                <w:szCs w:val="20"/>
              </w:rPr>
              <w:t>±0.5 元（可配）</w:t>
            </w:r>
          </w:p>
        </w:tc>
        <w:tc>
          <w:tcPr>
            <w:tcW w:w="456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5A9ED12E">
            <w:pPr>
              <w:spacing w:after="0" w:line="252" w:lineRule="auto"/>
            </w:pPr>
            <w:r>
              <w:rPr>
                <w:rFonts w:ascii="微软雅黑" w:hAnsi="微软雅黑" w:eastAsia="微软雅黑" w:cs="微软雅黑"/>
                <w:sz w:val="20"/>
                <w:szCs w:val="20"/>
              </w:rPr>
              <w:t>覆盖尾差与零星手续费</w:t>
            </w:r>
          </w:p>
        </w:tc>
      </w:tr>
      <w:tr w14:paraId="6837B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18036F1C">
            <w:pPr>
              <w:spacing w:after="0" w:line="252" w:lineRule="auto"/>
            </w:pPr>
            <w:r>
              <w:rPr>
                <w:rFonts w:ascii="微软雅黑" w:hAnsi="微软雅黑" w:eastAsia="微软雅黑" w:cs="微软雅黑"/>
                <w:sz w:val="20"/>
                <w:szCs w:val="20"/>
              </w:rPr>
              <w:t>手续费白名单</w:t>
            </w:r>
          </w:p>
        </w:tc>
        <w:tc>
          <w:tcPr>
            <w:tcW w:w="220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655716ED">
            <w:pPr>
              <w:spacing w:after="0" w:line="252" w:lineRule="auto"/>
            </w:pPr>
            <w:r>
              <w:rPr>
                <w:rFonts w:ascii="微软雅黑" w:hAnsi="微软雅黑" w:eastAsia="微软雅黑" w:cs="微软雅黑"/>
                <w:sz w:val="20"/>
                <w:szCs w:val="20"/>
              </w:rPr>
              <w:t>按银行/业务类型配置</w:t>
            </w:r>
          </w:p>
        </w:tc>
        <w:tc>
          <w:tcPr>
            <w:tcW w:w="456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4BC2556E">
            <w:pPr>
              <w:spacing w:after="0" w:line="252" w:lineRule="auto"/>
            </w:pPr>
            <w:r>
              <w:rPr>
                <w:rFonts w:ascii="微软雅黑" w:hAnsi="微软雅黑" w:eastAsia="微软雅黑" w:cs="微软雅黑"/>
                <w:sz w:val="20"/>
                <w:szCs w:val="20"/>
              </w:rPr>
              <w:t>已知规则的差额直接归类</w:t>
            </w:r>
          </w:p>
        </w:tc>
      </w:tr>
      <w:tr w14:paraId="56B20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66EA3609">
            <w:pPr>
              <w:spacing w:after="0" w:line="252" w:lineRule="auto"/>
            </w:pPr>
            <w:r>
              <w:rPr>
                <w:rFonts w:ascii="微软雅黑" w:hAnsi="微软雅黑" w:eastAsia="微软雅黑" w:cs="微软雅黑"/>
                <w:sz w:val="20"/>
                <w:szCs w:val="20"/>
              </w:rPr>
              <w:t>subset-sum 上限</w:t>
            </w:r>
          </w:p>
        </w:tc>
        <w:tc>
          <w:tcPr>
            <w:tcW w:w="220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0CB1A0E3">
            <w:pPr>
              <w:spacing w:after="0" w:line="252" w:lineRule="auto"/>
            </w:pPr>
            <w:r>
              <w:rPr>
                <w:rFonts w:ascii="微软雅黑" w:hAnsi="微软雅黑" w:eastAsia="微软雅黑" w:cs="微软雅黑"/>
                <w:sz w:val="20"/>
                <w:szCs w:val="20"/>
              </w:rPr>
              <w:t>单组 ≤ 8 笔</w:t>
            </w:r>
          </w:p>
        </w:tc>
        <w:tc>
          <w:tcPr>
            <w:tcW w:w="456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0FF18DE2">
            <w:pPr>
              <w:spacing w:after="0" w:line="252" w:lineRule="auto"/>
            </w:pPr>
            <w:r>
              <w:rPr>
                <w:rFonts w:ascii="微软雅黑" w:hAnsi="微软雅黑" w:eastAsia="微软雅黑" w:cs="微软雅黑"/>
                <w:sz w:val="20"/>
                <w:szCs w:val="20"/>
              </w:rPr>
              <w:t>防组合爆炸，超限转人工</w:t>
            </w:r>
          </w:p>
        </w:tc>
      </w:tr>
      <w:tr w14:paraId="482E9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2C65A6D5">
            <w:pPr>
              <w:spacing w:after="0" w:line="252" w:lineRule="auto"/>
            </w:pPr>
            <w:r>
              <w:rPr>
                <w:rFonts w:ascii="微软雅黑" w:hAnsi="微软雅黑" w:eastAsia="微软雅黑" w:cs="微软雅黑"/>
                <w:sz w:val="20"/>
                <w:szCs w:val="20"/>
              </w:rPr>
              <w:t>时间窗</w:t>
            </w:r>
          </w:p>
        </w:tc>
        <w:tc>
          <w:tcPr>
            <w:tcW w:w="220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7A2B56C6">
            <w:pPr>
              <w:spacing w:after="0" w:line="252" w:lineRule="auto"/>
            </w:pPr>
            <w:r>
              <w:rPr>
                <w:rFonts w:ascii="微软雅黑" w:hAnsi="微软雅黑" w:eastAsia="微软雅黑" w:cs="微软雅黑"/>
                <w:sz w:val="20"/>
                <w:szCs w:val="20"/>
              </w:rPr>
              <w:t>有码时不作硬约束</w:t>
            </w:r>
          </w:p>
        </w:tc>
        <w:tc>
          <w:tcPr>
            <w:tcW w:w="456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4F4B7693">
            <w:pPr>
              <w:spacing w:after="0" w:line="252" w:lineRule="auto"/>
            </w:pPr>
            <w:r>
              <w:rPr>
                <w:rFonts w:ascii="微软雅黑" w:hAnsi="微软雅黑" w:eastAsia="微软雅黑" w:cs="微软雅黑"/>
                <w:sz w:val="20"/>
                <w:szCs w:val="20"/>
              </w:rPr>
              <w:t>仅做异常提示</w:t>
            </w:r>
          </w:p>
        </w:tc>
      </w:tr>
    </w:tbl>
    <w:p w14:paraId="6ADB8156">
      <w:pPr>
        <w:spacing w:after="80"/>
      </w:pPr>
    </w:p>
    <w:p w14:paraId="280E4F5B">
      <w:pPr>
        <w:pStyle w:val="3"/>
      </w:pPr>
      <w:r>
        <w:rPr>
          <w:rFonts w:ascii="微软雅黑" w:hAnsi="微软雅黑" w:eastAsia="微软雅黑" w:cs="微软雅黑"/>
        </w:rPr>
        <w:t>4.4 拆分合并的处理</w:t>
      </w:r>
    </w:p>
    <w:p w14:paraId="10D8018F">
      <w:pPr>
        <w:spacing w:after="120" w:line="276" w:lineRule="auto"/>
      </w:pPr>
      <w:r>
        <w:rPr>
          <w:rFonts w:ascii="微软雅黑" w:hAnsi="微软雅黑" w:eastAsia="微软雅黑" w:cs="微软雅黑"/>
          <w:sz w:val="22"/>
          <w:szCs w:val="22"/>
        </w:rPr>
        <w:t>拆分合并场景较多，分两种情况处理，处理方式不同。</w:t>
      </w:r>
    </w:p>
    <w:p w14:paraId="48E1D1A6">
      <w:pPr>
        <w:spacing w:after="120" w:line="276" w:lineRule="auto"/>
      </w:pPr>
      <w:r>
        <w:rPr>
          <w:rFonts w:ascii="微软雅黑" w:hAnsi="微软雅黑" w:eastAsia="微软雅黑" w:cs="微软雅黑"/>
          <w:b/>
          <w:bCs/>
          <w:sz w:val="22"/>
          <w:szCs w:val="22"/>
        </w:rPr>
        <w:t>情况 A（各笔均带同一对账码）：</w:t>
      </w:r>
      <w:r>
        <w:rPr>
          <w:rFonts w:ascii="微软雅黑" w:hAnsi="微软雅黑" w:eastAsia="微软雅黑" w:cs="微软雅黑"/>
          <w:sz w:val="22"/>
          <w:szCs w:val="22"/>
        </w:rPr>
        <w:t>最理想。直接按整组轧差解决，不必逐笔配对。建议推动业务端在拆分时透传对账码，使该场景尽量落入此情况。</w:t>
      </w:r>
    </w:p>
    <w:p w14:paraId="6B5469A0">
      <w:pPr>
        <w:spacing w:after="120" w:line="276" w:lineRule="auto"/>
      </w:pPr>
      <w:r>
        <w:rPr>
          <w:rFonts w:ascii="微软雅黑" w:hAnsi="微软雅黑" w:eastAsia="微软雅黑" w:cs="微软雅黑"/>
          <w:b/>
          <w:bCs/>
          <w:sz w:val="22"/>
          <w:szCs w:val="22"/>
        </w:rPr>
        <w:t>情况 B（对账码缺失或不全）：</w:t>
      </w:r>
      <w:r>
        <w:rPr>
          <w:rFonts w:ascii="微软雅黑" w:hAnsi="微软雅黑" w:eastAsia="微软雅黑" w:cs="微软雅黑"/>
          <w:sz w:val="22"/>
          <w:szCs w:val="22"/>
        </w:rPr>
        <w:t>用 subset-sum 在「同对手方 + 同时间窗 + 同方向」约束内凑数匹配，并设组合上限；凑数成功仅标记为「建议核销」，需人工确认，审计上不作强匹配。</w:t>
      </w:r>
    </w:p>
    <w:p w14:paraId="2FE80F73">
      <w:pPr>
        <w:spacing w:after="120" w:line="276" w:lineRule="auto"/>
      </w:pPr>
      <w:r>
        <w:rPr>
          <w:rFonts w:ascii="微软雅黑" w:hAnsi="微软雅黑" w:eastAsia="微软雅黑" w:cs="微软雅黑"/>
          <w:i/>
          <w:iCs/>
          <w:sz w:val="22"/>
          <w:szCs w:val="22"/>
        </w:rPr>
        <w:t>示例：同一对账码下银行 3 笔（100/200/300）对财务 2 笔（100/500），全组 diff = 600 − 600 = 0，直接整组核销，无需在 3:2 的笔级配对上纠结；若 diff ≠ 0，才下钻 subset-sum 找可轧平子集，先核销、剩余挂账。</w:t>
      </w:r>
    </w:p>
    <w:p w14:paraId="1A5B2DA0">
      <w:pPr>
        <w:spacing w:after="80"/>
      </w:pPr>
    </w:p>
    <w:p w14:paraId="4374C355">
      <w:pPr>
        <w:pStyle w:val="3"/>
      </w:pPr>
      <w:r>
        <w:rPr>
          <w:rFonts w:ascii="微软雅黑" w:hAnsi="微软雅黑" w:eastAsia="微软雅黑" w:cs="微软雅黑"/>
        </w:rPr>
        <w:t>4.5 置信度与自动化边界</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35"/>
        <w:gridCol w:w="3755"/>
        <w:gridCol w:w="3770"/>
      </w:tblGrid>
      <w:tr w14:paraId="2DA10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835" w:type="dxa"/>
            <w:tcBorders>
              <w:top w:val="single" w:color="BBBBBB" w:sz="0" w:space="0"/>
              <w:left w:val="single" w:color="BBBBBB" w:sz="0" w:space="0"/>
              <w:bottom w:val="single" w:color="BBBBBB" w:sz="0" w:space="0"/>
              <w:right w:val="single" w:color="BBBBBB" w:sz="0" w:space="0"/>
            </w:tcBorders>
            <w:shd w:val="clear" w:color="auto" w:fill="1F4E79"/>
            <w:tcMar>
              <w:top w:w="60" w:type="dxa"/>
              <w:left w:w="110" w:type="dxa"/>
              <w:bottom w:w="60" w:type="dxa"/>
              <w:right w:w="110" w:type="dxa"/>
            </w:tcMar>
          </w:tcPr>
          <w:p w14:paraId="74B5AA8D">
            <w:pPr>
              <w:spacing w:after="0" w:line="252" w:lineRule="auto"/>
              <w:jc w:val="center"/>
            </w:pPr>
            <w:r>
              <w:rPr>
                <w:rFonts w:ascii="微软雅黑" w:hAnsi="微软雅黑" w:eastAsia="微软雅黑" w:cs="微软雅黑"/>
                <w:b/>
                <w:bCs/>
                <w:color w:val="FFFFFF"/>
                <w:sz w:val="20"/>
                <w:szCs w:val="20"/>
              </w:rPr>
              <w:t>置信度</w:t>
            </w:r>
          </w:p>
        </w:tc>
        <w:tc>
          <w:tcPr>
            <w:tcW w:w="3755" w:type="dxa"/>
            <w:tcBorders>
              <w:top w:val="single" w:color="BBBBBB" w:sz="0" w:space="0"/>
              <w:left w:val="single" w:color="BBBBBB" w:sz="0" w:space="0"/>
              <w:bottom w:val="single" w:color="BBBBBB" w:sz="0" w:space="0"/>
              <w:right w:val="single" w:color="BBBBBB" w:sz="0" w:space="0"/>
            </w:tcBorders>
            <w:shd w:val="clear" w:color="auto" w:fill="1F4E79"/>
            <w:tcMar>
              <w:top w:w="60" w:type="dxa"/>
              <w:left w:w="110" w:type="dxa"/>
              <w:bottom w:w="60" w:type="dxa"/>
              <w:right w:w="110" w:type="dxa"/>
            </w:tcMar>
          </w:tcPr>
          <w:p w14:paraId="05A91B20">
            <w:pPr>
              <w:spacing w:after="0" w:line="252" w:lineRule="auto"/>
              <w:jc w:val="center"/>
            </w:pPr>
            <w:r>
              <w:rPr>
                <w:rFonts w:ascii="微软雅黑" w:hAnsi="微软雅黑" w:eastAsia="微软雅黑" w:cs="微软雅黑"/>
                <w:b/>
                <w:bCs/>
                <w:color w:val="FFFFFF"/>
                <w:sz w:val="20"/>
                <w:szCs w:val="20"/>
              </w:rPr>
              <w:t>判定情形</w:t>
            </w:r>
          </w:p>
        </w:tc>
        <w:tc>
          <w:tcPr>
            <w:tcW w:w="377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10" w:type="dxa"/>
              <w:bottom w:w="60" w:type="dxa"/>
              <w:right w:w="110" w:type="dxa"/>
            </w:tcMar>
          </w:tcPr>
          <w:p w14:paraId="36F3335B">
            <w:pPr>
              <w:spacing w:after="0" w:line="252" w:lineRule="auto"/>
              <w:jc w:val="center"/>
            </w:pPr>
            <w:r>
              <w:rPr>
                <w:rFonts w:ascii="微软雅黑" w:hAnsi="微软雅黑" w:eastAsia="微软雅黑" w:cs="微软雅黑"/>
                <w:b/>
                <w:bCs/>
                <w:color w:val="FFFFFF"/>
                <w:sz w:val="20"/>
                <w:szCs w:val="20"/>
              </w:rPr>
              <w:t>处理方式</w:t>
            </w:r>
          </w:p>
        </w:tc>
      </w:tr>
      <w:tr w14:paraId="6F86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5"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764AC384">
            <w:pPr>
              <w:spacing w:after="0" w:line="252" w:lineRule="auto"/>
            </w:pPr>
            <w:r>
              <w:rPr>
                <w:rFonts w:ascii="微软雅黑" w:hAnsi="微软雅黑" w:eastAsia="微软雅黑" w:cs="微软雅黑"/>
                <w:sz w:val="20"/>
                <w:szCs w:val="20"/>
              </w:rPr>
              <w:t>高</w:t>
            </w:r>
          </w:p>
        </w:tc>
        <w:tc>
          <w:tcPr>
            <w:tcW w:w="3755"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39AB93AA">
            <w:pPr>
              <w:spacing w:after="0" w:line="252" w:lineRule="auto"/>
            </w:pPr>
            <w:r>
              <w:rPr>
                <w:rFonts w:ascii="微软雅黑" w:hAnsi="微软雅黑" w:eastAsia="微软雅黑" w:cs="微软雅黑"/>
                <w:sz w:val="20"/>
                <w:szCs w:val="20"/>
              </w:rPr>
              <w:t>diff=0 且笔数结构简单（1:1、1:N）</w:t>
            </w:r>
          </w:p>
        </w:tc>
        <w:tc>
          <w:tcPr>
            <w:tcW w:w="377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3513BD1E">
            <w:pPr>
              <w:spacing w:after="0" w:line="252" w:lineRule="auto"/>
            </w:pPr>
            <w:r>
              <w:rPr>
                <w:rFonts w:ascii="微软雅黑" w:hAnsi="微软雅黑" w:eastAsia="微软雅黑" w:cs="微软雅黑"/>
                <w:sz w:val="20"/>
                <w:szCs w:val="20"/>
              </w:rPr>
              <w:t>系统自动核销，记「自动」</w:t>
            </w:r>
          </w:p>
        </w:tc>
      </w:tr>
      <w:tr w14:paraId="2CE0C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5"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02C16E26">
            <w:pPr>
              <w:spacing w:after="0" w:line="252" w:lineRule="auto"/>
            </w:pPr>
            <w:r>
              <w:rPr>
                <w:rFonts w:ascii="微软雅黑" w:hAnsi="微软雅黑" w:eastAsia="微软雅黑" w:cs="微软雅黑"/>
                <w:sz w:val="20"/>
                <w:szCs w:val="20"/>
              </w:rPr>
              <w:t>中</w:t>
            </w:r>
          </w:p>
        </w:tc>
        <w:tc>
          <w:tcPr>
            <w:tcW w:w="3755"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3F81C6C4">
            <w:pPr>
              <w:spacing w:after="0" w:line="252" w:lineRule="auto"/>
            </w:pPr>
            <w:r>
              <w:rPr>
                <w:rFonts w:ascii="微软雅黑" w:hAnsi="微软雅黑" w:eastAsia="微软雅黑" w:cs="微软雅黑"/>
                <w:sz w:val="20"/>
                <w:szCs w:val="20"/>
              </w:rPr>
              <w:t>M:N、容差核销、subset-sum 推断</w:t>
            </w:r>
            <w:bookmarkStart w:id="0" w:name="_GoBack"/>
            <w:bookmarkEnd w:id="0"/>
          </w:p>
        </w:tc>
        <w:tc>
          <w:tcPr>
            <w:tcW w:w="377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11FFDFE0">
            <w:pPr>
              <w:spacing w:after="0" w:line="252" w:lineRule="auto"/>
            </w:pPr>
            <w:r>
              <w:rPr>
                <w:rFonts w:ascii="微软雅黑" w:hAnsi="微软雅黑" w:eastAsia="微软雅黑" w:cs="微软雅黑"/>
                <w:sz w:val="20"/>
                <w:szCs w:val="20"/>
              </w:rPr>
              <w:t>自动核销 + 强制留痕 + 抽样复核</w:t>
            </w:r>
          </w:p>
        </w:tc>
      </w:tr>
      <w:tr w14:paraId="69C08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35"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054CE6FB">
            <w:pPr>
              <w:spacing w:after="0" w:line="252" w:lineRule="auto"/>
            </w:pPr>
            <w:r>
              <w:rPr>
                <w:rFonts w:ascii="微软雅黑" w:hAnsi="微软雅黑" w:eastAsia="微软雅黑" w:cs="微软雅黑"/>
                <w:sz w:val="20"/>
                <w:szCs w:val="20"/>
              </w:rPr>
              <w:t>—</w:t>
            </w:r>
          </w:p>
        </w:tc>
        <w:tc>
          <w:tcPr>
            <w:tcW w:w="3755"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084744CA">
            <w:pPr>
              <w:spacing w:after="0" w:line="252" w:lineRule="auto"/>
            </w:pPr>
            <w:r>
              <w:rPr>
                <w:rFonts w:ascii="微软雅黑" w:hAnsi="微软雅黑" w:eastAsia="微软雅黑" w:cs="微软雅黑"/>
                <w:sz w:val="20"/>
                <w:szCs w:val="20"/>
              </w:rPr>
              <w:t>整组挂账</w:t>
            </w:r>
          </w:p>
        </w:tc>
        <w:tc>
          <w:tcPr>
            <w:tcW w:w="377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27EC7818">
            <w:pPr>
              <w:spacing w:after="0" w:line="252" w:lineRule="auto"/>
            </w:pPr>
            <w:r>
              <w:rPr>
                <w:rFonts w:ascii="微软雅黑" w:hAnsi="微软雅黑" w:eastAsia="微软雅黑" w:cs="微软雅黑"/>
                <w:sz w:val="20"/>
                <w:szCs w:val="20"/>
              </w:rPr>
              <w:t>不自动，进差异工单</w:t>
            </w:r>
          </w:p>
        </w:tc>
      </w:tr>
    </w:tbl>
    <w:p w14:paraId="52625C21">
      <w:pPr>
        <w:pStyle w:val="2"/>
      </w:pPr>
      <w:r>
        <w:rPr>
          <w:rFonts w:ascii="微软雅黑" w:hAnsi="微软雅黑" w:eastAsia="微软雅黑" w:cs="微软雅黑"/>
        </w:rPr>
        <w:t>五、差异工单流转设计</w:t>
      </w:r>
    </w:p>
    <w:p w14:paraId="7CBFC440">
      <w:pPr>
        <w:spacing w:after="120" w:line="276" w:lineRule="auto"/>
      </w:pPr>
      <w:r>
        <w:rPr>
          <w:rFonts w:ascii="微软雅黑" w:hAnsi="微软雅黑" w:eastAsia="微软雅黑" w:cs="微软雅黑"/>
          <w:sz w:val="22"/>
          <w:szCs w:val="22"/>
        </w:rPr>
        <w:t>工单流转的目标只有一个：把月末的「反复沟通」变成「工单自走」。其精髓为：开单即带全上下文 + AI 归因、按原因码自动派单、状态机与看板让流转透明、跨月结转避免重复劳动。</w:t>
      </w:r>
    </w:p>
    <w:p w14:paraId="0DF55D66">
      <w:pPr>
        <w:pStyle w:val="3"/>
      </w:pPr>
      <w:r>
        <w:rPr>
          <w:rFonts w:ascii="微软雅黑" w:hAnsi="微软雅黑" w:eastAsia="微软雅黑" w:cs="微软雅黑"/>
        </w:rPr>
        <w:t>5.1 工单的产生（带齐上下文）</w:t>
      </w:r>
    </w:p>
    <w:p w14:paraId="19E868F6">
      <w:pPr>
        <w:spacing w:after="120" w:line="276" w:lineRule="auto"/>
      </w:pPr>
      <w:r>
        <w:rPr>
          <w:rFonts w:ascii="微软雅黑" w:hAnsi="微软雅黑" w:eastAsia="微软雅黑" w:cs="微软雅黑"/>
          <w:sz w:val="22"/>
          <w:szCs w:val="22"/>
        </w:rPr>
        <w:t>凡未自动核销的差异，系统自动开单，并附带完整上下文，避免接单人再去查账。</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B83A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BBBBBB" w:sz="0" w:space="0"/>
              <w:left w:val="single" w:color="BBBBBB" w:sz="0" w:space="0"/>
              <w:bottom w:val="single" w:color="BBBBBB" w:sz="0" w:space="0"/>
              <w:right w:val="single" w:color="BBBBBB" w:sz="0" w:space="0"/>
            </w:tcBorders>
            <w:shd w:val="clear" w:color="auto" w:fill="F4F6F8"/>
            <w:tcMar>
              <w:top w:w="100" w:type="dxa"/>
              <w:left w:w="160" w:type="dxa"/>
              <w:bottom w:w="100" w:type="dxa"/>
              <w:right w:w="160" w:type="dxa"/>
            </w:tcMar>
          </w:tcPr>
          <w:p w14:paraId="730BE951">
            <w:pPr>
              <w:spacing w:after="0" w:line="240" w:lineRule="auto"/>
            </w:pPr>
            <w:r>
              <w:rPr>
                <w:rFonts w:ascii="Consolas" w:hAnsi="Consolas" w:eastAsia="Consolas" w:cs="Consolas"/>
                <w:sz w:val="18"/>
                <w:szCs w:val="18"/>
              </w:rPr>
              <w:t>工单 = {</w:t>
            </w:r>
          </w:p>
          <w:p w14:paraId="14573592">
            <w:pPr>
              <w:spacing w:after="0" w:line="240" w:lineRule="auto"/>
            </w:pPr>
            <w:r>
              <w:rPr>
                <w:rFonts w:ascii="Consolas" w:hAnsi="Consolas" w:eastAsia="Consolas" w:cs="Consolas"/>
                <w:sz w:val="18"/>
                <w:szCs w:val="18"/>
              </w:rPr>
              <w:t xml:space="preserve">  差异ID、对账批次、对账码,</w:t>
            </w:r>
          </w:p>
          <w:p w14:paraId="7017A768">
            <w:pPr>
              <w:spacing w:after="0" w:line="240" w:lineRule="auto"/>
            </w:pPr>
            <w:r>
              <w:rPr>
                <w:rFonts w:ascii="Consolas" w:hAnsi="Consolas" w:eastAsia="Consolas" w:cs="Consolas"/>
                <w:sz w:val="18"/>
                <w:szCs w:val="18"/>
              </w:rPr>
              <w:t xml:space="preserve">  银行侧明细 [流水号/金额/日期/摘要],</w:t>
            </w:r>
          </w:p>
          <w:p w14:paraId="0ED84F7D">
            <w:pPr>
              <w:spacing w:after="0" w:line="240" w:lineRule="auto"/>
            </w:pPr>
            <w:r>
              <w:rPr>
                <w:rFonts w:ascii="Consolas" w:hAnsi="Consolas" w:eastAsia="Consolas" w:cs="Consolas"/>
                <w:sz w:val="18"/>
                <w:szCs w:val="18"/>
              </w:rPr>
              <w:t xml:space="preserve">  财务侧明细 [凭证号/金额/科目/摘要],</w:t>
            </w:r>
          </w:p>
          <w:p w14:paraId="57A1C35B">
            <w:pPr>
              <w:spacing w:after="0" w:line="240" w:lineRule="auto"/>
            </w:pPr>
            <w:r>
              <w:rPr>
                <w:rFonts w:ascii="Consolas" w:hAnsi="Consolas" w:eastAsia="Consolas" w:cs="Consolas"/>
                <w:sz w:val="18"/>
                <w:szCs w:val="18"/>
              </w:rPr>
              <w:t xml:space="preserve">  差异金额、差异类型(系统初判),</w:t>
            </w:r>
          </w:p>
          <w:p w14:paraId="3641C506">
            <w:pPr>
              <w:spacing w:after="0" w:line="240" w:lineRule="auto"/>
            </w:pPr>
            <w:r>
              <w:rPr>
                <w:rFonts w:ascii="Consolas" w:hAnsi="Consolas" w:eastAsia="Consolas" w:cs="Consolas"/>
                <w:sz w:val="18"/>
                <w:szCs w:val="18"/>
              </w:rPr>
              <w:t xml:space="preserve">  归因建议(AI 生成的一句话),</w:t>
            </w:r>
          </w:p>
          <w:p w14:paraId="3F7C351C">
            <w:pPr>
              <w:spacing w:after="0" w:line="240" w:lineRule="auto"/>
            </w:pPr>
            <w:r>
              <w:rPr>
                <w:rFonts w:ascii="Consolas" w:hAnsi="Consolas" w:eastAsia="Consolas" w:cs="Consolas"/>
                <w:sz w:val="18"/>
                <w:szCs w:val="18"/>
              </w:rPr>
              <w:t xml:space="preserve">  建议责任方、建议处理动作</w:t>
            </w:r>
          </w:p>
          <w:p w14:paraId="208E7171">
            <w:pPr>
              <w:spacing w:after="0" w:line="240" w:lineRule="auto"/>
            </w:pPr>
            <w:r>
              <w:rPr>
                <w:rFonts w:ascii="Consolas" w:hAnsi="Consolas" w:eastAsia="Consolas" w:cs="Consolas"/>
                <w:sz w:val="18"/>
                <w:szCs w:val="18"/>
              </w:rPr>
              <w:t>}</w:t>
            </w:r>
          </w:p>
        </w:tc>
      </w:tr>
    </w:tbl>
    <w:p w14:paraId="36D2D431">
      <w:pPr>
        <w:spacing w:after="120" w:line="276" w:lineRule="auto"/>
      </w:pPr>
      <w:r>
        <w:rPr>
          <w:rFonts w:ascii="微软雅黑" w:hAnsi="微软雅黑" w:eastAsia="微软雅黑" w:cs="微软雅黑"/>
          <w:b/>
          <w:bCs/>
          <w:sz w:val="22"/>
          <w:szCs w:val="22"/>
        </w:rPr>
        <w:t>AI 应用：</w:t>
      </w:r>
      <w:r>
        <w:rPr>
          <w:rFonts w:ascii="微软雅黑" w:hAnsi="微软雅黑" w:eastAsia="微软雅黑" w:cs="微软雅黑"/>
          <w:sz w:val="22"/>
          <w:szCs w:val="22"/>
        </w:rPr>
        <w:t>差异类型初判与一句话归因建议由 Sonnet 批量生成，直接写入工单（如「该差额疑似 X 月手续费未入账，建议财务补凭证」），接单人无需从零排查。</w:t>
      </w:r>
    </w:p>
    <w:p w14:paraId="202CAFD1">
      <w:pPr>
        <w:spacing w:after="80"/>
      </w:pPr>
    </w:p>
    <w:p w14:paraId="2FC44D6C">
      <w:pPr>
        <w:pStyle w:val="3"/>
      </w:pPr>
      <w:r>
        <w:rPr>
          <w:rFonts w:ascii="微软雅黑" w:hAnsi="微软雅黑" w:eastAsia="微软雅黑" w:cs="微软雅黑"/>
        </w:rPr>
        <w:t>5.2 自动派单规则（按原因码路由）</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2520"/>
        <w:gridCol w:w="3720"/>
      </w:tblGrid>
      <w:tr w14:paraId="69C70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12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10" w:type="dxa"/>
              <w:bottom w:w="60" w:type="dxa"/>
              <w:right w:w="110" w:type="dxa"/>
            </w:tcMar>
          </w:tcPr>
          <w:p w14:paraId="6A04587B">
            <w:pPr>
              <w:spacing w:after="0" w:line="252" w:lineRule="auto"/>
              <w:jc w:val="center"/>
            </w:pPr>
            <w:r>
              <w:rPr>
                <w:rFonts w:ascii="微软雅黑" w:hAnsi="微软雅黑" w:eastAsia="微软雅黑" w:cs="微软雅黑"/>
                <w:b/>
                <w:bCs/>
                <w:color w:val="FFFFFF"/>
                <w:sz w:val="20"/>
                <w:szCs w:val="20"/>
              </w:rPr>
              <w:t>差异原因码</w:t>
            </w:r>
          </w:p>
        </w:tc>
        <w:tc>
          <w:tcPr>
            <w:tcW w:w="252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10" w:type="dxa"/>
              <w:bottom w:w="60" w:type="dxa"/>
              <w:right w:w="110" w:type="dxa"/>
            </w:tcMar>
          </w:tcPr>
          <w:p w14:paraId="6A732893">
            <w:pPr>
              <w:spacing w:after="0" w:line="252" w:lineRule="auto"/>
              <w:jc w:val="center"/>
            </w:pPr>
            <w:r>
              <w:rPr>
                <w:rFonts w:ascii="微软雅黑" w:hAnsi="微软雅黑" w:eastAsia="微软雅黑" w:cs="微软雅黑"/>
                <w:b/>
                <w:bCs/>
                <w:color w:val="FFFFFF"/>
                <w:sz w:val="20"/>
                <w:szCs w:val="20"/>
              </w:rPr>
              <w:t>责任方</w:t>
            </w:r>
          </w:p>
        </w:tc>
        <w:tc>
          <w:tcPr>
            <w:tcW w:w="372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10" w:type="dxa"/>
              <w:bottom w:w="60" w:type="dxa"/>
              <w:right w:w="110" w:type="dxa"/>
            </w:tcMar>
          </w:tcPr>
          <w:p w14:paraId="7C4BA333">
            <w:pPr>
              <w:spacing w:after="0" w:line="252" w:lineRule="auto"/>
              <w:jc w:val="center"/>
            </w:pPr>
            <w:r>
              <w:rPr>
                <w:rFonts w:ascii="微软雅黑" w:hAnsi="微软雅黑" w:eastAsia="微软雅黑" w:cs="微软雅黑"/>
                <w:b/>
                <w:bCs/>
                <w:color w:val="FFFFFF"/>
                <w:sz w:val="20"/>
                <w:szCs w:val="20"/>
              </w:rPr>
              <w:t>建议处理动作</w:t>
            </w:r>
          </w:p>
        </w:tc>
      </w:tr>
      <w:tr w14:paraId="44250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63D70FA0">
            <w:pPr>
              <w:spacing w:after="0" w:line="252" w:lineRule="auto"/>
            </w:pPr>
            <w:r>
              <w:rPr>
                <w:rFonts w:ascii="微软雅黑" w:hAnsi="微软雅黑" w:eastAsia="微软雅黑" w:cs="微软雅黑"/>
                <w:sz w:val="20"/>
                <w:szCs w:val="20"/>
              </w:rPr>
              <w:t>手续费/利息未入账</w:t>
            </w:r>
          </w:p>
        </w:tc>
        <w:tc>
          <w:tcPr>
            <w:tcW w:w="252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317F0DBE">
            <w:pPr>
              <w:spacing w:after="0" w:line="252" w:lineRule="auto"/>
            </w:pPr>
            <w:r>
              <w:rPr>
                <w:rFonts w:ascii="微软雅黑" w:hAnsi="微软雅黑" w:eastAsia="微软雅黑" w:cs="微软雅黑"/>
                <w:sz w:val="20"/>
                <w:szCs w:val="20"/>
              </w:rPr>
              <w:t>财务共享</w:t>
            </w:r>
          </w:p>
        </w:tc>
        <w:tc>
          <w:tcPr>
            <w:tcW w:w="372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0F7F82A8">
            <w:pPr>
              <w:spacing w:after="0" w:line="252" w:lineRule="auto"/>
            </w:pPr>
            <w:r>
              <w:rPr>
                <w:rFonts w:ascii="微软雅黑" w:hAnsi="微软雅黑" w:eastAsia="微软雅黑" w:cs="微软雅黑"/>
                <w:sz w:val="20"/>
                <w:szCs w:val="20"/>
              </w:rPr>
              <w:t>补记凭证</w:t>
            </w:r>
          </w:p>
        </w:tc>
      </w:tr>
      <w:tr w14:paraId="17E32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4BE2A188">
            <w:pPr>
              <w:spacing w:after="0" w:line="252" w:lineRule="auto"/>
            </w:pPr>
            <w:r>
              <w:rPr>
                <w:rFonts w:ascii="微软雅黑" w:hAnsi="微软雅黑" w:eastAsia="微软雅黑" w:cs="微软雅黑"/>
                <w:sz w:val="20"/>
                <w:szCs w:val="20"/>
              </w:rPr>
              <w:t>银行已收、财务未记</w:t>
            </w:r>
          </w:p>
        </w:tc>
        <w:tc>
          <w:tcPr>
            <w:tcW w:w="252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18759E93">
            <w:pPr>
              <w:spacing w:after="0" w:line="252" w:lineRule="auto"/>
            </w:pPr>
            <w:r>
              <w:rPr>
                <w:rFonts w:ascii="微软雅黑" w:hAnsi="微软雅黑" w:eastAsia="微软雅黑" w:cs="微软雅黑"/>
                <w:sz w:val="20"/>
                <w:szCs w:val="20"/>
              </w:rPr>
              <w:t>财务共享</w:t>
            </w:r>
          </w:p>
        </w:tc>
        <w:tc>
          <w:tcPr>
            <w:tcW w:w="372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4C0A44FA">
            <w:pPr>
              <w:spacing w:after="0" w:line="252" w:lineRule="auto"/>
            </w:pPr>
            <w:r>
              <w:rPr>
                <w:rFonts w:ascii="微软雅黑" w:hAnsi="微软雅黑" w:eastAsia="微软雅黑" w:cs="微软雅黑"/>
                <w:sz w:val="20"/>
                <w:szCs w:val="20"/>
              </w:rPr>
              <w:t>补凭证</w:t>
            </w:r>
          </w:p>
        </w:tc>
      </w:tr>
      <w:tr w14:paraId="31704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71DA17F9">
            <w:pPr>
              <w:spacing w:after="0" w:line="252" w:lineRule="auto"/>
            </w:pPr>
            <w:r>
              <w:rPr>
                <w:rFonts w:ascii="微软雅黑" w:hAnsi="微软雅黑" w:eastAsia="微软雅黑" w:cs="微软雅黑"/>
                <w:sz w:val="20"/>
                <w:szCs w:val="20"/>
              </w:rPr>
              <w:t>财务已记、银行未到</w:t>
            </w:r>
          </w:p>
        </w:tc>
        <w:tc>
          <w:tcPr>
            <w:tcW w:w="252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0B987A50">
            <w:pPr>
              <w:spacing w:after="0" w:line="252" w:lineRule="auto"/>
            </w:pPr>
            <w:r>
              <w:rPr>
                <w:rFonts w:ascii="微软雅黑" w:hAnsi="微软雅黑" w:eastAsia="微软雅黑" w:cs="微软雅黑"/>
                <w:sz w:val="20"/>
                <w:szCs w:val="20"/>
              </w:rPr>
              <w:t>资金/业务</w:t>
            </w:r>
          </w:p>
        </w:tc>
        <w:tc>
          <w:tcPr>
            <w:tcW w:w="372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449B0073">
            <w:pPr>
              <w:spacing w:after="0" w:line="252" w:lineRule="auto"/>
            </w:pPr>
            <w:r>
              <w:rPr>
                <w:rFonts w:ascii="微软雅黑" w:hAnsi="微软雅黑" w:eastAsia="微软雅黑" w:cs="微软雅黑"/>
                <w:sz w:val="20"/>
                <w:szCs w:val="20"/>
              </w:rPr>
              <w:t>核实在途，跨月结转</w:t>
            </w:r>
          </w:p>
        </w:tc>
      </w:tr>
      <w:tr w14:paraId="1B8F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3797B3F6">
            <w:pPr>
              <w:spacing w:after="0" w:line="252" w:lineRule="auto"/>
            </w:pPr>
            <w:r>
              <w:rPr>
                <w:rFonts w:ascii="微软雅黑" w:hAnsi="微软雅黑" w:eastAsia="微软雅黑" w:cs="微软雅黑"/>
                <w:sz w:val="20"/>
                <w:szCs w:val="20"/>
              </w:rPr>
              <w:t>漏记 / 缺单</w:t>
            </w:r>
          </w:p>
        </w:tc>
        <w:tc>
          <w:tcPr>
            <w:tcW w:w="252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2A5FDC85">
            <w:pPr>
              <w:spacing w:after="0" w:line="252" w:lineRule="auto"/>
            </w:pPr>
            <w:r>
              <w:rPr>
                <w:rFonts w:ascii="微软雅黑" w:hAnsi="微软雅黑" w:eastAsia="微软雅黑" w:cs="微软雅黑"/>
                <w:sz w:val="20"/>
                <w:szCs w:val="20"/>
              </w:rPr>
              <w:t>业务部门</w:t>
            </w:r>
          </w:p>
        </w:tc>
        <w:tc>
          <w:tcPr>
            <w:tcW w:w="372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394825A4">
            <w:pPr>
              <w:spacing w:after="0" w:line="252" w:lineRule="auto"/>
            </w:pPr>
            <w:r>
              <w:rPr>
                <w:rFonts w:ascii="微软雅黑" w:hAnsi="微软雅黑" w:eastAsia="微软雅黑" w:cs="微软雅黑"/>
                <w:sz w:val="20"/>
                <w:szCs w:val="20"/>
              </w:rPr>
              <w:t>补提单据</w:t>
            </w:r>
          </w:p>
        </w:tc>
      </w:tr>
      <w:tr w14:paraId="3744C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2F041110">
            <w:pPr>
              <w:spacing w:after="0" w:line="252" w:lineRule="auto"/>
            </w:pPr>
            <w:r>
              <w:rPr>
                <w:rFonts w:ascii="微软雅黑" w:hAnsi="微软雅黑" w:eastAsia="微软雅黑" w:cs="微软雅黑"/>
                <w:sz w:val="20"/>
                <w:szCs w:val="20"/>
              </w:rPr>
              <w:t>金额错记</w:t>
            </w:r>
          </w:p>
        </w:tc>
        <w:tc>
          <w:tcPr>
            <w:tcW w:w="252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6B2F632A">
            <w:pPr>
              <w:spacing w:after="0" w:line="252" w:lineRule="auto"/>
            </w:pPr>
            <w:r>
              <w:rPr>
                <w:rFonts w:ascii="微软雅黑" w:hAnsi="微软雅黑" w:eastAsia="微软雅黑" w:cs="微软雅黑"/>
                <w:sz w:val="20"/>
                <w:szCs w:val="20"/>
              </w:rPr>
              <w:t>财务共享</w:t>
            </w:r>
          </w:p>
        </w:tc>
        <w:tc>
          <w:tcPr>
            <w:tcW w:w="372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4D54F9E9">
            <w:pPr>
              <w:spacing w:after="0" w:line="252" w:lineRule="auto"/>
            </w:pPr>
            <w:r>
              <w:rPr>
                <w:rFonts w:ascii="微软雅黑" w:hAnsi="微软雅黑" w:eastAsia="微软雅黑" w:cs="微软雅黑"/>
                <w:sz w:val="20"/>
                <w:szCs w:val="20"/>
              </w:rPr>
              <w:t>红冲调整</w:t>
            </w:r>
          </w:p>
        </w:tc>
      </w:tr>
      <w:tr w14:paraId="2B324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427117C7">
            <w:pPr>
              <w:spacing w:after="0" w:line="252" w:lineRule="auto"/>
            </w:pPr>
            <w:r>
              <w:rPr>
                <w:rFonts w:ascii="微软雅黑" w:hAnsi="微软雅黑" w:eastAsia="微软雅黑" w:cs="微软雅黑"/>
                <w:sz w:val="20"/>
                <w:szCs w:val="20"/>
              </w:rPr>
              <w:t>对账码错 / 缺</w:t>
            </w:r>
          </w:p>
        </w:tc>
        <w:tc>
          <w:tcPr>
            <w:tcW w:w="252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0BDC12EB">
            <w:pPr>
              <w:spacing w:after="0" w:line="252" w:lineRule="auto"/>
            </w:pPr>
            <w:r>
              <w:rPr>
                <w:rFonts w:ascii="微软雅黑" w:hAnsi="微软雅黑" w:eastAsia="微软雅黑" w:cs="微软雅黑"/>
                <w:sz w:val="20"/>
                <w:szCs w:val="20"/>
              </w:rPr>
              <w:t>业务部门</w:t>
            </w:r>
          </w:p>
        </w:tc>
        <w:tc>
          <w:tcPr>
            <w:tcW w:w="372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7A649729">
            <w:pPr>
              <w:spacing w:after="0" w:line="252" w:lineRule="auto"/>
            </w:pPr>
            <w:r>
              <w:rPr>
                <w:rFonts w:ascii="微软雅黑" w:hAnsi="微软雅黑" w:eastAsia="微软雅黑" w:cs="微软雅黑"/>
                <w:sz w:val="20"/>
                <w:szCs w:val="20"/>
              </w:rPr>
              <w:t>修正对账码</w:t>
            </w:r>
          </w:p>
        </w:tc>
      </w:tr>
    </w:tbl>
    <w:p w14:paraId="5AFE9F83">
      <w:pPr>
        <w:spacing w:after="120" w:line="276" w:lineRule="auto"/>
      </w:pPr>
      <w:r>
        <w:rPr>
          <w:rFonts w:ascii="微软雅黑" w:hAnsi="微软雅黑" w:eastAsia="微软雅黑" w:cs="微软雅黑"/>
          <w:b/>
          <w:bCs/>
          <w:sz w:val="22"/>
          <w:szCs w:val="22"/>
        </w:rPr>
        <w:t>可配置：</w:t>
      </w:r>
      <w:r>
        <w:rPr>
          <w:rFonts w:ascii="微软雅黑" w:hAnsi="微软雅黑" w:eastAsia="微软雅黑" w:cs="微软雅黑"/>
          <w:sz w:val="22"/>
          <w:szCs w:val="22"/>
        </w:rPr>
        <w:t>路由规则配置成表，新增原因码只改配置、不改代码。</w:t>
      </w:r>
    </w:p>
    <w:p w14:paraId="34084D46">
      <w:pPr>
        <w:spacing w:after="80"/>
      </w:pPr>
    </w:p>
    <w:p w14:paraId="5EF014DA">
      <w:pPr>
        <w:pStyle w:val="3"/>
      </w:pPr>
      <w:r>
        <w:rPr>
          <w:rFonts w:ascii="微软雅黑" w:hAnsi="微软雅黑" w:eastAsia="微软雅黑" w:cs="微软雅黑"/>
        </w:rPr>
        <w:t>5.3 工单状态机</w:t>
      </w:r>
    </w:p>
    <w:p w14:paraId="7006DA3A">
      <w:pPr>
        <w:spacing w:after="120" w:line="276" w:lineRule="auto"/>
      </w:pPr>
      <w:r>
        <w:rPr>
          <w:rFonts w:ascii="微软雅黑" w:hAnsi="微软雅黑" w:eastAsia="微软雅黑" w:cs="微软雅黑"/>
          <w:sz w:val="22"/>
          <w:szCs w:val="22"/>
        </w:rPr>
        <w:t>状态机解决「卡在谁那不知道」的问题，每次状态变更记录操作人、时间与备注。</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110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BBBBBB" w:sz="0" w:space="0"/>
              <w:left w:val="single" w:color="BBBBBB" w:sz="0" w:space="0"/>
              <w:bottom w:val="single" w:color="BBBBBB" w:sz="0" w:space="0"/>
              <w:right w:val="single" w:color="BBBBBB" w:sz="0" w:space="0"/>
            </w:tcBorders>
            <w:shd w:val="clear" w:color="auto" w:fill="F4F6F8"/>
            <w:tcMar>
              <w:top w:w="100" w:type="dxa"/>
              <w:left w:w="160" w:type="dxa"/>
              <w:bottom w:w="100" w:type="dxa"/>
              <w:right w:w="160" w:type="dxa"/>
            </w:tcMar>
          </w:tcPr>
          <w:p w14:paraId="5D874BB6">
            <w:pPr>
              <w:spacing w:after="0" w:line="240" w:lineRule="auto"/>
            </w:pPr>
            <w:r>
              <w:rPr>
                <w:rFonts w:ascii="Consolas" w:hAnsi="Consolas" w:eastAsia="Consolas" w:cs="Consolas"/>
                <w:sz w:val="18"/>
                <w:szCs w:val="18"/>
              </w:rPr>
              <w:t>待派单 → 待处理 → 处理中 → 待复核 → 已解决</w:t>
            </w:r>
          </w:p>
          <w:p w14:paraId="6ACB5C3F">
            <w:pPr>
              <w:spacing w:after="0" w:line="240" w:lineRule="auto"/>
            </w:pPr>
            <w:r>
              <w:rPr>
                <w:rFonts w:ascii="Consolas" w:hAnsi="Consolas" w:eastAsia="Consolas" w:cs="Consolas"/>
                <w:sz w:val="18"/>
                <w:szCs w:val="18"/>
              </w:rPr>
              <w:t xml:space="preserve">                  ↘ 退回(说明原因) ↗</w:t>
            </w:r>
          </w:p>
          <w:p w14:paraId="7C141AD9">
            <w:pPr>
              <w:spacing w:after="0" w:line="240" w:lineRule="auto"/>
            </w:pPr>
            <w:r>
              <w:rPr>
                <w:rFonts w:ascii="Consolas" w:hAnsi="Consolas" w:eastAsia="Consolas" w:cs="Consolas"/>
                <w:sz w:val="18"/>
                <w:szCs w:val="18"/>
              </w:rPr>
              <w:t xml:space="preserve">                          ↘ 转跨月结转 → (次月)待复核</w:t>
            </w:r>
          </w:p>
        </w:tc>
      </w:tr>
    </w:tbl>
    <w:p w14:paraId="46CB2D91">
      <w:pPr>
        <w:pStyle w:val="16"/>
        <w:numPr>
          <w:ilvl w:val="0"/>
          <w:numId w:val="3"/>
        </w:numPr>
        <w:spacing w:after="80" w:line="264" w:lineRule="auto"/>
      </w:pPr>
      <w:r>
        <w:rPr>
          <w:rFonts w:ascii="微软雅黑" w:hAnsi="微软雅黑" w:eastAsia="微软雅黑" w:cs="微软雅黑"/>
          <w:b/>
          <w:bCs/>
          <w:sz w:val="22"/>
          <w:szCs w:val="22"/>
        </w:rPr>
        <w:t>看板：</w:t>
      </w:r>
      <w:r>
        <w:rPr>
          <w:rFonts w:ascii="微软雅黑" w:hAnsi="微软雅黑" w:eastAsia="微软雅黑" w:cs="微软雅黑"/>
          <w:sz w:val="22"/>
          <w:szCs w:val="22"/>
        </w:rPr>
        <w:t>看板视图：按责任方、状态、账龄聚合，月末可直观看到「还有几笔卡在业务部门、最久挂了几天」，无需逐一追问。</w:t>
      </w:r>
    </w:p>
    <w:p w14:paraId="6B08F4AF">
      <w:pPr>
        <w:pStyle w:val="16"/>
        <w:numPr>
          <w:ilvl w:val="0"/>
          <w:numId w:val="3"/>
        </w:numPr>
        <w:spacing w:after="80" w:line="264" w:lineRule="auto"/>
      </w:pPr>
      <w:r>
        <w:rPr>
          <w:rFonts w:ascii="微软雅黑" w:hAnsi="微软雅黑" w:eastAsia="微软雅黑" w:cs="微软雅黑"/>
          <w:b/>
          <w:bCs/>
          <w:sz w:val="22"/>
          <w:szCs w:val="22"/>
        </w:rPr>
        <w:t>催办：</w:t>
      </w:r>
      <w:r>
        <w:rPr>
          <w:rFonts w:ascii="微软雅黑" w:hAnsi="微软雅黑" w:eastAsia="微软雅黑" w:cs="微软雅黑"/>
          <w:sz w:val="22"/>
          <w:szCs w:val="22"/>
        </w:rPr>
        <w:t>超时提醒：挂账超 N 天自动催办，避免月末最后一天才发现大量未处理。</w:t>
      </w:r>
    </w:p>
    <w:p w14:paraId="4CD9F043">
      <w:pPr>
        <w:spacing w:after="80"/>
      </w:pPr>
    </w:p>
    <w:p w14:paraId="4EFEC0B6">
      <w:pPr>
        <w:pStyle w:val="3"/>
      </w:pPr>
      <w:r>
        <w:rPr>
          <w:rFonts w:ascii="微软雅黑" w:hAnsi="微软雅黑" w:eastAsia="微软雅黑" w:cs="微软雅黑"/>
        </w:rPr>
        <w:t>5.4 跨月结转闭环</w:t>
      </w:r>
    </w:p>
    <w:p w14:paraId="168C847B">
      <w:pPr>
        <w:spacing w:after="120" w:line="276" w:lineRule="auto"/>
      </w:pPr>
      <w:r>
        <w:rPr>
          <w:rFonts w:ascii="微软雅黑" w:hAnsi="微软雅黑" w:eastAsia="微软雅黑" w:cs="微软雅黑"/>
          <w:sz w:val="22"/>
          <w:szCs w:val="22"/>
        </w:rPr>
        <w:t>未达账项是月月重复对账的主要来源，通过结转机制实现闭环。</w:t>
      </w:r>
    </w:p>
    <w:p w14:paraId="4F7AD49F">
      <w:pPr>
        <w:pStyle w:val="16"/>
        <w:numPr>
          <w:ilvl w:val="0"/>
          <w:numId w:val="3"/>
        </w:numPr>
        <w:spacing w:after="80" w:line="264" w:lineRule="auto"/>
      </w:pPr>
      <w:r>
        <w:rPr>
          <w:rFonts w:ascii="微软雅黑" w:hAnsi="微软雅黑" w:eastAsia="微软雅黑" w:cs="微软雅黑"/>
          <w:sz w:val="22"/>
          <w:szCs w:val="22"/>
        </w:rPr>
        <w:t>本月未解决且判定为「在途/跨期」的差异，自动标记结转，次月对账时自动带入并优先与新流水复对。</w:t>
      </w:r>
    </w:p>
    <w:p w14:paraId="674386A9">
      <w:pPr>
        <w:pStyle w:val="16"/>
        <w:numPr>
          <w:ilvl w:val="0"/>
          <w:numId w:val="3"/>
        </w:numPr>
        <w:spacing w:after="80" w:line="264" w:lineRule="auto"/>
      </w:pPr>
      <w:r>
        <w:rPr>
          <w:rFonts w:ascii="微软雅黑" w:hAnsi="微软雅黑" w:eastAsia="微软雅黑" w:cs="微软雅黑"/>
          <w:sz w:val="22"/>
          <w:szCs w:val="22"/>
        </w:rPr>
        <w:t>次月一旦匹配成功，工单自动闭环并回溯标注「X 月差异，Y 月解决」。</w:t>
      </w:r>
    </w:p>
    <w:p w14:paraId="526BEC62">
      <w:pPr>
        <w:pStyle w:val="16"/>
        <w:numPr>
          <w:ilvl w:val="0"/>
          <w:numId w:val="3"/>
        </w:numPr>
        <w:spacing w:after="80" w:line="264" w:lineRule="auto"/>
      </w:pPr>
      <w:r>
        <w:rPr>
          <w:rFonts w:ascii="微软雅黑" w:hAnsi="微软雅黑" w:eastAsia="微软雅黑" w:cs="微软雅黑"/>
          <w:sz w:val="22"/>
          <w:szCs w:val="22"/>
        </w:rPr>
        <w:t>避免每月从零排查同一笔，显著降低重复沟通量。</w:t>
      </w:r>
    </w:p>
    <w:p w14:paraId="6328E6E3">
      <w:pPr>
        <w:spacing w:after="80"/>
      </w:pPr>
    </w:p>
    <w:p w14:paraId="69BFBEEC">
      <w:pPr>
        <w:pStyle w:val="3"/>
      </w:pPr>
      <w:r>
        <w:rPr>
          <w:rFonts w:ascii="微软雅黑" w:hAnsi="微软雅黑" w:eastAsia="微软雅黑" w:cs="微软雅黑"/>
        </w:rPr>
        <w:t>5.5 解决闭环回写</w:t>
      </w:r>
    </w:p>
    <w:p w14:paraId="4F719D2D">
      <w:pPr>
        <w:spacing w:after="120" w:line="276" w:lineRule="auto"/>
      </w:pPr>
      <w:r>
        <w:rPr>
          <w:rFonts w:ascii="微软雅黑" w:hAnsi="微软雅黑" w:eastAsia="微软雅黑" w:cs="微软雅黑"/>
          <w:sz w:val="22"/>
          <w:szCs w:val="22"/>
        </w:rPr>
        <w:t>工单解决后（如财务补齐凭证），系统重新触发该对账码的轧差，能轧平则自动核销并关闭工单，形成「差异 → 处理 → 复核 → 核销」的完整闭环，全链路审计可查。</w:t>
      </w:r>
    </w:p>
    <w:p w14:paraId="3C0D10CC">
      <w:pPr>
        <w:pStyle w:val="2"/>
      </w:pPr>
      <w:r>
        <w:rPr>
          <w:rFonts w:ascii="微软雅黑" w:hAnsi="微软雅黑" w:eastAsia="微软雅黑" w:cs="微软雅黑"/>
        </w:rPr>
        <w:t>六、审计留痕设计</w:t>
      </w:r>
    </w:p>
    <w:p w14:paraId="1BBC8C11">
      <w:pPr>
        <w:spacing w:after="120" w:line="276" w:lineRule="auto"/>
      </w:pPr>
      <w:r>
        <w:rPr>
          <w:rFonts w:ascii="微软雅黑" w:hAnsi="微软雅黑" w:eastAsia="微软雅黑" w:cs="微软雅黑"/>
          <w:sz w:val="22"/>
          <w:szCs w:val="22"/>
        </w:rPr>
        <w:t>财务共享场景对审计可追溯为刚需，每一笔核销/挂账均落一条可追溯记录，且自动核销与人工核销必须可清晰区分。</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00215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10" w:type="dxa"/>
              <w:bottom w:w="60" w:type="dxa"/>
              <w:right w:w="110" w:type="dxa"/>
            </w:tcMar>
          </w:tcPr>
          <w:p w14:paraId="3F02DECE">
            <w:pPr>
              <w:spacing w:after="0" w:line="252" w:lineRule="auto"/>
              <w:jc w:val="center"/>
            </w:pPr>
            <w:r>
              <w:rPr>
                <w:rFonts w:ascii="微软雅黑" w:hAnsi="微软雅黑" w:eastAsia="微软雅黑" w:cs="微软雅黑"/>
                <w:b/>
                <w:bCs/>
                <w:color w:val="FFFFFF"/>
                <w:sz w:val="20"/>
                <w:szCs w:val="20"/>
              </w:rPr>
              <w:t>留痕字段</w:t>
            </w:r>
          </w:p>
        </w:tc>
        <w:tc>
          <w:tcPr>
            <w:tcW w:w="696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10" w:type="dxa"/>
              <w:bottom w:w="60" w:type="dxa"/>
              <w:right w:w="110" w:type="dxa"/>
            </w:tcMar>
          </w:tcPr>
          <w:p w14:paraId="6E73A09B">
            <w:pPr>
              <w:spacing w:after="0" w:line="252" w:lineRule="auto"/>
              <w:jc w:val="center"/>
            </w:pPr>
            <w:r>
              <w:rPr>
                <w:rFonts w:ascii="微软雅黑" w:hAnsi="微软雅黑" w:eastAsia="微软雅黑" w:cs="微软雅黑"/>
                <w:b/>
                <w:bCs/>
                <w:color w:val="FFFFFF"/>
                <w:sz w:val="20"/>
                <w:szCs w:val="20"/>
              </w:rPr>
              <w:t>说明</w:t>
            </w:r>
          </w:p>
        </w:tc>
      </w:tr>
      <w:tr w14:paraId="67B3B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7D0522D5">
            <w:pPr>
              <w:spacing w:after="0" w:line="252" w:lineRule="auto"/>
            </w:pPr>
            <w:r>
              <w:rPr>
                <w:rFonts w:ascii="微软雅黑" w:hAnsi="微软雅黑" w:eastAsia="微软雅黑" w:cs="微软雅黑"/>
                <w:sz w:val="20"/>
                <w:szCs w:val="20"/>
              </w:rPr>
              <w:t>核销批次号</w:t>
            </w:r>
          </w:p>
        </w:tc>
        <w:tc>
          <w:tcPr>
            <w:tcW w:w="696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4F9F8AE7">
            <w:pPr>
              <w:spacing w:after="0" w:line="252" w:lineRule="auto"/>
            </w:pPr>
            <w:r>
              <w:rPr>
                <w:rFonts w:ascii="微软雅黑" w:hAnsi="微软雅黑" w:eastAsia="微软雅黑" w:cs="微软雅黑"/>
                <w:sz w:val="20"/>
                <w:szCs w:val="20"/>
              </w:rPr>
              <w:t>月末某次对账的唯一标识</w:t>
            </w:r>
          </w:p>
        </w:tc>
      </w:tr>
      <w:tr w14:paraId="3A7CB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2300A496">
            <w:pPr>
              <w:spacing w:after="0" w:line="252" w:lineRule="auto"/>
            </w:pPr>
            <w:r>
              <w:rPr>
                <w:rFonts w:ascii="微软雅黑" w:hAnsi="微软雅黑" w:eastAsia="微软雅黑" w:cs="微软雅黑"/>
                <w:sz w:val="20"/>
                <w:szCs w:val="20"/>
              </w:rPr>
              <w:t>匹配方式</w:t>
            </w:r>
          </w:p>
        </w:tc>
        <w:tc>
          <w:tcPr>
            <w:tcW w:w="696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0169548A">
            <w:pPr>
              <w:spacing w:after="0" w:line="252" w:lineRule="auto"/>
            </w:pPr>
            <w:r>
              <w:rPr>
                <w:rFonts w:ascii="微软雅黑" w:hAnsi="微软雅黑" w:eastAsia="微软雅黑" w:cs="微软雅黑"/>
                <w:sz w:val="20"/>
                <w:szCs w:val="20"/>
              </w:rPr>
              <w:t>对账码精确 / 分组轧差 / 金额凑数 / 人工</w:t>
            </w:r>
          </w:p>
        </w:tc>
      </w:tr>
      <w:tr w14:paraId="06AD5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7B0149A1">
            <w:pPr>
              <w:spacing w:after="0" w:line="252" w:lineRule="auto"/>
            </w:pPr>
            <w:r>
              <w:rPr>
                <w:rFonts w:ascii="微软雅黑" w:hAnsi="微软雅黑" w:eastAsia="微软雅黑" w:cs="微软雅黑"/>
                <w:sz w:val="20"/>
                <w:szCs w:val="20"/>
              </w:rPr>
              <w:t>匹配置信度</w:t>
            </w:r>
          </w:p>
        </w:tc>
        <w:tc>
          <w:tcPr>
            <w:tcW w:w="696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64ABA421">
            <w:pPr>
              <w:spacing w:after="0" w:line="252" w:lineRule="auto"/>
            </w:pPr>
            <w:r>
              <w:rPr>
                <w:rFonts w:ascii="微软雅黑" w:hAnsi="微软雅黑" w:eastAsia="微软雅黑" w:cs="微软雅黑"/>
                <w:sz w:val="20"/>
                <w:szCs w:val="20"/>
              </w:rPr>
              <w:t>自动核销 / 建议核销 / 人工核销</w:t>
            </w:r>
          </w:p>
        </w:tc>
      </w:tr>
      <w:tr w14:paraId="27C5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2BE03B68">
            <w:pPr>
              <w:spacing w:after="0" w:line="252" w:lineRule="auto"/>
            </w:pPr>
            <w:r>
              <w:rPr>
                <w:rFonts w:ascii="微软雅黑" w:hAnsi="微软雅黑" w:eastAsia="微软雅黑" w:cs="微软雅黑"/>
                <w:sz w:val="20"/>
                <w:szCs w:val="20"/>
              </w:rPr>
              <w:t>关联明细</w:t>
            </w:r>
          </w:p>
        </w:tc>
        <w:tc>
          <w:tcPr>
            <w:tcW w:w="696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4704ACEF">
            <w:pPr>
              <w:spacing w:after="0" w:line="252" w:lineRule="auto"/>
            </w:pPr>
            <w:r>
              <w:rPr>
                <w:rFonts w:ascii="微软雅黑" w:hAnsi="微软雅黑" w:eastAsia="微软雅黑" w:cs="微软雅黑"/>
                <w:sz w:val="20"/>
                <w:szCs w:val="20"/>
              </w:rPr>
              <w:t>参与本次核销的全部银行与凭证流水号</w:t>
            </w:r>
          </w:p>
        </w:tc>
      </w:tr>
      <w:tr w14:paraId="12378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43558ADB">
            <w:pPr>
              <w:spacing w:after="0" w:line="252" w:lineRule="auto"/>
            </w:pPr>
            <w:r>
              <w:rPr>
                <w:rFonts w:ascii="微软雅黑" w:hAnsi="微软雅黑" w:eastAsia="微软雅黑" w:cs="微软雅黑"/>
                <w:sz w:val="20"/>
                <w:szCs w:val="20"/>
              </w:rPr>
              <w:t>操作人 / 时间</w:t>
            </w:r>
          </w:p>
        </w:tc>
        <w:tc>
          <w:tcPr>
            <w:tcW w:w="696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33E245DF">
            <w:pPr>
              <w:spacing w:after="0" w:line="252" w:lineRule="auto"/>
            </w:pPr>
            <w:r>
              <w:rPr>
                <w:rFonts w:ascii="微软雅黑" w:hAnsi="微软雅黑" w:eastAsia="微软雅黑" w:cs="微软雅黑"/>
                <w:sz w:val="20"/>
                <w:szCs w:val="20"/>
              </w:rPr>
              <w:t>自动则记系统，人工记工号</w:t>
            </w:r>
          </w:p>
        </w:tc>
      </w:tr>
      <w:tr w14:paraId="0B142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45D247AE">
            <w:pPr>
              <w:spacing w:after="0" w:line="252" w:lineRule="auto"/>
            </w:pPr>
            <w:r>
              <w:rPr>
                <w:rFonts w:ascii="微软雅黑" w:hAnsi="微软雅黑" w:eastAsia="微软雅黑" w:cs="微软雅黑"/>
                <w:sz w:val="20"/>
                <w:szCs w:val="20"/>
              </w:rPr>
              <w:t>差异原因码</w:t>
            </w:r>
          </w:p>
        </w:tc>
        <w:tc>
          <w:tcPr>
            <w:tcW w:w="696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7BE62883">
            <w:pPr>
              <w:spacing w:after="0" w:line="252" w:lineRule="auto"/>
            </w:pPr>
            <w:r>
              <w:rPr>
                <w:rFonts w:ascii="微软雅黑" w:hAnsi="微软雅黑" w:eastAsia="微软雅黑" w:cs="微软雅黑"/>
                <w:sz w:val="20"/>
                <w:szCs w:val="20"/>
              </w:rPr>
              <w:t>挂账时必填</w:t>
            </w:r>
          </w:p>
        </w:tc>
      </w:tr>
    </w:tbl>
    <w:p w14:paraId="508048FC">
      <w:pPr>
        <w:spacing w:after="80"/>
      </w:pPr>
    </w:p>
    <w:p w14:paraId="0501F35F">
      <w:pPr>
        <w:spacing w:after="120" w:line="276" w:lineRule="auto"/>
      </w:pPr>
      <w:r>
        <w:rPr>
          <w:rFonts w:ascii="微软雅黑" w:hAnsi="微软雅黑" w:eastAsia="微软雅黑" w:cs="微软雅黑"/>
          <w:b/>
          <w:bCs/>
          <w:sz w:val="22"/>
          <w:szCs w:val="22"/>
        </w:rPr>
        <w:t>审计要点：</w:t>
      </w:r>
      <w:r>
        <w:rPr>
          <w:rFonts w:ascii="微软雅黑" w:hAnsi="微软雅黑" w:eastAsia="微软雅黑" w:cs="微软雅黑"/>
          <w:sz w:val="22"/>
          <w:szCs w:val="22"/>
        </w:rPr>
        <w:t>建议核销（AI/凑数推断）必须留有人工确认痕迹，审计才站得住。</w:t>
      </w:r>
    </w:p>
    <w:p w14:paraId="4E4BE4D0">
      <w:pPr>
        <w:pStyle w:val="2"/>
      </w:pPr>
      <w:r>
        <w:rPr>
          <w:rFonts w:ascii="微软雅黑" w:hAnsi="微软雅黑" w:eastAsia="微软雅黑" w:cs="微软雅黑"/>
        </w:rPr>
        <w:t>七、AI 模型分工</w:t>
      </w:r>
    </w:p>
    <w:p w14:paraId="706B3793">
      <w:pPr>
        <w:spacing w:after="120" w:line="276" w:lineRule="auto"/>
      </w:pPr>
      <w:r>
        <w:rPr>
          <w:rFonts w:ascii="微软雅黑" w:hAnsi="微软雅黑" w:eastAsia="微软雅黑" w:cs="微软雅黑"/>
          <w:sz w:val="22"/>
          <w:szCs w:val="22"/>
        </w:rPr>
        <w:t>绝大部分对账逻辑由确定性规则承担，AI 调用集中在尾部约 5%–15% 的疑难项，月末集中跑整体成本可控。</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301C9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10" w:type="dxa"/>
              <w:bottom w:w="60" w:type="dxa"/>
              <w:right w:w="110" w:type="dxa"/>
            </w:tcMar>
          </w:tcPr>
          <w:p w14:paraId="1D8B85A6">
            <w:pPr>
              <w:spacing w:after="0" w:line="252" w:lineRule="auto"/>
              <w:jc w:val="center"/>
            </w:pPr>
            <w:r>
              <w:rPr>
                <w:rFonts w:ascii="微软雅黑" w:hAnsi="微软雅黑" w:eastAsia="微软雅黑" w:cs="微软雅黑"/>
                <w:b/>
                <w:bCs/>
                <w:color w:val="FFFFFF"/>
                <w:sz w:val="20"/>
                <w:szCs w:val="20"/>
              </w:rPr>
              <w:t>模型</w:t>
            </w:r>
          </w:p>
        </w:tc>
        <w:tc>
          <w:tcPr>
            <w:tcW w:w="348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10" w:type="dxa"/>
              <w:bottom w:w="60" w:type="dxa"/>
              <w:right w:w="110" w:type="dxa"/>
            </w:tcMar>
          </w:tcPr>
          <w:p w14:paraId="10679BFF">
            <w:pPr>
              <w:spacing w:after="0" w:line="252" w:lineRule="auto"/>
              <w:jc w:val="center"/>
            </w:pPr>
            <w:r>
              <w:rPr>
                <w:rFonts w:ascii="微软雅黑" w:hAnsi="微软雅黑" w:eastAsia="微软雅黑" w:cs="微软雅黑"/>
                <w:b/>
                <w:bCs/>
                <w:color w:val="FFFFFF"/>
                <w:sz w:val="20"/>
                <w:szCs w:val="20"/>
              </w:rPr>
              <w:t>承担环节</w:t>
            </w:r>
          </w:p>
        </w:tc>
        <w:tc>
          <w:tcPr>
            <w:tcW w:w="3480" w:type="dxa"/>
            <w:tcBorders>
              <w:top w:val="single" w:color="BBBBBB" w:sz="0" w:space="0"/>
              <w:left w:val="single" w:color="BBBBBB" w:sz="0" w:space="0"/>
              <w:bottom w:val="single" w:color="BBBBBB" w:sz="0" w:space="0"/>
              <w:right w:val="single" w:color="BBBBBB" w:sz="0" w:space="0"/>
            </w:tcBorders>
            <w:shd w:val="clear" w:color="auto" w:fill="1F4E79"/>
            <w:tcMar>
              <w:top w:w="60" w:type="dxa"/>
              <w:left w:w="110" w:type="dxa"/>
              <w:bottom w:w="60" w:type="dxa"/>
              <w:right w:w="110" w:type="dxa"/>
            </w:tcMar>
          </w:tcPr>
          <w:p w14:paraId="08EDE7CE">
            <w:pPr>
              <w:spacing w:after="0" w:line="252" w:lineRule="auto"/>
              <w:jc w:val="center"/>
            </w:pPr>
            <w:r>
              <w:rPr>
                <w:rFonts w:ascii="微软雅黑" w:hAnsi="微软雅黑" w:eastAsia="微软雅黑" w:cs="微软雅黑"/>
                <w:b/>
                <w:bCs/>
                <w:color w:val="FFFFFF"/>
                <w:sz w:val="20"/>
                <w:szCs w:val="20"/>
              </w:rPr>
              <w:t>选择理由</w:t>
            </w:r>
          </w:p>
        </w:tc>
      </w:tr>
      <w:tr w14:paraId="6BC25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2E63246B">
            <w:pPr>
              <w:spacing w:after="0" w:line="252" w:lineRule="auto"/>
            </w:pPr>
            <w:r>
              <w:rPr>
                <w:rFonts w:ascii="微软雅黑" w:hAnsi="微软雅黑" w:eastAsia="微软雅黑" w:cs="微软雅黑"/>
                <w:sz w:val="20"/>
                <w:szCs w:val="20"/>
              </w:rPr>
              <w:t>Haiku 4.5</w:t>
            </w:r>
          </w:p>
        </w:tc>
        <w:tc>
          <w:tcPr>
            <w:tcW w:w="348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05B9B003">
            <w:pPr>
              <w:spacing w:after="0" w:line="252" w:lineRule="auto"/>
            </w:pPr>
            <w:r>
              <w:rPr>
                <w:rFonts w:ascii="微软雅黑" w:hAnsi="微软雅黑" w:eastAsia="微软雅黑" w:cs="微软雅黑"/>
                <w:sz w:val="20"/>
                <w:szCs w:val="20"/>
              </w:rPr>
              <w:t>第 4 层语义模糊匹配、凑数归属判断</w:t>
            </w:r>
          </w:p>
        </w:tc>
        <w:tc>
          <w:tcPr>
            <w:tcW w:w="348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67D6B74A">
            <w:pPr>
              <w:spacing w:after="0" w:line="252" w:lineRule="auto"/>
            </w:pPr>
            <w:r>
              <w:rPr>
                <w:rFonts w:ascii="微软雅黑" w:hAnsi="微软雅黑" w:eastAsia="微软雅黑" w:cs="微软雅黑"/>
                <w:sz w:val="20"/>
                <w:szCs w:val="20"/>
              </w:rPr>
              <w:t>量大但单次简单，速度快、成本低</w:t>
            </w:r>
          </w:p>
        </w:tc>
      </w:tr>
      <w:tr w14:paraId="3AC12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3E6BD37C">
            <w:pPr>
              <w:spacing w:after="0" w:line="252" w:lineRule="auto"/>
            </w:pPr>
            <w:r>
              <w:rPr>
                <w:rFonts w:ascii="微软雅黑" w:hAnsi="微软雅黑" w:eastAsia="微软雅黑" w:cs="微软雅黑"/>
                <w:sz w:val="20"/>
                <w:szCs w:val="20"/>
              </w:rPr>
              <w:t>Sonnet 4.6</w:t>
            </w:r>
          </w:p>
        </w:tc>
        <w:tc>
          <w:tcPr>
            <w:tcW w:w="348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26699B9A">
            <w:pPr>
              <w:spacing w:after="0" w:line="252" w:lineRule="auto"/>
            </w:pPr>
            <w:r>
              <w:rPr>
                <w:rFonts w:ascii="微软雅黑" w:hAnsi="微软雅黑" w:eastAsia="微软雅黑" w:cs="微软雅黑"/>
                <w:sz w:val="20"/>
                <w:szCs w:val="20"/>
              </w:rPr>
              <w:t>差异归因、一句话说明、派单建议（主力）</w:t>
            </w:r>
          </w:p>
        </w:tc>
        <w:tc>
          <w:tcPr>
            <w:tcW w:w="3480" w:type="dxa"/>
            <w:tcBorders>
              <w:top w:val="single" w:color="BBBBBB" w:sz="0" w:space="0"/>
              <w:left w:val="single" w:color="BBBBBB" w:sz="0" w:space="0"/>
              <w:bottom w:val="single" w:color="BBBBBB" w:sz="0" w:space="0"/>
              <w:right w:val="single" w:color="BBBBBB" w:sz="0" w:space="0"/>
            </w:tcBorders>
            <w:shd w:val="clear" w:color="auto" w:fill="EAF1F8"/>
            <w:tcMar>
              <w:top w:w="60" w:type="dxa"/>
              <w:left w:w="110" w:type="dxa"/>
              <w:bottom w:w="60" w:type="dxa"/>
              <w:right w:w="110" w:type="dxa"/>
            </w:tcMar>
          </w:tcPr>
          <w:p w14:paraId="19451D54">
            <w:pPr>
              <w:spacing w:after="0" w:line="252" w:lineRule="auto"/>
            </w:pPr>
            <w:r>
              <w:rPr>
                <w:rFonts w:ascii="微软雅黑" w:hAnsi="微软雅黑" w:eastAsia="微软雅黑" w:cs="微软雅黑"/>
                <w:sz w:val="20"/>
                <w:szCs w:val="20"/>
              </w:rPr>
              <w:t>需一定推理，性价比均衡</w:t>
            </w:r>
          </w:p>
        </w:tc>
      </w:tr>
      <w:tr w14:paraId="58C17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6BFB2CC2">
            <w:pPr>
              <w:spacing w:after="0" w:line="252" w:lineRule="auto"/>
            </w:pPr>
            <w:r>
              <w:rPr>
                <w:rFonts w:ascii="微软雅黑" w:hAnsi="微软雅黑" w:eastAsia="微软雅黑" w:cs="微软雅黑"/>
                <w:sz w:val="20"/>
                <w:szCs w:val="20"/>
              </w:rPr>
              <w:t>Opus 4.8</w:t>
            </w:r>
          </w:p>
        </w:tc>
        <w:tc>
          <w:tcPr>
            <w:tcW w:w="348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35E4A69A">
            <w:pPr>
              <w:spacing w:after="0" w:line="252" w:lineRule="auto"/>
            </w:pPr>
            <w:r>
              <w:rPr>
                <w:rFonts w:ascii="微软雅黑" w:hAnsi="微软雅黑" w:eastAsia="微软雅黑" w:cs="微软雅黑"/>
                <w:sz w:val="20"/>
                <w:szCs w:val="20"/>
              </w:rPr>
              <w:t>跨期、复杂多对多疑难账分析</w:t>
            </w:r>
          </w:p>
        </w:tc>
        <w:tc>
          <w:tcPr>
            <w:tcW w:w="3480" w:type="dxa"/>
            <w:tcBorders>
              <w:top w:val="single" w:color="BBBBBB" w:sz="0" w:space="0"/>
              <w:left w:val="single" w:color="BBBBBB" w:sz="0" w:space="0"/>
              <w:bottom w:val="single" w:color="BBBBBB" w:sz="0" w:space="0"/>
              <w:right w:val="single" w:color="BBBBBB" w:sz="0" w:space="0"/>
            </w:tcBorders>
            <w:tcMar>
              <w:top w:w="60" w:type="dxa"/>
              <w:left w:w="110" w:type="dxa"/>
              <w:bottom w:w="60" w:type="dxa"/>
              <w:right w:w="110" w:type="dxa"/>
            </w:tcMar>
          </w:tcPr>
          <w:p w14:paraId="191B7A52">
            <w:pPr>
              <w:spacing w:after="0" w:line="252" w:lineRule="auto"/>
            </w:pPr>
            <w:r>
              <w:rPr>
                <w:rFonts w:ascii="微软雅黑" w:hAnsi="微软雅黑" w:eastAsia="微软雅黑" w:cs="微软雅黑"/>
                <w:sz w:val="20"/>
                <w:szCs w:val="20"/>
              </w:rPr>
              <w:t>量小但难，需强推理能力</w:t>
            </w:r>
          </w:p>
        </w:tc>
      </w:tr>
    </w:tbl>
    <w:p w14:paraId="326A972B">
      <w:pPr>
        <w:pStyle w:val="2"/>
      </w:pPr>
      <w:r>
        <w:rPr>
          <w:rFonts w:ascii="微软雅黑" w:hAnsi="微软雅黑" w:eastAsia="微软雅黑" w:cs="微软雅黑"/>
        </w:rPr>
        <w:t>八、落地建议</w:t>
      </w:r>
    </w:p>
    <w:p w14:paraId="3E52CC5B">
      <w:pPr>
        <w:pStyle w:val="16"/>
        <w:numPr>
          <w:ilvl w:val="0"/>
          <w:numId w:val="4"/>
        </w:numPr>
        <w:spacing w:after="80" w:line="264" w:lineRule="auto"/>
      </w:pPr>
      <w:r>
        <w:rPr>
          <w:rFonts w:ascii="微软雅黑" w:hAnsi="微软雅黑" w:eastAsia="微软雅黑" w:cs="微软雅黑"/>
          <w:sz w:val="22"/>
          <w:szCs w:val="22"/>
        </w:rPr>
        <w:t>先固化字段归一化与对账码透传规则，确保第 1 层（对账码核销）覆盖率最大化。</w:t>
      </w:r>
    </w:p>
    <w:p w14:paraId="327201B9">
      <w:pPr>
        <w:pStyle w:val="16"/>
        <w:numPr>
          <w:ilvl w:val="0"/>
          <w:numId w:val="4"/>
        </w:numPr>
        <w:spacing w:after="80" w:line="264" w:lineRule="auto"/>
      </w:pPr>
      <w:r>
        <w:rPr>
          <w:rFonts w:ascii="微软雅黑" w:hAnsi="微软雅黑" w:eastAsia="微软雅黑" w:cs="微软雅黑"/>
          <w:sz w:val="22"/>
          <w:szCs w:val="22"/>
        </w:rPr>
        <w:t>实现分组轧差主链路与置信度分级，跑通自动核销与挂账分流。</w:t>
      </w:r>
    </w:p>
    <w:p w14:paraId="098BDD71">
      <w:pPr>
        <w:pStyle w:val="16"/>
        <w:numPr>
          <w:ilvl w:val="0"/>
          <w:numId w:val="4"/>
        </w:numPr>
        <w:spacing w:after="80" w:line="264" w:lineRule="auto"/>
      </w:pPr>
      <w:r>
        <w:rPr>
          <w:rFonts w:ascii="微软雅黑" w:hAnsi="微软雅黑" w:eastAsia="微软雅黑" w:cs="微软雅黑"/>
          <w:sz w:val="22"/>
          <w:szCs w:val="22"/>
        </w:rPr>
        <w:t>建设差异工单与状态机、看板，先解决月末沟通闭环这一核心痛点。</w:t>
      </w:r>
    </w:p>
    <w:p w14:paraId="72FEDB70">
      <w:pPr>
        <w:pStyle w:val="16"/>
        <w:numPr>
          <w:ilvl w:val="0"/>
          <w:numId w:val="4"/>
        </w:numPr>
        <w:spacing w:after="80" w:line="264" w:lineRule="auto"/>
      </w:pPr>
      <w:r>
        <w:rPr>
          <w:rFonts w:ascii="微软雅黑" w:hAnsi="微软雅黑" w:eastAsia="微软雅黑" w:cs="微软雅黑"/>
          <w:sz w:val="22"/>
          <w:szCs w:val="22"/>
        </w:rPr>
        <w:t>接入 AI 辅助归因与模糊匹配，逐步提升尾部自动化处理比例。</w:t>
      </w:r>
    </w:p>
    <w:p w14:paraId="4D2E2842">
      <w:pPr>
        <w:pStyle w:val="16"/>
        <w:numPr>
          <w:ilvl w:val="0"/>
          <w:numId w:val="4"/>
        </w:numPr>
        <w:spacing w:after="80" w:line="264" w:lineRule="auto"/>
      </w:pPr>
      <w:r>
        <w:rPr>
          <w:rFonts w:ascii="微软雅黑" w:hAnsi="微软雅黑" w:eastAsia="微软雅黑" w:cs="微软雅黑"/>
          <w:sz w:val="22"/>
          <w:szCs w:val="22"/>
        </w:rPr>
        <w:t>完善跨月结转与审计留痕，形成可持续的闭环运营机制。</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0000000000000000000"/>
    <w:charset w:val="86"/>
    <w:family w:val="auto"/>
    <w:pitch w:val="default"/>
    <w:sig w:usb0="00000000" w:usb1="00000000" w:usb2="00000000" w:usb3="00000000" w:csb0="00000000" w:csb1="00000000"/>
  </w:font>
  <w:font w:name="汉仪旗黑KW 55S">
    <w:panose1 w:val="00020600040101010101"/>
    <w:charset w:val="86"/>
    <w:family w:val="auto"/>
    <w:pitch w:val="default"/>
    <w:sig w:usb0="A00002BF" w:usb1="3ACF7CFA" w:usb2="00000016" w:usb3="00000000" w:csb0="0004009F" w:csb1="DFD70000"/>
  </w:font>
  <w:font w:name="Consolas">
    <w:altName w:val="Noto Sans Mono"/>
    <w:panose1 w:val="020B0609020204030204"/>
    <w:charset w:val="00"/>
    <w:family w:val="auto"/>
    <w:pitch w:val="default"/>
    <w:sig w:usb0="E00006FF" w:usb1="0000FCFF" w:usb2="00000001" w:usb3="00000000" w:csb0="00000000" w:csb1="00000000"/>
  </w:font>
  <w:font w:name="Noto Sans Mono">
    <w:panose1 w:val="020B0509040504020204"/>
    <w:charset w:val="00"/>
    <w:family w:val="auto"/>
    <w:pitch w:val="default"/>
    <w:sig w:usb0="E00002FF" w:usb1="400038DF" w:usb2="08000029" w:usb3="001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A425B">
    <w:pPr>
      <w:spacing w:before="0"/>
      <w:jc w:val="center"/>
    </w:pPr>
    <w:r>
      <w:rPr>
        <w:rFonts w:ascii="微软雅黑" w:hAnsi="微软雅黑" w:eastAsia="微软雅黑" w:cs="微软雅黑"/>
        <w:color w:val="999999"/>
        <w:sz w:val="16"/>
        <w:szCs w:val="16"/>
      </w:rPr>
      <w:t xml:space="preserve">第 </w:t>
    </w:r>
    <w:r>
      <w:rPr>
        <w:color w:val="999999"/>
        <w:sz w:val="16"/>
        <w:szCs w:val="16"/>
      </w:rPr>
      <w:fldChar w:fldCharType="begin"/>
    </w:r>
    <w:r>
      <w:rPr>
        <w:color w:val="999999"/>
        <w:sz w:val="16"/>
        <w:szCs w:val="16"/>
      </w:rPr>
      <w:instrText xml:space="preserve">PAGE</w:instrText>
    </w:r>
    <w:r>
      <w:rPr>
        <w:color w:val="999999"/>
        <w:sz w:val="16"/>
        <w:szCs w:val="16"/>
      </w:rPr>
      <w:fldChar w:fldCharType="separate"/>
    </w:r>
    <w:r>
      <w:rPr>
        <w:color w:val="999999"/>
        <w:sz w:val="16"/>
        <w:szCs w:val="16"/>
      </w:rPr>
      <w:fldChar w:fldCharType="end"/>
    </w:r>
    <w:r>
      <w:rPr>
        <w:rFonts w:ascii="微软雅黑" w:hAnsi="微软雅黑" w:eastAsia="微软雅黑" w:cs="微软雅黑"/>
        <w:color w:val="999999"/>
        <w:sz w:val="16"/>
        <w:szCs w:val="16"/>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722C1">
    <w:pPr>
      <w:pBdr>
        <w:bottom w:val="single" w:color="CCCCCC" w:sz="4" w:space="2"/>
      </w:pBdr>
      <w:spacing w:after="0"/>
      <w:jc w:val="right"/>
    </w:pPr>
    <w:r>
      <w:rPr>
        <w:rFonts w:ascii="微软雅黑" w:hAnsi="微软雅黑" w:eastAsia="微软雅黑" w:cs="微软雅黑"/>
        <w:color w:val="999999"/>
        <w:sz w:val="16"/>
        <w:szCs w:val="16"/>
      </w:rPr>
      <w:t>资金对账系统建设方案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EFFA5D"/>
    <w:multiLevelType w:val="singleLevel"/>
    <w:tmpl w:val="BDEFFA5D"/>
    <w:lvl w:ilvl="0" w:tentative="0">
      <w:start w:val="1"/>
      <w:numFmt w:val="bullet"/>
      <w:lvlText w:val="•"/>
      <w:lvlJc w:val="left"/>
      <w:pPr>
        <w:ind w:left="600" w:hanging="280"/>
      </w:pPr>
    </w:lvl>
  </w:abstractNum>
  <w:abstractNum w:abstractNumId="1">
    <w:nsid w:val="EE7AA224"/>
    <w:multiLevelType w:val="singleLevel"/>
    <w:tmpl w:val="EE7AA224"/>
    <w:lvl w:ilvl="0" w:tentative="0">
      <w:start w:val="1"/>
      <w:numFmt w:val="decimal"/>
      <w:lvlText w:val="%1."/>
      <w:lvlJc w:val="left"/>
      <w:pPr>
        <w:ind w:left="600" w:hanging="320"/>
      </w:pPr>
    </w:lvl>
  </w:abstractNum>
  <w:abstractNum w:abstractNumId="2">
    <w:nsid w:val="FEBED8F6"/>
    <w:multiLevelType w:val="singleLevel"/>
    <w:tmpl w:val="FEBED8F6"/>
    <w:lvl w:ilvl="0" w:tentative="0">
      <w:start w:val="1"/>
      <w:numFmt w:val="decimal"/>
      <w:lvlText w:val="%1."/>
      <w:lvlJc w:val="left"/>
      <w:pPr>
        <w:tabs>
          <w:tab w:val="left" w:pos="425"/>
        </w:tabs>
        <w:ind w:left="425" w:leftChars="0" w:hanging="425" w:firstLineChars="0"/>
      </w:pPr>
      <w:rPr>
        <w:rFonts w:hint="default"/>
      </w:rPr>
    </w:lvl>
  </w:abstractNum>
  <w:abstractNum w:abstractNumId="3">
    <w:nsid w:val="55FA7C52"/>
    <w:multiLevelType w:val="singleLevel"/>
    <w:tmpl w:val="55FA7C52"/>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3"/>
  </w:num>
  <w:num w:numId="3">
    <w:abstractNumId w:val="0"/>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477EFBFA"/>
    <w:rsid w:val="8FDE212D"/>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2"/>
      <w:szCs w:val="22"/>
    </w:rPr>
  </w:style>
  <w:style w:type="paragraph" w:styleId="2">
    <w:name w:val="heading 1"/>
    <w:next w:val="1"/>
    <w:qFormat/>
    <w:uiPriority w:val="0"/>
    <w:pPr>
      <w:pBdr>
        <w:bottom w:val="single" w:color="2E75B6" w:sz="6" w:space="4"/>
      </w:pBdr>
      <w:spacing w:before="320" w:after="200"/>
      <w:outlineLvl w:val="0"/>
    </w:pPr>
    <w:rPr>
      <w:rFonts w:ascii="微软雅黑" w:hAnsi="微软雅黑" w:eastAsia="微软雅黑" w:cs="微软雅黑"/>
      <w:b/>
      <w:bCs/>
      <w:color w:val="1F4E79"/>
      <w:sz w:val="32"/>
      <w:szCs w:val="32"/>
    </w:rPr>
  </w:style>
  <w:style w:type="paragraph" w:styleId="3">
    <w:name w:val="heading 2"/>
    <w:next w:val="1"/>
    <w:qFormat/>
    <w:uiPriority w:val="0"/>
    <w:pPr>
      <w:spacing w:before="220" w:after="140"/>
      <w:outlineLvl w:val="1"/>
    </w:pPr>
    <w:rPr>
      <w:rFonts w:ascii="微软雅黑" w:hAnsi="微软雅黑" w:eastAsia="微软雅黑" w:cs="微软雅黑"/>
      <w:b/>
      <w:bCs/>
      <w:color w:val="2E4D6B"/>
      <w:sz w:val="26"/>
      <w:szCs w:val="26"/>
    </w:rPr>
  </w:style>
  <w:style w:type="paragraph" w:styleId="4">
    <w:name w:val="heading 3"/>
    <w:next w:val="1"/>
    <w:qFormat/>
    <w:uiPriority w:val="0"/>
    <w:pPr>
      <w:spacing w:before="160" w:after="100"/>
      <w:outlineLvl w:val="2"/>
    </w:pPr>
    <w:rPr>
      <w:rFonts w:ascii="微软雅黑" w:hAnsi="微软雅黑" w:eastAsia="微软雅黑" w:cs="微软雅黑"/>
      <w:b/>
      <w:bCs/>
      <w:color w:val="33475B"/>
      <w:sz w:val="23"/>
      <w:szCs w:val="23"/>
    </w:rPr>
  </w:style>
  <w:style w:type="paragraph" w:styleId="5">
    <w:name w:val="heading 4"/>
    <w:next w:val="1"/>
    <w:qFormat/>
    <w:uiPriority w:val="0"/>
    <w:rPr>
      <w:rFonts w:ascii="微软雅黑" w:hAnsi="微软雅黑" w:eastAsia="微软雅黑" w:cs="微软雅黑"/>
      <w:i/>
      <w:iCs/>
      <w:color w:val="2E74B5"/>
      <w:sz w:val="22"/>
      <w:szCs w:val="22"/>
    </w:rPr>
  </w:style>
  <w:style w:type="paragraph" w:styleId="6">
    <w:name w:val="heading 5"/>
    <w:next w:val="1"/>
    <w:qFormat/>
    <w:uiPriority w:val="0"/>
    <w:rPr>
      <w:rFonts w:ascii="微软雅黑" w:hAnsi="微软雅黑" w:eastAsia="微软雅黑" w:cs="微软雅黑"/>
      <w:color w:val="2E74B5"/>
      <w:sz w:val="22"/>
      <w:szCs w:val="22"/>
    </w:rPr>
  </w:style>
  <w:style w:type="paragraph" w:styleId="7">
    <w:name w:val="heading 6"/>
    <w:next w:val="1"/>
    <w:qFormat/>
    <w:uiPriority w:val="0"/>
    <w:rPr>
      <w:rFonts w:ascii="微软雅黑" w:hAnsi="微软雅黑" w:eastAsia="微软雅黑" w:cs="微软雅黑"/>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微软雅黑" w:hAnsi="微软雅黑" w:eastAsia="微软雅黑" w:cs="微软雅黑"/>
      <w:sz w:val="20"/>
      <w:szCs w:val="20"/>
    </w:rPr>
  </w:style>
  <w:style w:type="paragraph" w:styleId="9">
    <w:name w:val="footnote text"/>
    <w:link w:val="17"/>
    <w:semiHidden/>
    <w:unhideWhenUsed/>
    <w:qFormat/>
    <w:uiPriority w:val="99"/>
    <w:pPr>
      <w:spacing w:after="0" w:line="240" w:lineRule="auto"/>
    </w:pPr>
    <w:rPr>
      <w:rFonts w:ascii="微软雅黑" w:hAnsi="微软雅黑" w:eastAsia="微软雅黑" w:cs="微软雅黑"/>
      <w:sz w:val="20"/>
      <w:szCs w:val="20"/>
    </w:rPr>
  </w:style>
  <w:style w:type="paragraph" w:styleId="10">
    <w:name w:val="Title"/>
    <w:qFormat/>
    <w:uiPriority w:val="0"/>
    <w:rPr>
      <w:rFonts w:ascii="微软雅黑" w:hAnsi="微软雅黑" w:eastAsia="微软雅黑" w:cs="微软雅黑"/>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微软雅黑" w:hAnsi="微软雅黑" w:eastAsia="微软雅黑" w:cs="微软雅黑"/>
      <w:sz w:val="22"/>
      <w:szCs w:val="22"/>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0</TotalTime>
  <ScaleCrop>false</ScaleCrop>
  <LinksUpToDate>false</LinksUpToDate>
  <Application>WPS Office WWO_wpscloud_20260521192124-597ff31d3d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dcterms:modified xsi:type="dcterms:W3CDTF">2026-06-11T13:42:58Z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2052-12.9.0.26832</vt:lpwstr>
  </property>
  <property fmtid="{D5CDD505-2E9C-101B-9397-08002B2CF9AE}" pid="3" name="ICV">
    <vt:lpwstr>F2125C9BD3B4A0A1E24A2A6AEDC9081B_43</vt:lpwstr>
  </property>
</Properties>
</file>