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before="240" w:after="80" w:line="288" w:lineRule="auto"/>
        <w:jc w:val="center"/>
        <w:bidi w:val="1"/>
      </w:pPr>
      <w:r>
        <w:rPr>
          <w:rFonts w:ascii="Arial" w:hAnsi="Arial" w:cs="Simplified Arabic"/>
          <w:b/>
          <w:i w:val="0"/>
          <w:color w:val="52606D"/>
          <w:sz w:val="26"/>
          <w:szCs w:val="26"/>
          <w:bCs/>
          <w:rtl/>
        </w:rPr>
        <w:t>الجمهورية العربية السورية</w:t>
      </w:r>
    </w:p>
    <w:p>
      <w:pPr>
        <w:keepNext w:val="0"/>
        <w:pageBreakBefore w:val="0"/>
        <w:spacing w:before="40" w:after="40" w:line="288" w:lineRule="auto"/>
        <w:jc w:val="center"/>
        <w:bidi w:val="1"/>
      </w:pPr>
      <w:r>
        <w:rPr>
          <w:rFonts w:ascii="Arial" w:hAnsi="Arial" w:cs="Simplified Arabic"/>
          <w:b/>
          <w:i w:val="0"/>
          <w:color w:val="1B365D"/>
          <w:sz w:val="44"/>
          <w:szCs w:val="44"/>
          <w:bCs/>
          <w:rtl/>
        </w:rPr>
        <w:t>الجامعة الافتراضية السورية</w:t>
      </w:r>
    </w:p>
    <w:p>
      <w:pPr>
        <w:keepNext w:val="0"/>
        <w:pageBreakBefore w:val="0"/>
        <w:spacing w:before="0" w:after="200" w:line="276" w:lineRule="auto"/>
        <w:jc w:val="center"/>
        <w:bidi w:val="1"/>
      </w:pPr>
      <w:r>
        <w:rPr>
          <w:rFonts w:ascii="Arial" w:hAnsi="Arial" w:cs="Arial"/>
          <w:b/>
          <w:i w:val="0"/>
          <w:color w:val="243B53"/>
          <w:sz w:val="24"/>
          <w:szCs w:val="24"/>
          <w:bCs/>
        </w:rPr>
        <w:t>Syrian Virtual University (SVU)</w:t>
      </w:r>
    </w:p>
    <w:p>
      <w:pPr>
        <w:keepNext w:val="0"/>
        <w:pageBreakBefore w:val="0"/>
        <w:spacing w:before="0" w:after="440" w:line="288" w:lineRule="auto"/>
        <w:jc w:val="center"/>
        <w:bidi w:val="1"/>
      </w:pPr>
      <w:r>
        <w:rPr>
          <w:rFonts w:ascii="Arial" w:hAnsi="Arial" w:cs="Simplified Arabic"/>
          <w:b/>
          <w:i w:val="0"/>
          <w:color w:val="243B53"/>
          <w:sz w:val="28"/>
          <w:szCs w:val="28"/>
          <w:bCs/>
          <w:rtl/>
        </w:rPr>
        <w:t>البرنامج: بكالوريوس في تقانات المعلومات (BAIT)</w:t>
      </w:r>
    </w:p>
    <w:tbl>
      <w:tblPr>
        <w:tblW w:type="auto" w:w="0"/>
        <w:jc w:val="center"/>
        <w:tblLook w:firstColumn="1" w:firstRow="1" w:lastColumn="0" w:lastRow="0" w:noHBand="0" w:noVBand="1" w:val="04A0"/>
        <w:bidiVisual/>
        <w:tblW w:w="4600" w:type="pct"/>
        <w:tblBorders>
          <w:top w:val="single" w:sz="18" w:space="0" w:color="1B365D"/>
          <w:bottom w:val="single" w:sz="18" w:space="0" w:color="1B365D"/>
          <w:left w:val="single" w:sz="8" w:space="0" w:color="C59B27"/>
          <w:right w:val="single" w:sz="8" w:space="0" w:color="C59B27"/>
        </w:tblBorders>
      </w:tblPr>
      <w:tblGrid>
        <w:gridCol w:w="9298"/>
      </w:tblGrid>
      <w:tr>
        <w:tc>
          <w:tcPr>
            <w:tcW w:type="dxa" w:w="9298"/>
            <w:shd w:fill="F0F4F8"/>
            <w:tcMar>
              <w:top w:w="240" w:type="dxa"/>
              <w:bottom w:w="240" w:type="dxa"/>
              <w:left w:w="220" w:type="dxa"/>
              <w:right w:w="220" w:type="dxa"/>
            </w:tcMar>
          </w:tcPr>
          <w:p>
            <w:pPr>
              <w:keepNext w:val="0"/>
              <w:pageBreakBefore w:val="0"/>
              <w:spacing w:before="0" w:after="160" w:line="288" w:lineRule="auto"/>
              <w:jc w:val="center"/>
              <w:bidi w:val="1"/>
            </w:pPr>
            <w:r>
              <w:rPr>
                <w:rFonts w:ascii="Arial" w:hAnsi="Arial" w:cs="Simplified Arabic"/>
                <w:b/>
                <w:i w:val="0"/>
                <w:color w:val="243B53"/>
                <w:sz w:val="28"/>
                <w:szCs w:val="28"/>
                <w:bCs/>
                <w:rtl/>
              </w:rPr>
              <w:t>مشروع (حلقة بحث) — الوظيفة الأولى</w:t>
            </w:r>
          </w:p>
          <w:p>
            <w:pPr>
              <w:keepNext w:val="0"/>
              <w:pageBreakBefore w:val="0"/>
              <w:spacing w:before="0" w:after="280" w:line="288" w:lineRule="auto"/>
              <w:jc w:val="center"/>
              <w:bidi w:val="1"/>
            </w:pPr>
            <w:r>
              <w:rPr>
                <w:rFonts w:ascii="Arial" w:hAnsi="Arial" w:cs="Simplified Arabic"/>
                <w:b/>
                <w:i w:val="0"/>
                <w:color w:val="1B365D"/>
                <w:sz w:val="28"/>
                <w:szCs w:val="28"/>
                <w:bCs/>
                <w:rtl/>
              </w:rPr>
              <w:t>المادة: المدخل إلى الفلسفة  |  رمز المادة: GHS101</w:t>
            </w:r>
          </w:p>
          <w:p>
            <w:pPr>
              <w:keepNext w:val="0"/>
              <w:pageBreakBefore w:val="0"/>
              <w:spacing w:before="120" w:after="200" w:line="300" w:lineRule="auto"/>
              <w:jc w:val="center"/>
              <w:bidi w:val="1"/>
            </w:pPr>
            <w:r>
              <w:rPr>
                <w:rFonts w:ascii="Arial" w:hAnsi="Arial" w:cs="Simplified Arabic"/>
                <w:b/>
                <w:i w:val="0"/>
                <w:color w:val="1B365D"/>
                <w:sz w:val="52"/>
                <w:szCs w:val="52"/>
                <w:bCs/>
                <w:rtl/>
              </w:rPr>
              <w:t>التسامح وبناء السلام</w:t>
            </w:r>
          </w:p>
          <w:p>
            <w:pPr>
              <w:keepNext w:val="0"/>
              <w:pageBreakBefore w:val="0"/>
              <w:spacing w:before="0" w:after="0" w:line="288" w:lineRule="auto"/>
              <w:jc w:val="center"/>
              <w:bidi w:val="1"/>
            </w:pPr>
            <w:r>
              <w:rPr>
                <w:rFonts w:ascii="Arial" w:hAnsi="Arial" w:cs="Simplified Arabic"/>
                <w:b w:val="0"/>
                <w:i/>
                <w:color w:val="52606D"/>
                <w:sz w:val="26"/>
                <w:szCs w:val="26"/>
                <w:iCs/>
                <w:rtl/>
              </w:rPr>
              <w:t>دراسة فلسفية تحليلية مقارنة بين جون لوك وإيمانويل كانط</w:t>
            </w:r>
          </w:p>
        </w:tc>
      </w:tr>
    </w:tbl>
    <w:p>
      <w:pPr>
        <w:keepNext w:val="0"/>
        <w:pageBreakBefore w:val="0"/>
        <w:spacing w:before="320" w:after="200" w:line="324" w:lineRule="auto"/>
        <w:jc w:val="both"/>
        <w:bidi w:val="1"/>
      </w:pPr>
    </w:p>
    <w:tbl>
      <w:tblPr>
        <w:tblW w:type="auto" w:w="0"/>
        <w:jc w:val="center"/>
        <w:tblLook w:firstColumn="1" w:firstRow="1" w:lastColumn="0" w:lastRow="0" w:noHBand="0" w:noVBand="1" w:val="04A0"/>
        <w:bidiVisual/>
        <w:tblBorders>
          <w:top w:val="single" w:sz="6" w:space="0" w:color="CBD5E1"/>
          <w:bottom w:val="single" w:sz="8" w:space="0" w:color="1B365D"/>
          <w:left w:val="single" w:sz="4" w:space="0" w:color="CBD5E1"/>
          <w:right w:val="single" w:sz="4" w:space="0" w:color="CBD5E1"/>
          <w:insideH w:val="single" w:sz="4" w:space="0" w:color="CBD5E1"/>
          <w:insideV w:val="single" w:sz="4" w:space="0" w:color="CBD5E1"/>
        </w:tblBorders>
        <w:tblW w:w="4600" w:type="pct"/>
      </w:tblPr>
      <w:tblGrid>
        <w:gridCol w:w="4649"/>
        <w:gridCol w:w="4649"/>
      </w:tblGrid>
      <w:tr>
        <w:tc>
          <w:tcPr>
            <w:tcW w:type="dxa" w:w="4649"/>
            <w:shd w:fill="F0F4F8"/>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i w:val="0"/>
                <w:color w:val="1B365D"/>
                <w:sz w:val="26"/>
                <w:szCs w:val="26"/>
                <w:bCs/>
                <w:rtl/>
              </w:rPr>
              <w:t>إعداد الطالب الأول</w:t>
            </w:r>
          </w:p>
        </w:tc>
        <w:tc>
          <w:tcPr>
            <w:tcW w:type="dxa" w:w="4649"/>
            <w:shd w:fill="FFFFFF"/>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i w:val="0"/>
                <w:color w:val="1F2933"/>
                <w:sz w:val="26"/>
                <w:szCs w:val="26"/>
                <w:bCs/>
                <w:rtl/>
              </w:rPr>
              <w:t>جان شادي عبود  —  الرقم الجامعي: jan_436439</w:t>
            </w:r>
          </w:p>
        </w:tc>
      </w:tr>
      <w:tr>
        <w:tc>
          <w:tcPr>
            <w:tcW w:type="dxa" w:w="4649"/>
            <w:shd w:fill="F0F4F8"/>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i w:val="0"/>
                <w:color w:val="1B365D"/>
                <w:sz w:val="26"/>
                <w:szCs w:val="26"/>
                <w:bCs/>
                <w:rtl/>
              </w:rPr>
              <w:t>إعداد الطالب الثاني</w:t>
            </w:r>
          </w:p>
        </w:tc>
        <w:tc>
          <w:tcPr>
            <w:tcW w:type="dxa" w:w="4649"/>
            <w:shd w:fill="F8FAFC"/>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i w:val="0"/>
                <w:color w:val="1F2933"/>
                <w:sz w:val="26"/>
                <w:szCs w:val="26"/>
                <w:bCs/>
                <w:rtl/>
              </w:rPr>
              <w:t>وديع هيثم سلوم  —  الرقم الجامعي: wadee_440350</w:t>
            </w:r>
          </w:p>
        </w:tc>
      </w:tr>
      <w:tr>
        <w:tc>
          <w:tcPr>
            <w:tcW w:type="dxa" w:w="4649"/>
            <w:shd w:fill="F0F4F8"/>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i w:val="0"/>
                <w:color w:val="1B365D"/>
                <w:sz w:val="26"/>
                <w:szCs w:val="26"/>
                <w:bCs/>
                <w:rtl/>
              </w:rPr>
              <w:t>إشراف</w:t>
            </w:r>
          </w:p>
        </w:tc>
        <w:tc>
          <w:tcPr>
            <w:tcW w:type="dxa" w:w="4649"/>
            <w:shd w:fill="FFFFFF"/>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val="0"/>
                <w:i w:val="0"/>
                <w:color w:val="1F2933"/>
                <w:sz w:val="26"/>
                <w:szCs w:val="26"/>
                <w:rtl/>
              </w:rPr>
              <w:t>أساتذة مقرر المدخل إلى الفلسفة (أساتذة الفلسفة)</w:t>
            </w:r>
          </w:p>
        </w:tc>
      </w:tr>
      <w:tr>
        <w:tc>
          <w:tcPr>
            <w:tcW w:type="dxa" w:w="4649"/>
            <w:shd w:fill="F0F4F8"/>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i w:val="0"/>
                <w:color w:val="1B365D"/>
                <w:sz w:val="26"/>
                <w:szCs w:val="26"/>
                <w:bCs/>
                <w:rtl/>
              </w:rPr>
              <w:t>العام الدراسي</w:t>
            </w:r>
          </w:p>
        </w:tc>
        <w:tc>
          <w:tcPr>
            <w:tcW w:type="dxa" w:w="4649"/>
            <w:shd w:fill="F8FAFC"/>
            <w:tcMar>
              <w:top w:w="105" w:type="dxa"/>
              <w:bottom w:w="105" w:type="dxa"/>
              <w:left w:w="140" w:type="dxa"/>
              <w:right w:w="140" w:type="dxa"/>
            </w:tcMar>
          </w:tcPr>
          <w:p>
            <w:pPr>
              <w:keepNext w:val="0"/>
              <w:pageBreakBefore w:val="0"/>
              <w:spacing w:before="0" w:after="0" w:line="288" w:lineRule="auto"/>
              <w:jc w:val="right"/>
              <w:bidi w:val="1"/>
            </w:pPr>
            <w:r>
              <w:rPr>
                <w:rFonts w:ascii="Arial" w:hAnsi="Arial" w:cs="Simplified Arabic"/>
                <w:b w:val="0"/>
                <w:i w:val="0"/>
                <w:color w:val="1F2933"/>
                <w:sz w:val="26"/>
                <w:szCs w:val="26"/>
                <w:rtl/>
              </w:rPr>
              <w:t>2026 م</w:t>
            </w:r>
          </w:p>
        </w:tc>
      </w:tr>
    </w:tbl>
    <w:p>
      <w:pPr>
        <w:keepNext/>
        <w:pageBreakBefore/>
        <w:spacing w:before="80" w:after="120" w:line="300" w:lineRule="auto"/>
        <w:jc w:val="right"/>
        <w:bidi w:val="1"/>
        <w:pBdr>
          <w:bottom w:val="single" w:sz="8" w:space="3" w:color="1B365D"/>
        </w:pBdr>
      </w:pPr>
      <w:r>
        <w:rPr>
          <w:rFonts w:ascii="Arial" w:hAnsi="Arial" w:cs="Simplified Arabic"/>
          <w:b/>
          <w:i w:val="0"/>
          <w:color w:val="1B365D"/>
          <w:sz w:val="30"/>
          <w:szCs w:val="30"/>
          <w:bCs/>
          <w:rtl/>
        </w:rPr>
        <w:t>فهرس المحتويات</w:t>
      </w:r>
    </w:p>
    <w:tbl>
      <w:tblPr>
        <w:tblW w:type="auto" w:w="0"/>
        <w:jc w:val="center"/>
        <w:tblLook w:firstColumn="1" w:firstRow="1" w:lastColumn="0" w:lastRow="0" w:noHBand="0" w:noVBand="1" w:val="04A0"/>
        <w:bidiVisual/>
        <w:tblBorders>
          <w:top w:val="single" w:sz="6" w:space="0" w:color="CBD5E1"/>
          <w:bottom w:val="single" w:sz="8" w:space="0" w:color="1B365D"/>
          <w:left w:val="single" w:sz="4" w:space="0" w:color="CBD5E1"/>
          <w:right w:val="single" w:sz="4" w:space="0" w:color="CBD5E1"/>
          <w:insideH w:val="single" w:sz="4" w:space="0" w:color="CBD5E1"/>
          <w:insideV w:val="single" w:sz="4" w:space="0" w:color="CBD5E1"/>
        </w:tblBorders>
        <w:tblW w:w="5000" w:type="pct"/>
      </w:tblPr>
      <w:tblGrid>
        <w:gridCol w:w="3099"/>
        <w:gridCol w:w="3099"/>
        <w:gridCol w:w="3099"/>
      </w:tblGrid>
      <w:tr>
        <w:trPr>
          <w:cantSplit/>
          <w:tblHeader/>
        </w:trPr>
        <w:tc>
          <w:tcPr>
            <w:tcW w:type="dxa" w:w="3099"/>
            <w:vAlign w:val="center"/>
            <w:tcMar>
              <w:top w:w="52" w:type="dxa"/>
              <w:bottom w:w="52" w:type="dxa"/>
              <w:left w:w="95" w:type="dxa"/>
              <w:right w:w="95" w:type="dxa"/>
            </w:tcMar>
            <w:shd w:fill="1B365D"/>
          </w:tcPr>
          <w:p>
            <w:pPr>
              <w:keepNext w:val="0"/>
              <w:pageBreakBefore w:val="0"/>
              <w:spacing w:before="0" w:after="0" w:line="283" w:lineRule="auto"/>
              <w:jc w:val="right"/>
              <w:bidi w:val="1"/>
            </w:pPr>
            <w:r>
              <w:rPr>
                <w:rFonts w:ascii="Arial" w:hAnsi="Arial" w:cs="Simplified Arabic"/>
                <w:b/>
                <w:i w:val="0"/>
                <w:color w:val="FFFFFF"/>
                <w:sz w:val="22"/>
                <w:szCs w:val="22"/>
                <w:bCs/>
                <w:rtl/>
              </w:rPr>
              <w:t>القسم / المحور</w:t>
            </w:r>
          </w:p>
        </w:tc>
        <w:tc>
          <w:tcPr>
            <w:tcW w:type="dxa" w:w="3099"/>
            <w:vAlign w:val="center"/>
            <w:tcMar>
              <w:top w:w="52" w:type="dxa"/>
              <w:bottom w:w="52" w:type="dxa"/>
              <w:left w:w="95" w:type="dxa"/>
              <w:right w:w="95" w:type="dxa"/>
            </w:tcMar>
            <w:shd w:fill="1B365D"/>
          </w:tcPr>
          <w:p>
            <w:pPr>
              <w:keepNext w:val="0"/>
              <w:pageBreakBefore w:val="0"/>
              <w:spacing w:before="0" w:after="0" w:line="283" w:lineRule="auto"/>
              <w:jc w:val="right"/>
              <w:bidi w:val="1"/>
            </w:pPr>
            <w:r>
              <w:rPr>
                <w:rFonts w:ascii="Arial" w:hAnsi="Arial" w:cs="Simplified Arabic"/>
                <w:b/>
                <w:i w:val="0"/>
                <w:color w:val="FFFFFF"/>
                <w:sz w:val="22"/>
                <w:szCs w:val="22"/>
                <w:bCs/>
                <w:rtl/>
              </w:rPr>
              <w:t>عنوان المبحث أو البند الفرعي</w:t>
            </w:r>
          </w:p>
        </w:tc>
        <w:tc>
          <w:tcPr>
            <w:tcW w:type="dxa" w:w="3099"/>
            <w:vAlign w:val="center"/>
            <w:tcMar>
              <w:top w:w="52" w:type="dxa"/>
              <w:bottom w:w="52" w:type="dxa"/>
              <w:left w:w="95" w:type="dxa"/>
              <w:right w:w="95" w:type="dxa"/>
            </w:tcMar>
            <w:shd w:fill="1B365D"/>
          </w:tcPr>
          <w:p>
            <w:pPr>
              <w:keepNext w:val="0"/>
              <w:pageBreakBefore w:val="0"/>
              <w:spacing w:before="0" w:after="0" w:line="283" w:lineRule="auto"/>
              <w:jc w:val="right"/>
              <w:bidi w:val="1"/>
            </w:pPr>
            <w:r>
              <w:rPr>
                <w:rFonts w:ascii="Arial" w:hAnsi="Arial" w:cs="Simplified Arabic"/>
                <w:b/>
                <w:i w:val="0"/>
                <w:color w:val="FFFFFF"/>
                <w:sz w:val="22"/>
                <w:szCs w:val="22"/>
                <w:bCs/>
                <w:rtl/>
              </w:rPr>
              <w:t>إعداد الطالب المسؤول</w:t>
            </w:r>
          </w:p>
        </w:tc>
      </w:tr>
      <w:tr>
        <w:trPr>
          <w:cantSplit/>
        </w:trPr>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القسم الأول</w:t>
            </w:r>
          </w:p>
        </w:tc>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المقدمة العامة، والتسامح عند جون لوك، والمقارنة بين لوك وكانط</w:t>
            </w:r>
          </w:p>
        </w:tc>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جان شادي عبود (`jan_436439`)</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أولاً</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المقدمة العامة للبحث (التمهيد، المشكلة، الأسئلة، الأهمية، المنهج)</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ثانياً</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الإجابة عن السؤال الأول: معنى التسامح عند جون لوك وارتباطه بالسلم داخل الدولة</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2.1</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السياق التاريخي ودلالة التسامح في فلسفة جون لوك</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2.2</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استقلالية الضمير واستحالة الإكراه في المسائل الإيمانية</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2.3</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الفصل البنيوي بين وظيفة السلطة المدنية ووظيفة الجماعة الدينية</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2.4</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حدود التسامح واستثناءاته عند لوك وقراءة نقدية فيها</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2.5</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آلية ارتباط التسامح بالسلم الأهلي داخل الدولة وتعقيب الباحث</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ثالثاً</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الإجابة عن السؤال الثالث: أوجه الشبه والاختلاف بين أفكار جون لوك وإيمانويل كانط</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3.1</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الجسور الفكرية المشتركة وأوجه الشبه بين الفيلسوفين</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3.2</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أوجه الاختلاف والتمايز البنيوي في المنطلقات والنطاق والوسائل</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3.3</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جدول المقارنة الفلسفية المنظّمة بين مشروعي لوك وكانط</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3.4</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تحليل تركيبي: هل تسامح لوك وسلام كانط فكرة واحدة أم حلقتان متكاملتان؟</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جان شادي عبود (</w:t>
            </w:r>
            <w:r>
              <w:rPr>
                <w:rFonts w:ascii="Arial" w:hAnsi="Arial" w:cs="Arial"/>
                <w:b/>
                <w:i w:val="0"/>
                <w:color w:val="1B365D"/>
                <w:sz w:val="20"/>
                <w:szCs w:val="20"/>
                <w:bCs/>
              </w:rPr>
              <w:t>jan_436439</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القسم الثاني</w:t>
            </w:r>
          </w:p>
        </w:tc>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السلام الدائم عند كانط، والإفادة المعاصرة من الفيلسوفين، والخاتمة</w:t>
            </w:r>
          </w:p>
        </w:tc>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وديع هيثم سلوم (`wadee_440350`)</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رابعاً</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الإجابة عن السؤال الثاني: معنى السلام الدائم عند إيمانويل كانط وعلاقته بالتسامح</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4.1</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مفهوم السلام الدائم عند كانط والتمييز الحاسم بين السلام والهدنة</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4.2</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الشروط السلبية المانعة للحرب: المواد التمهيدية الست</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4.3</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الأركان المؤسسية الإيجابية: المواد النهائية الثلاث</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4.4</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الأساس الأخلاقي في العقل العملي وعلاقة السلام الكانطي بفكرة التسامح</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خامساً</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الإجابة عن السؤال الرابع: هل يمكن الاستفادة من أفكارهما اليوم لبناء السلام؟</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5.1</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موقف الباحث التحليلي: التسامح شرط ضروري لكنه غير كافٍ وحده بلا مؤسسات وقانون</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Pr>
              <w:t>5.2</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الأدلة الفلسفية والسياسية من واقع الصراعات المذهبية والأزمات الدولية المعاصرة</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Pr>
              <w:t>5.3</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الأدلة الميدانية والمؤسسية: من العمل المصرفي والتجربة الكشفية إلى الفضاء الرقمي</w:t>
            </w:r>
          </w:p>
        </w:tc>
        <w:tc>
          <w:tcPr>
            <w:tcW w:type="dxa" w:w="3099"/>
            <w:vAlign w:val="center"/>
            <w:tcMar>
              <w:top w:w="52" w:type="dxa"/>
              <w:bottom w:w="52"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سادساً</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الخاتمة وخلاصة البحث والتوصيات العملية</w:t>
            </w:r>
          </w:p>
        </w:tc>
        <w:tc>
          <w:tcPr>
            <w:tcW w:type="dxa" w:w="3099"/>
            <w:vAlign w:val="center"/>
            <w:tcMar>
              <w:top w:w="52" w:type="dxa"/>
              <w:bottom w:w="52"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1"/>
                <w:szCs w:val="21"/>
                <w:rtl/>
              </w:rPr>
              <w:t>وديع هيثم سلوم (</w:t>
            </w:r>
            <w:r>
              <w:rPr>
                <w:rFonts w:ascii="Arial" w:hAnsi="Arial" w:cs="Arial"/>
                <w:b/>
                <w:i w:val="0"/>
                <w:color w:val="1B365D"/>
                <w:sz w:val="20"/>
                <w:szCs w:val="20"/>
                <w:bCs/>
              </w:rPr>
              <w:t>wadee_440350</w:t>
            </w:r>
            <w:r>
              <w:rPr>
                <w:rFonts w:ascii="Arial" w:hAnsi="Arial" w:cs="Simplified Arabic"/>
                <w:b w:val="0"/>
                <w:i w:val="0"/>
                <w:color w:val="1F2933"/>
                <w:sz w:val="21"/>
                <w:szCs w:val="21"/>
              </w:rPr>
              <w:t>)</w:t>
            </w:r>
          </w:p>
        </w:tc>
      </w:tr>
      <w:tr>
        <w:trPr>
          <w:cantSplit/>
        </w:trPr>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المراجع</w:t>
            </w:r>
          </w:p>
        </w:tc>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قائمة المصادر والمراجع (مرتبة أبجدياً وفق نظام التوثيق الأكاديمي)</w:t>
            </w:r>
          </w:p>
        </w:tc>
        <w:tc>
          <w:tcPr>
            <w:tcW w:type="dxa" w:w="3099"/>
            <w:vAlign w:val="center"/>
            <w:tcMar>
              <w:top w:w="52" w:type="dxa"/>
              <w:bottom w:w="52" w:type="dxa"/>
              <w:left w:w="95" w:type="dxa"/>
              <w:right w:w="95" w:type="dxa"/>
            </w:tcMar>
            <w:shd w:fill="F0F4F8"/>
          </w:tcPr>
          <w:p>
            <w:pPr>
              <w:keepNext w:val="0"/>
              <w:pageBreakBefore w:val="0"/>
              <w:spacing w:before="0" w:after="0" w:line="283" w:lineRule="auto"/>
              <w:jc w:val="right"/>
              <w:bidi w:val="1"/>
            </w:pPr>
            <w:r>
              <w:rPr>
                <w:rFonts w:ascii="Arial" w:hAnsi="Arial" w:cs="Simplified Arabic"/>
                <w:b/>
                <w:i w:val="0"/>
                <w:color w:val="1B365D"/>
                <w:sz w:val="21"/>
                <w:szCs w:val="21"/>
                <w:bCs/>
                <w:rtl/>
              </w:rPr>
              <w:t>مشترك بين الطالبين</w:t>
            </w:r>
          </w:p>
        </w:tc>
      </w:tr>
    </w:tbl>
    <w:tbl>
      <w:tblPr>
        <w:tblW w:type="auto" w:w="0"/>
        <w:jc w:val="center"/>
        <w:tblLook w:firstColumn="1" w:firstRow="1" w:lastColumn="0" w:lastRow="0" w:noHBand="0" w:noVBand="1" w:val="04A0"/>
        <w:bidiVisual/>
        <w:tblW w:w="5000" w:type="pct"/>
        <w:tblBorders>
          <w:top w:val="single" w:sz="12" w:space="0" w:color="1B365D"/>
          <w:bottom w:val="single" w:sz="12" w:space="0" w:color="1B365D"/>
          <w:right w:val="single" w:sz="24" w:space="0" w:color="C59B27"/>
          <w:left w:val="single" w:sz="6" w:space="0" w:color="1B365D"/>
        </w:tblBorders>
      </w:tblPr>
      <w:tblGrid>
        <w:gridCol w:w="9298"/>
      </w:tblGrid>
      <w:tr>
        <w:trPr>
          <w:cantSplit/>
        </w:trPr>
        <w:tc>
          <w:tcPr>
            <w:tcW w:type="dxa" w:w="9298"/>
            <w:shd w:fill="F0F4F8"/>
            <w:tcMar>
              <w:top w:w="130" w:type="dxa"/>
              <w:bottom w:w="130" w:type="dxa"/>
              <w:left w:w="180" w:type="dxa"/>
              <w:right w:w="180" w:type="dxa"/>
            </w:tcMar>
          </w:tcPr>
          <w:p>
            <w:pPr>
              <w:keepNext/>
              <w:pageBreakBefore/>
              <w:spacing w:before="0" w:after="0" w:line="300" w:lineRule="auto"/>
              <w:jc w:val="right"/>
              <w:bidi w:val="1"/>
            </w:pPr>
            <w:r>
              <w:rPr>
                <w:rFonts w:ascii="Arial" w:hAnsi="Arial" w:cs="Simplified Arabic"/>
                <w:b/>
                <w:i w:val="0"/>
                <w:color w:val="1B365D"/>
                <w:sz w:val="29"/>
                <w:szCs w:val="29"/>
                <w:bCs/>
                <w:rtl/>
              </w:rPr>
              <w:t>القسم الأول — من إعداد الطالب: جان شادي عبود (`jan_436439`)</w:t>
            </w:r>
          </w:p>
        </w:tc>
      </w:tr>
    </w:tbl>
    <w:p>
      <w:pPr>
        <w:keepNext/>
        <w:pageBreakBefore w:val="0"/>
        <w:spacing w:before="240" w:after="120" w:line="300" w:lineRule="auto"/>
        <w:jc w:val="right"/>
        <w:bidi w:val="1"/>
        <w:pBdr>
          <w:bottom w:val="single" w:sz="8" w:space="3" w:color="1B365D"/>
        </w:pBdr>
      </w:pPr>
      <w:r>
        <w:rPr>
          <w:rFonts w:ascii="Arial" w:hAnsi="Arial" w:cs="Simplified Arabic"/>
          <w:b/>
          <w:i w:val="0"/>
          <w:color w:val="1B365D"/>
          <w:sz w:val="30"/>
          <w:szCs w:val="30"/>
          <w:bCs/>
          <w:rtl/>
        </w:rPr>
        <w:t>أولاً: المقدمة العامة للبحث</w:t>
      </w:r>
    </w:p>
    <w:p>
      <w:pPr>
        <w:keepNext/>
        <w:pageBreakBefore w:val="0"/>
        <w:spacing w:before="180" w:after="80" w:line="300" w:lineRule="auto"/>
        <w:jc w:val="right"/>
        <w:bidi w:val="1"/>
      </w:pPr>
      <w:r>
        <w:rPr>
          <w:rFonts w:ascii="Arial" w:hAnsi="Arial" w:cs="Simplified Arabic"/>
          <w:b/>
          <w:i w:val="0"/>
          <w:color w:val="243B53"/>
          <w:sz w:val="27"/>
          <w:szCs w:val="27"/>
          <w:bCs/>
          <w:rtl/>
        </w:rPr>
        <w:t>1.1 تمهيد البحث ومدخله الفكري</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يموج عالمنا المعاصر بنزاعات دامية وانقسامات حادة تتغذى في كثيرٍ من صورها على تباين المعتقدات الدينية وتعارض الآراء الفكرية والثقافية؛ وهو واقع أعاد إلى واجهة البحث سؤالاً أصيلاً شغل الفلاسفة منذ القدم: كيف يستطيع البشر أن يعيشوا معاً في أمان واستقرار مع احتفاظ كل فرد أو جماعة بحقه في الاختلاف؟ لقد أدرك الفكر الفلسفي أن قسر الناس على قالب عقائدي واحد وهمٌ يولّد العنف، فبرزت فكرة «التسامح» بوصفها مبدأً يدعو الإنسان إلى تقبّل الآخر المغاير له في الدين أو الرأي أو الثقافة والاعتراف بكرامته وحريته (التريكي، 2009، ص. 55).</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وإذا نظرنا إلى هذه القضية بعين دارسي تقانات المعلومات — بعد زمالة دراسية جمعتنا في المعهد التقاني للحاسوب وتتواصل اليوم في مرحلة الإجازة بالجامعة الافتراضية السورية — وجدنا أن التعايش الإنساني يشبه في بنيته عمل الشبكات الحاسوبية الواسعة التي تضم آلاف الطرفيات المختلفة في أنظمتها الداخلية؛ فالشبكة لا تتعطل بسبب تنوع الأجهزة المتصلة بها، بل تتعطل حين تغيب القواعد المشتركة التي تنظم التخاطب وتمنع اعتداء طرفٍ على حيز غيره. وبمثل هذا الحس التنظيمي، عالج فلاسفة الحداثة شروط العيش المشترك، وفي مقدمتهم الفيلسوف الإنجليزي جون لوك (John Locke) والفيلسوف الألماني إيمانويل كانط (Immanuel Kant)، اللذان عاشا في زمنين مختلفين وتناولا القضية من زاويتين متمايزتين: إذ ركّز لوك في القرن السابع عشر على التسامح داخل الدولة الواحدة بين أصحاب المذاهب الدينية المتعددة (لوك، 1997، ص. 19)، في حين ركّز كانط في أواخر القرن الثامن عشر على بناء السلام بين الدول ومنع نشوب الحروب (كانط، 1952، ص. 15). ويسعى بحثنا إلى المقارنة بين الفيلسوفين للإجابة عن سؤال محوري: هل توجد علاقة بين فكرة التسامح عند لوك وفكرة السلام عند كانط؟</w:t>
      </w:r>
    </w:p>
    <w:p>
      <w:pPr>
        <w:keepNext/>
        <w:pageBreakBefore w:val="0"/>
        <w:spacing w:before="180" w:after="80" w:line="300" w:lineRule="auto"/>
        <w:jc w:val="right"/>
        <w:bidi w:val="1"/>
      </w:pPr>
      <w:r>
        <w:rPr>
          <w:rFonts w:ascii="Arial" w:hAnsi="Arial" w:cs="Simplified Arabic"/>
          <w:b/>
          <w:i w:val="0"/>
          <w:color w:val="243B53"/>
          <w:sz w:val="27"/>
          <w:szCs w:val="27"/>
          <w:bCs/>
          <w:rtl/>
        </w:rPr>
        <w:t>1.2 مشكلة البحث</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يخلط كثيرٌ من الناس في التداول الشائع بين مفهومي «التسامح» و«السلام» ظناً منهم أنهما اسمان لشيءٍ واحد، وأن الدعوة إلى التسامح تكفي وحدها لإحلال السلام وإنهاء الحروب (منظمة الأمم المتحدة للتربية والعلم والثقافة [اليونسكو]، 1995). غير أن التحليل الفلسفي يثير إشكالية دقيقة: هل يكفي التسامح بمفرده لبناء سلام مستدام؟ وهل تتطابق فكرة التسامح عند جون لوك مع فكرة السلام الدائم عند إيمانويل كانط، أم أن بينهما تمايزاً في البنية والوظيفة وتكاملاً في الغاية؟</w:t>
      </w:r>
    </w:p>
    <w:p>
      <w:pPr>
        <w:keepNext/>
        <w:pageBreakBefore w:val="0"/>
        <w:spacing w:before="180" w:after="80" w:line="300" w:lineRule="auto"/>
        <w:jc w:val="right"/>
        <w:bidi w:val="1"/>
      </w:pPr>
      <w:r>
        <w:rPr>
          <w:rFonts w:ascii="Arial" w:hAnsi="Arial" w:cs="Simplified Arabic"/>
          <w:b/>
          <w:i w:val="0"/>
          <w:color w:val="243B53"/>
          <w:sz w:val="27"/>
          <w:szCs w:val="27"/>
          <w:bCs/>
          <w:rtl/>
        </w:rPr>
        <w:t>1.3 أسئلة البحث</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ينطلق البحث من المشكلة السابقة للإجابة التحليلية المفصّلة عن الأسئلة الأربعة الآتية: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1. </w:t>
      </w:r>
      <w:r>
        <w:rPr>
          <w:rFonts w:ascii="Arial" w:hAnsi="Arial" w:cs="Simplified Arabic"/>
          <w:b w:val="0"/>
          <w:i w:val="0"/>
          <w:color w:val="1F2933"/>
          <w:sz w:val="26"/>
          <w:szCs w:val="26"/>
          <w:rtl/>
        </w:rPr>
        <w:t>ما معنى التسامح عند جون لوك؟ وكيف يرتبط بالسلم داخل الدولة؟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2. </w:t>
      </w:r>
      <w:r>
        <w:rPr>
          <w:rFonts w:ascii="Arial" w:hAnsi="Arial" w:cs="Simplified Arabic"/>
          <w:b w:val="0"/>
          <w:i w:val="0"/>
          <w:color w:val="1F2933"/>
          <w:sz w:val="26"/>
          <w:szCs w:val="26"/>
          <w:rtl/>
        </w:rPr>
        <w:t>ما معنى السلام الدائم عند كانط؟ وما علاقته بالتسامح؟</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3. </w:t>
      </w:r>
      <w:r>
        <w:rPr>
          <w:rFonts w:ascii="Arial" w:hAnsi="Arial" w:cs="Simplified Arabic"/>
          <w:b w:val="0"/>
          <w:i w:val="0"/>
          <w:color w:val="1F2933"/>
          <w:sz w:val="26"/>
          <w:szCs w:val="26"/>
          <w:rtl/>
        </w:rPr>
        <w:t>ما أوجه الشبه والاختلاف بين أفكار لوك وكانط؟</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4. </w:t>
      </w:r>
      <w:r>
        <w:rPr>
          <w:rFonts w:ascii="Arial" w:hAnsi="Arial" w:cs="Simplified Arabic"/>
          <w:b w:val="0"/>
          <w:i w:val="0"/>
          <w:color w:val="1F2933"/>
          <w:sz w:val="26"/>
          <w:szCs w:val="26"/>
          <w:rtl/>
        </w:rPr>
        <w:t>هل يمكن الاستفادة من أفكارهما اليوم لبناء السلام؟ بيّن رأيك بالأدلة.</w:t>
      </w:r>
    </w:p>
    <w:p>
      <w:pPr>
        <w:keepNext/>
        <w:pageBreakBefore w:val="0"/>
        <w:spacing w:before="180" w:after="80" w:line="300" w:lineRule="auto"/>
        <w:jc w:val="right"/>
        <w:bidi w:val="1"/>
      </w:pPr>
      <w:r>
        <w:rPr>
          <w:rFonts w:ascii="Arial" w:hAnsi="Arial" w:cs="Simplified Arabic"/>
          <w:b/>
          <w:i w:val="0"/>
          <w:color w:val="243B53"/>
          <w:sz w:val="27"/>
          <w:szCs w:val="27"/>
          <w:bCs/>
          <w:rtl/>
        </w:rPr>
        <w:t>1.4 أهمية البحث (النظرية والعملية)</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الأهمية النظرية:</w:t>
      </w:r>
      <w:r>
        <w:rPr>
          <w:rFonts w:ascii="Arial" w:hAnsi="Arial" w:cs="Simplified Arabic"/>
          <w:b w:val="0"/>
          <w:i w:val="0"/>
          <w:color w:val="1F2933"/>
          <w:sz w:val="26"/>
          <w:szCs w:val="26"/>
          <w:rtl/>
        </w:rPr>
        <w:t xml:space="preserve"> يساعد البحث على إيضاح مفهومي التسامح والسلام وضبط حدود كلٍّ منهما فكرياً وقانونياً عبر قراءة مقارنة في نصوص الفلسفة الحديثة (بدوي، 1979؛ وهبة، 1997، ص. 11).</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الأهمية العملية:</w:t>
      </w:r>
      <w:r>
        <w:rPr>
          <w:rFonts w:ascii="Arial" w:hAnsi="Arial" w:cs="Simplified Arabic"/>
          <w:b w:val="0"/>
          <w:i w:val="0"/>
          <w:color w:val="1F2933"/>
          <w:sz w:val="26"/>
          <w:szCs w:val="26"/>
          <w:rtl/>
        </w:rPr>
        <w:t xml:space="preserve"> تمنحنا أفكار لوك وكانط مفاتيح عملية لفهم أزمات مجتمعاتنا الراهنة ومعالجتها، ولا سيما الصراعات الدينية والطائفية الداخلية والحروب الإقليمية والدولية (التريكي، 2009، ص. 89).</w:t>
      </w:r>
    </w:p>
    <w:p>
      <w:pPr>
        <w:keepNext/>
        <w:pageBreakBefore w:val="0"/>
        <w:spacing w:before="180" w:after="80" w:line="300" w:lineRule="auto"/>
        <w:jc w:val="right"/>
        <w:bidi w:val="1"/>
      </w:pPr>
      <w:r>
        <w:rPr>
          <w:rFonts w:ascii="Arial" w:hAnsi="Arial" w:cs="Simplified Arabic"/>
          <w:b/>
          <w:i w:val="0"/>
          <w:color w:val="243B53"/>
          <w:sz w:val="27"/>
          <w:szCs w:val="27"/>
          <w:bCs/>
          <w:rtl/>
        </w:rPr>
        <w:t>1.5 منهج البحث وخطة توزيع المهام</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 xml:space="preserve">يتبع البحث </w:t>
      </w:r>
      <w:r>
        <w:rPr>
          <w:rFonts w:ascii="Arial" w:hAnsi="Arial" w:cs="Simplified Arabic"/>
          <w:b/>
          <w:i w:val="0"/>
          <w:color w:val="1F2933"/>
          <w:sz w:val="26"/>
          <w:szCs w:val="26"/>
          <w:bCs/>
          <w:rtl/>
        </w:rPr>
        <w:t>المنهج التحليلي المقارن</w:t>
      </w:r>
      <w:r>
        <w:rPr>
          <w:rFonts w:ascii="Arial" w:hAnsi="Arial" w:cs="Simplified Arabic"/>
          <w:b w:val="0"/>
          <w:i w:val="0"/>
          <w:color w:val="1F2933"/>
          <w:sz w:val="26"/>
          <w:szCs w:val="26"/>
          <w:rtl/>
        </w:rPr>
        <w:t xml:space="preserve"> عبر تحليل مفاهيم كل فيلسوف في نصوصه الأصلية ثم الموازنة النقدية بينهما وربطهما بالواقع المعاصر. وقد قُسِّم العمل بالتساوي والتكامل بين الباحثين: فأعدّ الطالب جان شادي عبود المقدمة العامة، والإجابة عن السؤال الأول والسؤال الثالث؛ وأعدّ الطالب وديع هيثم سلوم الإجابة عن السؤال الثاني والسؤال الرابع، إضافةً إلى الخاتمة المشتركة والتوصيات.</w:t>
      </w:r>
    </w:p>
    <w:p>
      <w:pPr>
        <w:keepNext/>
        <w:pageBreakBefore w:val="0"/>
        <w:spacing w:before="240" w:after="120" w:line="300" w:lineRule="auto"/>
        <w:jc w:val="right"/>
        <w:bidi w:val="1"/>
        <w:pBdr>
          <w:bottom w:val="single" w:sz="8" w:space="3" w:color="1B365D"/>
        </w:pBdr>
      </w:pPr>
      <w:r>
        <w:rPr>
          <w:rFonts w:ascii="Arial" w:hAnsi="Arial" w:cs="Simplified Arabic"/>
          <w:b/>
          <w:i w:val="0"/>
          <w:color w:val="1B365D"/>
          <w:sz w:val="30"/>
          <w:szCs w:val="30"/>
          <w:bCs/>
          <w:rtl/>
        </w:rPr>
        <w:t>ثانياً: الإجابة عن السؤال الأول — معنى التسامح عند جون لوك وارتباطه بالسلم داخل الدولة</w:t>
      </w:r>
    </w:p>
    <w:p>
      <w:pPr>
        <w:keepNext/>
        <w:pageBreakBefore w:val="0"/>
        <w:spacing w:before="180" w:after="80" w:line="300" w:lineRule="auto"/>
        <w:jc w:val="right"/>
        <w:bidi w:val="1"/>
      </w:pPr>
      <w:r>
        <w:rPr>
          <w:rFonts w:ascii="Arial" w:hAnsi="Arial" w:cs="Simplified Arabic"/>
          <w:b/>
          <w:i w:val="0"/>
          <w:color w:val="243B53"/>
          <w:sz w:val="27"/>
          <w:szCs w:val="27"/>
          <w:bCs/>
          <w:rtl/>
        </w:rPr>
        <w:t>2.1 السياق التاريخي ودلالة التسامح في فلسفة جون لوك</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تبلورت فلسفة التسامح عند جون لوك في خضمّ الصراعات المذهبية الدامية التي عصفت بإنجلترا وأوروبا خلال القرنين السادس عشر والسابع عشر بين الكاثوليك والبروتستانت ومختلف الفرق المسيحية (بدوي، 1988). وفي أثناء إقامته بهولندا عام 1689، نشر لوك كتابه التأسيسي «رسالة في التسامح» باللغة اللاتينية موجَّهاً إلى صديقه اللاهوتي الهولندي فيليب فان ليمبورش (Philipp van Limborch)، فشكّل نقطة تحول حاسمة في الفكر السياسي الحديث (وهبة، 1997، ص. 9).</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لا يعني التسامح عند لوك التساهل المبتذل أو التنازل عن القناعة الذاتية، بل هو مبدأ أخلاقي وقانوني وسياسي يقضي بكفّ السلطة الحاكمة والأفراد والجماعات عن استخدام الإكراه المادي أو الحرمان المدني لإجبار الناس على عقيدة معينة، مع إقرار حق كل إنسان في ممارسة شعائره السلمية والتمتع بكامل حقوقه المدنية دون تمييزٍ مذهبي (لوك، 1997، ص. 23).</w:t>
      </w:r>
    </w:p>
    <w:p>
      <w:pPr>
        <w:keepNext/>
        <w:pageBreakBefore w:val="0"/>
        <w:spacing w:before="180" w:after="80" w:line="300" w:lineRule="auto"/>
        <w:jc w:val="right"/>
        <w:bidi w:val="1"/>
      </w:pPr>
      <w:r>
        <w:rPr>
          <w:rFonts w:ascii="Arial" w:hAnsi="Arial" w:cs="Simplified Arabic"/>
          <w:b/>
          <w:i w:val="0"/>
          <w:color w:val="243B53"/>
          <w:sz w:val="27"/>
          <w:szCs w:val="27"/>
          <w:bCs/>
          <w:rtl/>
        </w:rPr>
        <w:t>2.2 استقلالية الضمير واستحالة الإكراه في المسائل الإيمانية</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يبني لوك موقفه على برهان معرفي ونفسي مستمد من طبيعة الإدراك البشري؛ فالإيمان الحقيقي يقوم حصراً على الاقتناع الباطني الحر في الضمير، بينما تقتصر أداة الحاكم المدني على القوة الخارجية كالسجن والمصادرة والعقاب البدني، وهذه القوة عاجزة بطبيعتها عن توليد قناعة عقلية صادقة أو إضاءة البصيرة الداخلية (كرم، 1949). وحين يُكرَه الفرد على مذهبٍ لا يعتقده قلبه، فإن الإكراه لا يثمر إيماناً خالصاً بل يصنع رياءً ونفاقاً ظاهرياً اتقاءً للبطش، والنفاق في ميزان الأخلاق والدين معاً هدمٌ لجوهر التدين الصادق ولا يمكن أن يقود النفس إلى الخلاص (لوك، 1997، ص. 22).</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ويعزّز لوك هذه الحجة ببرهانٍ عقلي ثانٍ يكشف تهافت منطق الوصاية الدينية؛ إذ يتساءل: أيّ حاكمٍ من حكام الأرض المتخالفين في مذاهبهم يمتلك تفويضاً إلهياً معصوماً لفرض طريقه الخاص على الناس؟ فلو مُنح كل حاكمٍ حق فرض عقيدته بالسيف داخل مملكته، لصارت الحقيقة الدينية ومصير الإنسان الأبدي تابعَين لمصادفات الجغرافيا السياسية وتقلّب أمزجة الملوك والوزراء من بلدٍ إلى آخر، وهو استنتاج متناقض يأباه العقل السليم وتنفيه العدالة الإلهية (لوك، 1997، ص. 25). ومن هنا تغدو حرية الضمير عند لوك مجالاً سيادياً خالصاً للفرد العاقل في علاقته بربه، لا سلطان لأي قوة زمنية عليه.</w:t>
      </w:r>
    </w:p>
    <w:p>
      <w:pPr>
        <w:keepNext/>
        <w:pageBreakBefore w:val="0"/>
        <w:spacing w:before="180" w:after="80" w:line="300" w:lineRule="auto"/>
        <w:jc w:val="right"/>
        <w:bidi w:val="1"/>
      </w:pPr>
      <w:r>
        <w:rPr>
          <w:rFonts w:ascii="Arial" w:hAnsi="Arial" w:cs="Simplified Arabic"/>
          <w:b/>
          <w:i w:val="0"/>
          <w:color w:val="243B53"/>
          <w:sz w:val="27"/>
          <w:szCs w:val="27"/>
          <w:bCs/>
          <w:rtl/>
        </w:rPr>
        <w:t>2.3 الفصل البنيوي بين وظيفة السلطة المدنية ووظيفة الجماعة الدينية</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تتجلى براعة لوك التنظيمية في وضعه حداً فاصلاً ثابتاً بين «الدولة المدنية» و«الكنيسة أو الجماعة الدينية» من حيث المنشأ والغاية والوسيلة (لوك، 1997، ص. 21):</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الدولة المدنية:</w:t>
      </w:r>
      <w:r>
        <w:rPr>
          <w:rFonts w:ascii="Arial" w:hAnsi="Arial" w:cs="Simplified Arabic"/>
          <w:b w:val="0"/>
          <w:i w:val="0"/>
          <w:color w:val="1F2933"/>
          <w:sz w:val="26"/>
          <w:szCs w:val="26"/>
          <w:rtl/>
        </w:rPr>
        <w:t xml:space="preserve"> مؤسسة تقوم على عقد اجتماعي حر غايته الحصرية حفظ «المصالح المدنية» للمواطنين، وهي: الحياة، والحرية، وسلامة البدن، والملكية المشروعة، وأداتها في ذلك القانون المدني الملزِم والجزاء الرادع لمن يعتدي على حقوق الآخرين، دون أن يمتد تفويضها إطلاقاً إلى خلاص النفوس في الآخرة (لوك، 1959، ص. 137؛ لوك، 1997، ص. 24).</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الجماعة الدينية:</w:t>
      </w:r>
      <w:r>
        <w:rPr>
          <w:rFonts w:ascii="Arial" w:hAnsi="Arial" w:cs="Simplified Arabic"/>
          <w:b w:val="0"/>
          <w:i w:val="0"/>
          <w:color w:val="1F2933"/>
          <w:sz w:val="26"/>
          <w:szCs w:val="26"/>
          <w:rtl/>
        </w:rPr>
        <w:t xml:space="preserve"> جمعية طوعية حرة ينضم إليها الأفراد أو يغادرونها باختيارهم طلباً للخلاص الروحي، وأداتها الوحيدة النصح والإقناع بالحجة؛ وحتى إن فصلت عضواً لمخالفته نظامها، فلا يجوز أن يمسّ ذلك الفصل أي حقٍّ من حقوقه المدنية أو المالية أو كرامته كمواطن (لوك، 1997، ص ص. 28–31).</w:t>
      </w:r>
    </w:p>
    <w:p>
      <w:pPr>
        <w:keepNext/>
        <w:pageBreakBefore w:val="0"/>
        <w:spacing w:before="180" w:after="80" w:line="300" w:lineRule="auto"/>
        <w:jc w:val="right"/>
        <w:bidi w:val="1"/>
      </w:pPr>
      <w:r>
        <w:rPr>
          <w:rFonts w:ascii="Arial" w:hAnsi="Arial" w:cs="Simplified Arabic"/>
          <w:b/>
          <w:i w:val="0"/>
          <w:color w:val="243B53"/>
          <w:sz w:val="27"/>
          <w:szCs w:val="27"/>
          <w:bCs/>
          <w:rtl/>
        </w:rPr>
        <w:t>2.4 حدود التسامح واستثناءاته عند لوك وقراءة نقدية فيها</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قيّد لوك التسامح بقاعدة عدم الإضرار بالمجتمع المدني، فاستثنى من نطاقه ثلاث حالات محددة في رسالته (لوك، 1997، ص ص. 57–58):</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1. </w:t>
      </w:r>
      <w:r>
        <w:rPr>
          <w:rFonts w:ascii="Arial" w:hAnsi="Arial" w:cs="Simplified Arabic"/>
          <w:b/>
          <w:i w:val="0"/>
          <w:color w:val="1F2933"/>
          <w:sz w:val="26"/>
          <w:szCs w:val="26"/>
          <w:bCs/>
          <w:rtl/>
        </w:rPr>
        <w:t>العقائد والممارسات المناقضة لقواعد حفظ المجتمع المدني:</w:t>
      </w:r>
      <w:r>
        <w:rPr>
          <w:rFonts w:ascii="Arial" w:hAnsi="Arial" w:cs="Simplified Arabic"/>
          <w:b w:val="0"/>
          <w:i w:val="0"/>
          <w:color w:val="1F2933"/>
          <w:sz w:val="26"/>
          <w:szCs w:val="26"/>
          <w:rtl/>
        </w:rPr>
        <w:t xml:space="preserve"> كإباحة نقض العهود أو الاعتداء على دماء المخالفين وأموالهم أو ادعاء السيادة السياسية باسم الدين.</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2. </w:t>
      </w:r>
      <w:r>
        <w:rPr>
          <w:rFonts w:ascii="Arial" w:hAnsi="Arial" w:cs="Simplified Arabic"/>
          <w:b/>
          <w:i w:val="0"/>
          <w:color w:val="1F2933"/>
          <w:sz w:val="26"/>
          <w:szCs w:val="26"/>
          <w:bCs/>
          <w:rtl/>
        </w:rPr>
        <w:t>من يمنح ولاءه السياسي لسلطة أجنبية تحت غطاء المذهب:</w:t>
      </w:r>
      <w:r>
        <w:rPr>
          <w:rFonts w:ascii="Arial" w:hAnsi="Arial" w:cs="Simplified Arabic"/>
          <w:b w:val="0"/>
          <w:i w:val="0"/>
          <w:color w:val="1F2933"/>
          <w:sz w:val="26"/>
          <w:szCs w:val="26"/>
          <w:rtl/>
        </w:rPr>
        <w:t xml:space="preserve"> لأن ذلك يقوّض سيادة الدولة وأمنها الداخلي، في إشارةٍ تاريخية إلى الصراع مع السلطة السياسية البابوية آنذاك (بدوي، 1988).</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3. </w:t>
      </w:r>
      <w:r>
        <w:rPr>
          <w:rFonts w:ascii="Arial" w:hAnsi="Arial" w:cs="Simplified Arabic"/>
          <w:b/>
          <w:i w:val="0"/>
          <w:color w:val="1F2933"/>
          <w:sz w:val="26"/>
          <w:szCs w:val="26"/>
          <w:bCs/>
          <w:rtl/>
        </w:rPr>
        <w:t>المنكرون لوجود الله:</w:t>
      </w:r>
      <w:r>
        <w:rPr>
          <w:rFonts w:ascii="Arial" w:hAnsi="Arial" w:cs="Simplified Arabic"/>
          <w:b w:val="0"/>
          <w:i w:val="0"/>
          <w:color w:val="1F2933"/>
          <w:sz w:val="26"/>
          <w:szCs w:val="26"/>
          <w:rtl/>
        </w:rPr>
        <w:t xml:space="preserve"> إذ افترض لوك متأثراً بمناخ عصره أن العهود والمواثيق القانونية تفقد إلزامها بغياب الإيمان بالله (لوك، 1997، ص. 58).</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وتقتضي القراءة النقدية الموضوعية التنبيه إلى أن الفلسفة القانونية اللاحقة والمواثيق الحقوقية المعاصرة قد تجاوزت الاستثناء الثالث، مبيّنةً أن التزام القانون ينبع من المواطنة المتساوية والعقل العملي والمسؤولية المدنية، لا من التفتيش في الضمائر (اليونسكو، 1995؛ الخليل وآخرون، 1992، ص. 19).</w:t>
      </w:r>
    </w:p>
    <w:p>
      <w:pPr>
        <w:keepNext/>
        <w:pageBreakBefore w:val="0"/>
        <w:spacing w:before="180" w:after="80" w:line="300" w:lineRule="auto"/>
        <w:jc w:val="right"/>
        <w:bidi w:val="1"/>
      </w:pPr>
      <w:r>
        <w:rPr>
          <w:rFonts w:ascii="Arial" w:hAnsi="Arial" w:cs="Simplified Arabic"/>
          <w:b/>
          <w:i w:val="0"/>
          <w:color w:val="243B53"/>
          <w:sz w:val="27"/>
          <w:szCs w:val="27"/>
          <w:bCs/>
          <w:rtl/>
        </w:rPr>
        <w:t>2.5 آلية ارتباط التسامح بالسلم الأهلي داخل الدولة وتعقيب الباحث</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 xml:space="preserve">يرتبط التسامح بالسلم الداخلي عند لوك ارتباط العلّة بالمعلول؛ فقد دحض لوك الذريعة الاستبدادية القائلة إن تعدد المذاهب يولّد الفتن، وأثبت أن </w:t>
      </w:r>
      <w:r>
        <w:rPr>
          <w:rFonts w:ascii="Arial" w:hAnsi="Arial" w:cs="Simplified Arabic"/>
          <w:b/>
          <w:i w:val="0"/>
          <w:color w:val="1F2933"/>
          <w:sz w:val="26"/>
          <w:szCs w:val="26"/>
          <w:bCs/>
          <w:rtl/>
        </w:rPr>
        <w:t>الاضطهاد الديني وانحياز الدولة لمذهبٍ ضد آخر هما الوقود الحقيقي للحروب الأهلية</w:t>
      </w:r>
      <w:r>
        <w:rPr>
          <w:rFonts w:ascii="Arial" w:hAnsi="Arial" w:cs="Simplified Arabic"/>
          <w:b w:val="0"/>
          <w:i w:val="0"/>
          <w:color w:val="1F2933"/>
          <w:sz w:val="26"/>
          <w:szCs w:val="26"/>
          <w:rtl/>
        </w:rPr>
        <w:t>؛ لأن المظلومين حين يُحرمون حقوقهم المدنية يُدفعون قسراً إلى التمرد دفاعاً عن بقائهم، في حين أن حياد القانون وحمايته المتساوية للجميع ينزعان فتيل الاحتقان ويحوّلان التنوع إلى استقرارٍ ووئام أهلي (لوك، 1997، ص ص. 61–64).</w:t>
      </w:r>
    </w:p>
    <w:p>
      <w:pPr>
        <w:keepNext w:val="0"/>
        <w:pageBreakBefore w:val="0"/>
        <w:spacing w:before="40" w:after="120" w:line="331" w:lineRule="auto"/>
        <w:ind w:firstLine="340"/>
        <w:jc w:val="both"/>
        <w:bidi w:val="1"/>
      </w:pPr>
      <w:r>
        <w:rPr>
          <w:rFonts w:ascii="Arial" w:hAnsi="Arial" w:cs="Simplified Arabic"/>
          <w:b/>
          <w:i w:val="0"/>
          <w:color w:val="1F2933"/>
          <w:sz w:val="26"/>
          <w:szCs w:val="26"/>
          <w:bCs/>
          <w:rtl/>
        </w:rPr>
        <w:t>تعقيب الباحث التحليلي:</w:t>
      </w:r>
      <w:r>
        <w:rPr>
          <w:rFonts w:ascii="Arial" w:hAnsi="Arial" w:cs="Simplified Arabic"/>
          <w:b w:val="0"/>
          <w:i w:val="0"/>
          <w:color w:val="1F2933"/>
          <w:sz w:val="26"/>
          <w:szCs w:val="26"/>
          <w:rtl/>
        </w:rPr>
        <w:t xml:space="preserve"> من واقع عملي كمستقل في تطوير البرمجيات وهندسة الشبكات، أرى في طرح لوك تطبيقاً مبكراً لما نسميه في هندسة النظم «عزل الصلاحيات والطبقات»؛ فاستقرار أي شبكة حاسوبية متعددة المستخدمين يتحقق حين تترك الإدارة لكل طرفية حرية تنظيم بيئتها الداخلية الخاصة، وتكتفي بضبط الطبقة العامة المشتركة بقواعد عادلة تمنع التعدي المتبادل. وقد اختبرتُ القاعدة نفسها في فوجي الكشفي؛ فانسجام الطليعة الكشفية في المخيم لا ينشأ من تطابق أمزجة الفتيان وآرائهم، بل من التزام الجميع بقانون كشفي منصف يحترم خصوصية كل فرد ويضبط المهام المشتركة. بيد أن استحضار سؤال بحثنا المركزي يكشف لنا أن لوك أمّن </w:t>
      </w:r>
      <w:r>
        <w:rPr>
          <w:rFonts w:ascii="Arial" w:hAnsi="Arial" w:cs="Simplified Arabic"/>
          <w:b/>
          <w:i w:val="0"/>
          <w:color w:val="1F2933"/>
          <w:sz w:val="26"/>
          <w:szCs w:val="26"/>
          <w:bCs/>
          <w:rtl/>
        </w:rPr>
        <w:t>السلم الداخلي ضمن الدولة الواحدة</w:t>
      </w:r>
      <w:r>
        <w:rPr>
          <w:rFonts w:ascii="Arial" w:hAnsi="Arial" w:cs="Simplified Arabic"/>
          <w:b w:val="0"/>
          <w:i w:val="0"/>
          <w:color w:val="1F2933"/>
          <w:sz w:val="26"/>
          <w:szCs w:val="26"/>
          <w:rtl/>
        </w:rPr>
        <w:t>، لكنه لم يضع نظاماً قانونياً يمنع الحروب بين الدول ذاتها؛ وهو ما يوجب مقارنته بمشروع كانط.</w:t>
      </w:r>
    </w:p>
    <w:p>
      <w:pPr>
        <w:keepNext/>
        <w:pageBreakBefore w:val="0"/>
        <w:spacing w:before="240" w:after="120" w:line="300" w:lineRule="auto"/>
        <w:jc w:val="right"/>
        <w:bidi w:val="1"/>
        <w:pBdr>
          <w:bottom w:val="single" w:sz="8" w:space="3" w:color="1B365D"/>
        </w:pBdr>
      </w:pPr>
      <w:r>
        <w:rPr>
          <w:rFonts w:ascii="Arial" w:hAnsi="Arial" w:cs="Simplified Arabic"/>
          <w:b/>
          <w:i w:val="0"/>
          <w:color w:val="1B365D"/>
          <w:sz w:val="30"/>
          <w:szCs w:val="30"/>
          <w:bCs/>
          <w:rtl/>
        </w:rPr>
        <w:t>ثالثاً: الإجابة عن السؤال الثالث — أوجه الشبه والاختلاف بين أفكار جون لوك وإيمانويل كانط</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تكشف الموازنة التحليلية بين جون لوك (1632–1704) وإيمانويل كانط (1724–1804) — الذي سيتناول زميلي وديع هيثم سلوم تفاصيل مشروعه في القسم الثاني — أننا أمام مشروعين متمايزين في البنية، متكاملين في الغاية التنويرية (كرم، 1949؛ بدوي، 1979).</w:t>
      </w:r>
    </w:p>
    <w:p>
      <w:pPr>
        <w:keepNext/>
        <w:pageBreakBefore w:val="0"/>
        <w:spacing w:before="180" w:after="80" w:line="300" w:lineRule="auto"/>
        <w:jc w:val="right"/>
        <w:bidi w:val="1"/>
      </w:pPr>
      <w:r>
        <w:rPr>
          <w:rFonts w:ascii="Arial" w:hAnsi="Arial" w:cs="Simplified Arabic"/>
          <w:b/>
          <w:i w:val="0"/>
          <w:color w:val="243B53"/>
          <w:sz w:val="27"/>
          <w:szCs w:val="27"/>
          <w:bCs/>
          <w:rtl/>
        </w:rPr>
        <w:t>3.1 الجسور الفكرية المشتركة وأوجه الشبه بين الفيلسوفين</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1. </w:t>
      </w:r>
      <w:r>
        <w:rPr>
          <w:rFonts w:ascii="Arial" w:hAnsi="Arial" w:cs="Simplified Arabic"/>
          <w:b/>
          <w:i w:val="0"/>
          <w:color w:val="1F2933"/>
          <w:sz w:val="26"/>
          <w:szCs w:val="26"/>
          <w:bCs/>
          <w:rtl/>
        </w:rPr>
        <w:t>إعلاء سلطان العقل والحرية وكرامة الشخص الإنساني:</w:t>
      </w:r>
      <w:r>
        <w:rPr>
          <w:rFonts w:ascii="Arial" w:hAnsi="Arial" w:cs="Simplified Arabic"/>
          <w:b w:val="0"/>
          <w:i w:val="0"/>
          <w:color w:val="1F2933"/>
          <w:sz w:val="26"/>
          <w:szCs w:val="26"/>
          <w:rtl/>
        </w:rPr>
        <w:t xml:space="preserve"> كلاهما من رواد التنوير؛ فالإنسان عند لوك يولد حراً عاقلاً ذا حقوق طبيعية مصونة (لوك، 1959، ص. 137)، وهو عند كانط غايةٌ في ذاته لا يجوز استغلاله كوسيلةٍ أو أداة (كانط، 1965).</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2. </w:t>
      </w:r>
      <w:r>
        <w:rPr>
          <w:rFonts w:ascii="Arial" w:hAnsi="Arial" w:cs="Simplified Arabic"/>
          <w:b/>
          <w:i w:val="0"/>
          <w:color w:val="1F2933"/>
          <w:sz w:val="26"/>
          <w:szCs w:val="26"/>
          <w:bCs/>
          <w:rtl/>
        </w:rPr>
        <w:t>الأساس التعاقدي ونبذ الاحتكام إلى العنف:</w:t>
      </w:r>
      <w:r>
        <w:rPr>
          <w:rFonts w:ascii="Arial" w:hAnsi="Arial" w:cs="Simplified Arabic"/>
          <w:b w:val="0"/>
          <w:i w:val="0"/>
          <w:color w:val="1F2933"/>
          <w:sz w:val="26"/>
          <w:szCs w:val="26"/>
          <w:rtl/>
        </w:rPr>
        <w:t xml:space="preserve"> يرفض الفيلسوفان — خلافاً لتصور توماس هوبز (Thomas Hobbes) — بناء النظام على الرعب والإخضاع، ويؤكدان ضرورة الخروج العقلاني من «حالة الطبيعة» الفوضوية إلى «الحالة القانونية» التعاقدية (لوك، 1959، ص. 195؛ بدوي، 1979).</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3. </w:t>
      </w:r>
      <w:r>
        <w:rPr>
          <w:rFonts w:ascii="Arial" w:hAnsi="Arial" w:cs="Simplified Arabic"/>
          <w:b/>
          <w:i w:val="0"/>
          <w:color w:val="1F2933"/>
          <w:sz w:val="26"/>
          <w:szCs w:val="26"/>
          <w:bCs/>
          <w:rtl/>
        </w:rPr>
        <w:t>مركزية القانون العام بوصفه الضامن الموضوعي للتعايش:</w:t>
      </w:r>
      <w:r>
        <w:rPr>
          <w:rFonts w:ascii="Arial" w:hAnsi="Arial" w:cs="Simplified Arabic"/>
          <w:b w:val="0"/>
          <w:i w:val="0"/>
          <w:color w:val="1F2933"/>
          <w:sz w:val="26"/>
          <w:szCs w:val="26"/>
          <w:rtl/>
        </w:rPr>
        <w:t xml:space="preserve"> لا يكتفي أيٌّ منهما بالمواعظ الأخلاقية المجردة، بل يجعلان التشريع القانوني المتساوي أساس حفظ الحقوق ومنع الصدام (لوك، 1997، ص. 24؛ كانط، 1952، ص. 29).</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4. </w:t>
      </w:r>
      <w:r>
        <w:rPr>
          <w:rFonts w:ascii="Arial" w:hAnsi="Arial" w:cs="Simplified Arabic"/>
          <w:b/>
          <w:i w:val="0"/>
          <w:color w:val="1F2933"/>
          <w:sz w:val="26"/>
          <w:szCs w:val="26"/>
          <w:bCs/>
          <w:rtl/>
        </w:rPr>
        <w:t>رفض الوصاية القسرية على الضمير والمعتقد:</w:t>
      </w:r>
      <w:r>
        <w:rPr>
          <w:rFonts w:ascii="Arial" w:hAnsi="Arial" w:cs="Simplified Arabic"/>
          <w:b w:val="0"/>
          <w:i w:val="0"/>
          <w:color w:val="1F2933"/>
          <w:sz w:val="26"/>
          <w:szCs w:val="26"/>
          <w:rtl/>
        </w:rPr>
        <w:t xml:space="preserve"> يتفق كانط مع لوك في وجوب رفع يد السلطة السياسية عن عقائد الناس، مشيداً في مقالته «ما هو التنوير؟» بالملك فريدريك الثاني (Frederick II) لتركه للأفراد حرية الضمير والاستخدام العمومي للعقل (كانط، 1997).</w:t>
      </w:r>
    </w:p>
    <w:p>
      <w:pPr>
        <w:keepNext/>
        <w:pageBreakBefore w:val="0"/>
        <w:spacing w:before="180" w:after="80" w:line="300" w:lineRule="auto"/>
        <w:jc w:val="right"/>
        <w:bidi w:val="1"/>
      </w:pPr>
      <w:r>
        <w:rPr>
          <w:rFonts w:ascii="Arial" w:hAnsi="Arial" w:cs="Simplified Arabic"/>
          <w:b/>
          <w:i w:val="0"/>
          <w:color w:val="243B53"/>
          <w:sz w:val="27"/>
          <w:szCs w:val="27"/>
          <w:bCs/>
          <w:rtl/>
        </w:rPr>
        <w:t>3.2 أوجه الاختلاف والتمايز البنيوي في المنطلقات والنطاق والوسائل</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أولاً — نطاق التحليل واتجاهه:</w:t>
      </w:r>
      <w:r>
        <w:rPr>
          <w:rFonts w:ascii="Arial" w:hAnsi="Arial" w:cs="Simplified Arabic"/>
          <w:b w:val="0"/>
          <w:i w:val="0"/>
          <w:color w:val="1F2933"/>
          <w:sz w:val="26"/>
          <w:szCs w:val="26"/>
          <w:rtl/>
        </w:rPr>
        <w:t xml:space="preserve"> ينطلق لوك من </w:t>
      </w:r>
      <w:r>
        <w:rPr>
          <w:rFonts w:ascii="Arial" w:hAnsi="Arial" w:cs="Simplified Arabic"/>
          <w:b/>
          <w:i w:val="0"/>
          <w:color w:val="1F2933"/>
          <w:sz w:val="26"/>
          <w:szCs w:val="26"/>
          <w:bCs/>
          <w:rtl/>
        </w:rPr>
        <w:t>داخل الدولة</w:t>
      </w:r>
      <w:r>
        <w:rPr>
          <w:rFonts w:ascii="Arial" w:hAnsi="Arial" w:cs="Simplified Arabic"/>
          <w:b w:val="0"/>
          <w:i w:val="0"/>
          <w:color w:val="1F2933"/>
          <w:sz w:val="26"/>
          <w:szCs w:val="26"/>
          <w:rtl/>
        </w:rPr>
        <w:t xml:space="preserve"> لمعالجة الاحتراب بين الطوائف الدينية وتثبيت السلم الأهلي (لوك، 1997، ص. 19)؛ بينما ينطلق كانط نحو </w:t>
      </w:r>
      <w:r>
        <w:rPr>
          <w:rFonts w:ascii="Arial" w:hAnsi="Arial" w:cs="Simplified Arabic"/>
          <w:b/>
          <w:i w:val="0"/>
          <w:color w:val="1F2933"/>
          <w:sz w:val="26"/>
          <w:szCs w:val="26"/>
          <w:bCs/>
          <w:rtl/>
        </w:rPr>
        <w:t>الأفق الدولي والكوني</w:t>
      </w:r>
      <w:r>
        <w:rPr>
          <w:rFonts w:ascii="Arial" w:hAnsi="Arial" w:cs="Simplified Arabic"/>
          <w:b w:val="0"/>
          <w:i w:val="0"/>
          <w:color w:val="1F2933"/>
          <w:sz w:val="26"/>
          <w:szCs w:val="26"/>
          <w:rtl/>
        </w:rPr>
        <w:t xml:space="preserve"> عبر منظومة ثلاثية تشمل الدستور الجمهوري الداخلي، والاتحاد الفيدرالي بين الدول الحرة، وحق الضيافة الكوني لاجتثاث الحروب بين الأمم (كانط، 1952، ص ص. 28–60).</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ثانياً — الموقف من مفهوم «التسامح» ذاته:</w:t>
      </w:r>
      <w:r>
        <w:rPr>
          <w:rFonts w:ascii="Arial" w:hAnsi="Arial" w:cs="Simplified Arabic"/>
          <w:b w:val="0"/>
          <w:i w:val="0"/>
          <w:color w:val="1F2933"/>
          <w:sz w:val="26"/>
          <w:szCs w:val="26"/>
          <w:rtl/>
        </w:rPr>
        <w:t xml:space="preserve"> يمثّل التسامح حجر الزاوية في مشروع لوك، أما كانط فيوجّه نقداً دقيقاً للفظة «التسامح» حين تصدر من الحاكم واصفاً إياها بـ«الاسم المترفّع للتسامح» لما توحي به من تفضّلٍ أبوي، ويستبدل بها </w:t>
      </w:r>
      <w:r>
        <w:rPr>
          <w:rFonts w:ascii="Arial" w:hAnsi="Arial" w:cs="Simplified Arabic"/>
          <w:b/>
          <w:i w:val="0"/>
          <w:color w:val="1F2933"/>
          <w:sz w:val="26"/>
          <w:szCs w:val="26"/>
          <w:bCs/>
          <w:rtl/>
        </w:rPr>
        <w:t>الحق الدستوري والقانوني الأصيل</w:t>
      </w:r>
      <w:r>
        <w:rPr>
          <w:rFonts w:ascii="Arial" w:hAnsi="Arial" w:cs="Simplified Arabic"/>
          <w:b w:val="0"/>
          <w:i w:val="0"/>
          <w:color w:val="1F2933"/>
          <w:sz w:val="26"/>
          <w:szCs w:val="26"/>
          <w:rtl/>
        </w:rPr>
        <w:t xml:space="preserve"> في حرية الفكر وفي الضيافة الكونية (كانط، 1997؛ كانط، 1952، ص. 60).</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ثالثاً — المنطلق المعرفي والأخلاقي:</w:t>
      </w:r>
      <w:r>
        <w:rPr>
          <w:rFonts w:ascii="Arial" w:hAnsi="Arial" w:cs="Simplified Arabic"/>
          <w:b w:val="0"/>
          <w:i w:val="0"/>
          <w:color w:val="1F2933"/>
          <w:sz w:val="26"/>
          <w:szCs w:val="26"/>
          <w:rtl/>
        </w:rPr>
        <w:t xml:space="preserve"> يصدر لوك عن فلسفة تجريبية تربط التشريع بحفظ الخيرات المدنية الملموسة ودرء الضرر (وهبة، 1997، ص. 13)، بينما يصدر كانط عن مثالية نقدية تجعل نبذ الحرب وبناء السلام واجباً قبلياً صارماً يفرضه العقل العملي والأمر الأخلاقي المطلق (كانط، 1965؛ بدوي، 1979).</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رابعاً — الآلية التنفيذية:</w:t>
      </w:r>
      <w:r>
        <w:rPr>
          <w:rFonts w:ascii="Arial" w:hAnsi="Arial" w:cs="Simplified Arabic"/>
          <w:b w:val="0"/>
          <w:i w:val="0"/>
          <w:color w:val="1F2933"/>
          <w:sz w:val="26"/>
          <w:szCs w:val="26"/>
          <w:rtl/>
        </w:rPr>
        <w:t xml:space="preserve"> اعتمد لوك آلية الفصل المؤسسي بين الكنيسة والدولة والمساواة المدنية، في حين صاغ كانط معاهدة دولية تضم ست مواد تمهيدية تلغي مسببات الحرب كالجيوش الدائمة والديون الحربية والمعاهدات المخادعة، وثلاث مواد نهائية تنشئ مؤسسات السلام (كانط، 1952، ص. 15).</w:t>
      </w:r>
    </w:p>
    <w:p>
      <w:pPr>
        <w:keepNext/>
        <w:pageBreakBefore w:val="0"/>
        <w:spacing w:before="180" w:after="80" w:line="300" w:lineRule="auto"/>
        <w:jc w:val="right"/>
        <w:bidi w:val="1"/>
      </w:pPr>
      <w:r>
        <w:rPr>
          <w:rFonts w:ascii="Arial" w:hAnsi="Arial" w:cs="Simplified Arabic"/>
          <w:b/>
          <w:i w:val="0"/>
          <w:color w:val="243B53"/>
          <w:sz w:val="27"/>
          <w:szCs w:val="27"/>
          <w:bCs/>
          <w:rtl/>
        </w:rPr>
        <w:t>3.3 جدول المقارنة الفلسفية المنظّمة بين مشروعي لوك وكانط</w:t>
      </w:r>
    </w:p>
    <w:tbl>
      <w:tblPr>
        <w:tblW w:type="auto" w:w="0"/>
        <w:jc w:val="center"/>
        <w:tblLook w:firstColumn="1" w:firstRow="1" w:lastColumn="0" w:lastRow="0" w:noHBand="0" w:noVBand="1" w:val="04A0"/>
        <w:bidiVisual/>
        <w:tblBorders>
          <w:top w:val="single" w:sz="6" w:space="0" w:color="CBD5E1"/>
          <w:bottom w:val="single" w:sz="8" w:space="0" w:color="1B365D"/>
          <w:left w:val="single" w:sz="4" w:space="0" w:color="CBD5E1"/>
          <w:right w:val="single" w:sz="4" w:space="0" w:color="CBD5E1"/>
          <w:insideH w:val="single" w:sz="4" w:space="0" w:color="CBD5E1"/>
          <w:insideV w:val="single" w:sz="4" w:space="0" w:color="CBD5E1"/>
        </w:tblBorders>
        <w:tblW w:w="5000" w:type="pct"/>
      </w:tblPr>
      <w:tblGrid>
        <w:gridCol w:w="3099"/>
        <w:gridCol w:w="3099"/>
        <w:gridCol w:w="3099"/>
      </w:tblGrid>
      <w:tr>
        <w:trPr>
          <w:cantSplit/>
          <w:tblHeader/>
        </w:trPr>
        <w:tc>
          <w:tcPr>
            <w:tcW w:type="dxa" w:w="3099"/>
            <w:vAlign w:val="center"/>
            <w:tcMar>
              <w:top w:w="75" w:type="dxa"/>
              <w:bottom w:w="75" w:type="dxa"/>
              <w:left w:w="95" w:type="dxa"/>
              <w:right w:w="95" w:type="dxa"/>
            </w:tcMar>
            <w:shd w:fill="1B365D"/>
          </w:tcPr>
          <w:p>
            <w:pPr>
              <w:keepNext w:val="0"/>
              <w:pageBreakBefore w:val="0"/>
              <w:spacing w:before="0" w:after="0" w:line="283" w:lineRule="auto"/>
              <w:jc w:val="right"/>
              <w:bidi w:val="1"/>
            </w:pPr>
            <w:r>
              <w:rPr>
                <w:rFonts w:ascii="Arial" w:hAnsi="Arial" w:cs="Simplified Arabic"/>
                <w:b/>
                <w:i w:val="0"/>
                <w:color w:val="FFFFFF"/>
                <w:sz w:val="23"/>
                <w:szCs w:val="23"/>
                <w:bCs/>
                <w:rtl/>
              </w:rPr>
              <w:t>محور المقارنة</w:t>
            </w:r>
          </w:p>
        </w:tc>
        <w:tc>
          <w:tcPr>
            <w:tcW w:type="dxa" w:w="3099"/>
            <w:vAlign w:val="center"/>
            <w:tcMar>
              <w:top w:w="75" w:type="dxa"/>
              <w:bottom w:w="75" w:type="dxa"/>
              <w:left w:w="95" w:type="dxa"/>
              <w:right w:w="95" w:type="dxa"/>
            </w:tcMar>
            <w:shd w:fill="1B365D"/>
          </w:tcPr>
          <w:p>
            <w:pPr>
              <w:keepNext w:val="0"/>
              <w:pageBreakBefore w:val="0"/>
              <w:spacing w:before="0" w:after="0" w:line="283" w:lineRule="auto"/>
              <w:jc w:val="right"/>
              <w:bidi w:val="1"/>
            </w:pPr>
            <w:r>
              <w:rPr>
                <w:rFonts w:ascii="Arial" w:hAnsi="Arial" w:cs="Simplified Arabic"/>
                <w:b/>
                <w:i w:val="0"/>
                <w:color w:val="FFFFFF"/>
                <w:sz w:val="23"/>
                <w:szCs w:val="23"/>
                <w:bCs/>
                <w:rtl/>
              </w:rPr>
              <w:t>جون لوك (1632–1704)</w:t>
            </w:r>
          </w:p>
        </w:tc>
        <w:tc>
          <w:tcPr>
            <w:tcW w:type="dxa" w:w="3099"/>
            <w:vAlign w:val="center"/>
            <w:tcMar>
              <w:top w:w="75" w:type="dxa"/>
              <w:bottom w:w="75" w:type="dxa"/>
              <w:left w:w="95" w:type="dxa"/>
              <w:right w:w="95" w:type="dxa"/>
            </w:tcMar>
            <w:shd w:fill="1B365D"/>
          </w:tcPr>
          <w:p>
            <w:pPr>
              <w:keepNext w:val="0"/>
              <w:pageBreakBefore w:val="0"/>
              <w:spacing w:before="0" w:after="0" w:line="283" w:lineRule="auto"/>
              <w:jc w:val="right"/>
              <w:bidi w:val="1"/>
            </w:pPr>
            <w:r>
              <w:rPr>
                <w:rFonts w:ascii="Arial" w:hAnsi="Arial" w:cs="Simplified Arabic"/>
                <w:b/>
                <w:i w:val="0"/>
                <w:color w:val="FFFFFF"/>
                <w:sz w:val="23"/>
                <w:szCs w:val="23"/>
                <w:bCs/>
                <w:rtl/>
              </w:rPr>
              <w:t>إيمانويل كانط (1724–1804)</w:t>
            </w:r>
          </w:p>
        </w:tc>
      </w:tr>
      <w:tr>
        <w:trPr>
          <w:cantSplit/>
        </w:trPr>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i w:val="0"/>
                <w:color w:val="1F2933"/>
                <w:sz w:val="22"/>
                <w:szCs w:val="22"/>
                <w:bCs/>
                <w:rtl/>
              </w:rPr>
              <w:t>المدرسة الفلسفية والعصر</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التجريبية الإنجليزية والليبرالية الكلاسيكية (القرن 17).</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المثالية النقدية الألمانية وقمة التنوير (أواخر القرن 18).</w:t>
            </w:r>
          </w:p>
        </w:tc>
      </w:tr>
      <w:tr>
        <w:trPr>
          <w:cantSplit/>
        </w:trPr>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i w:val="0"/>
                <w:color w:val="1F2933"/>
                <w:sz w:val="22"/>
                <w:szCs w:val="22"/>
                <w:bCs/>
                <w:rtl/>
              </w:rPr>
              <w:t>المؤلَّف المرجعي الأساس</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«رسالة في التسامح» (1689)، و«في الحكم المدني» (1689).</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«مشروع للسلام الدائم» (1795)، و«تأسيس ميتافيزيقا الأخلاق» (1785).</w:t>
            </w:r>
          </w:p>
        </w:tc>
      </w:tr>
      <w:tr>
        <w:trPr>
          <w:cantSplit/>
        </w:trPr>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i w:val="0"/>
                <w:color w:val="1F2933"/>
                <w:sz w:val="22"/>
                <w:szCs w:val="22"/>
                <w:bCs/>
                <w:rtl/>
              </w:rPr>
              <w:t>الإشكالية المركزية</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التعصب الديني والاحتراب المذهبي داخل الدولة الواحدة.</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الحروب بين الدول والهُدَن الموقّتة المبطّنة بنية استئناف القتال.</w:t>
            </w:r>
          </w:p>
        </w:tc>
      </w:tr>
      <w:tr>
        <w:trPr>
          <w:cantSplit/>
        </w:trPr>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i w:val="0"/>
                <w:color w:val="1F2933"/>
                <w:sz w:val="22"/>
                <w:szCs w:val="22"/>
                <w:bCs/>
                <w:rtl/>
              </w:rPr>
              <w:t>نطاق المعالجة واتجاهها</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داخلي (وطني/أهلي): علاقة الحاكم بالمذاهب والمواطنين.</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ثلاثي متدرج: دستوري داخلي، فدولي اتحادي، فكوني إنساني.</w:t>
            </w:r>
          </w:p>
        </w:tc>
      </w:tr>
      <w:tr>
        <w:trPr>
          <w:cantSplit/>
        </w:trPr>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i w:val="0"/>
                <w:color w:val="1F2933"/>
                <w:sz w:val="22"/>
                <w:szCs w:val="22"/>
                <w:bCs/>
                <w:rtl/>
              </w:rPr>
              <w:t>المفهوم المفتاحي</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التسامح الديني والمدني وحرية الضمير الفردي.</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السلام الدائم القائم على الجمهورية، وحلف الشعوب، وحق الضيافة.</w:t>
            </w:r>
          </w:p>
        </w:tc>
      </w:tr>
      <w:tr>
        <w:trPr>
          <w:cantSplit/>
        </w:trPr>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i w:val="0"/>
                <w:color w:val="1F2933"/>
                <w:sz w:val="22"/>
                <w:szCs w:val="22"/>
                <w:bCs/>
                <w:rtl/>
              </w:rPr>
              <w:t>الأساس الأخلاقي والمعرفي</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الحقوق الطبيعية، العقد الاجتماعي، وحفظ المصالح المدنية.</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العقل العملي الخالص، الواجب الأخلاقي المطلق، والإنسان كغاية.</w:t>
            </w:r>
          </w:p>
        </w:tc>
      </w:tr>
      <w:tr>
        <w:trPr>
          <w:cantSplit/>
        </w:trPr>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i w:val="0"/>
                <w:color w:val="1F2933"/>
                <w:sz w:val="22"/>
                <w:szCs w:val="22"/>
                <w:bCs/>
                <w:rtl/>
              </w:rPr>
              <w:t>الموقف من لفظ «التسامح»</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الفضيلة السياسية والقانونية الكفيلة بإنهاء الفتن الأهلية.</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يتجاوزه من «منحةٍ مترفّعة» إلى «حق دستوري وقانوني أصيل».</w:t>
            </w:r>
          </w:p>
        </w:tc>
      </w:tr>
      <w:tr>
        <w:trPr>
          <w:cantSplit/>
        </w:trPr>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i w:val="0"/>
                <w:color w:val="1F2933"/>
                <w:sz w:val="22"/>
                <w:szCs w:val="22"/>
                <w:bCs/>
                <w:rtl/>
              </w:rPr>
              <w:t>الآلية التنفيذية الرئيسة</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الفصل التام بين السلطة المدنية والدينية والمساواة أمام القانون.</w:t>
            </w:r>
          </w:p>
        </w:tc>
        <w:tc>
          <w:tcPr>
            <w:tcW w:type="dxa" w:w="3099"/>
            <w:vAlign w:val="center"/>
            <w:tcMar>
              <w:top w:w="75" w:type="dxa"/>
              <w:bottom w:w="75" w:type="dxa"/>
              <w:left w:w="95" w:type="dxa"/>
              <w:right w:w="95" w:type="dxa"/>
            </w:tcMar>
            <w:shd w:fill="F8FAFC"/>
          </w:tcPr>
          <w:p>
            <w:pPr>
              <w:keepNext w:val="0"/>
              <w:pageBreakBefore w:val="0"/>
              <w:spacing w:before="0" w:after="0" w:line="283" w:lineRule="auto"/>
              <w:jc w:val="right"/>
              <w:bidi w:val="1"/>
            </w:pPr>
            <w:r>
              <w:rPr>
                <w:rFonts w:ascii="Arial" w:hAnsi="Arial" w:cs="Simplified Arabic"/>
                <w:b w:val="0"/>
                <w:i w:val="0"/>
                <w:color w:val="1F2933"/>
                <w:sz w:val="22"/>
                <w:szCs w:val="22"/>
                <w:rtl/>
              </w:rPr>
              <w:t>إلغاء بواعث الحرب (مواد تمهيدية) وبناء اتحاد دول حرة (مواد نهائية).</w:t>
            </w:r>
          </w:p>
        </w:tc>
      </w:tr>
      <w:tr>
        <w:trPr>
          <w:cantSplit/>
        </w:trPr>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i w:val="0"/>
                <w:color w:val="1F2933"/>
                <w:sz w:val="22"/>
                <w:szCs w:val="22"/>
                <w:bCs/>
                <w:rtl/>
              </w:rPr>
              <w:t>الغاية النهائية</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إرساء السلم الأهلي والتعايش بين المختلفين داخل الدولة.</w:t>
            </w:r>
          </w:p>
        </w:tc>
        <w:tc>
          <w:tcPr>
            <w:tcW w:type="dxa" w:w="3099"/>
            <w:vAlign w:val="center"/>
            <w:tcMar>
              <w:top w:w="75" w:type="dxa"/>
              <w:bottom w:w="75" w:type="dxa"/>
              <w:left w:w="95" w:type="dxa"/>
              <w:right w:w="95" w:type="dxa"/>
            </w:tcMar>
          </w:tcPr>
          <w:p>
            <w:pPr>
              <w:keepNext w:val="0"/>
              <w:pageBreakBefore w:val="0"/>
              <w:spacing w:before="0" w:after="0" w:line="283" w:lineRule="auto"/>
              <w:jc w:val="right"/>
              <w:bidi w:val="1"/>
            </w:pPr>
            <w:r>
              <w:rPr>
                <w:rFonts w:ascii="Arial" w:hAnsi="Arial" w:cs="Simplified Arabic"/>
                <w:b w:val="0"/>
                <w:i w:val="0"/>
                <w:color w:val="1F2933"/>
                <w:sz w:val="22"/>
                <w:szCs w:val="22"/>
                <w:rtl/>
              </w:rPr>
              <w:t>إلغاء الحرب نهائياً وتشييد سلام عالمي دائم تحرسه المؤسسات.</w:t>
            </w:r>
          </w:p>
        </w:tc>
      </w:tr>
    </w:tbl>
    <w:p>
      <w:pPr>
        <w:keepNext w:val="0"/>
        <w:pageBreakBefore w:val="0"/>
        <w:spacing w:before="0" w:after="80" w:line="240" w:lineRule="auto"/>
        <w:jc w:val="both"/>
        <w:bidi w:val="1"/>
      </w:pPr>
    </w:p>
    <w:p>
      <w:pPr>
        <w:keepNext/>
        <w:pageBreakBefore w:val="0"/>
        <w:spacing w:before="180" w:after="80" w:line="300" w:lineRule="auto"/>
        <w:jc w:val="right"/>
        <w:bidi w:val="1"/>
      </w:pPr>
      <w:r>
        <w:rPr>
          <w:rFonts w:ascii="Arial" w:hAnsi="Arial" w:cs="Simplified Arabic"/>
          <w:b/>
          <w:i w:val="0"/>
          <w:color w:val="243B53"/>
          <w:sz w:val="27"/>
          <w:szCs w:val="27"/>
          <w:bCs/>
          <w:rtl/>
        </w:rPr>
        <w:t>3.4 تحليل تركيبي: هل تسامح لوك وسلام كانط فكرة واحدة أم حلقتان متكاملتان؟</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 xml:space="preserve">تبرهن المقارنة البنيوية السابقة أن </w:t>
      </w:r>
      <w:r>
        <w:rPr>
          <w:rFonts w:ascii="Arial" w:hAnsi="Arial" w:cs="Simplified Arabic"/>
          <w:b/>
          <w:i w:val="0"/>
          <w:color w:val="1F2933"/>
          <w:sz w:val="26"/>
          <w:szCs w:val="26"/>
          <w:bCs/>
          <w:rtl/>
        </w:rPr>
        <w:t>فكرة التسامح عند لوك ليست هي ذاتها فكرة السلام عند كانط</w:t>
      </w:r>
      <w:r>
        <w:rPr>
          <w:rFonts w:ascii="Arial" w:hAnsi="Arial" w:cs="Simplified Arabic"/>
          <w:b w:val="0"/>
          <w:i w:val="0"/>
          <w:color w:val="1F2933"/>
          <w:sz w:val="26"/>
          <w:szCs w:val="26"/>
          <w:rtl/>
        </w:rPr>
        <w:t>؛ فهما يختلفان في مستوى التشخيص، ونطاق التطبيق، وطبيعة الأداة الحقوقية. وإذا عدنا إلى مقاربتنا المستمدة من هندسة النظم الشبكية، أمكننا القول إن مشروع جون لوك يؤدي وظيفة تأمين «البنية الداخلية للخادم الوطني الواحد»، إذ يمنع تصادم البرامج والمستخدمين المختلفين داخله عبر عزل الصلاحيات وحماية الحيز الخاص بكل ضمير تحت مظلة قانون محلي محايد؛ في حين يؤدي مشروع إيمانويل كانط وظيفة هندسة «مواثيق الربط البيني العالمي» التي تضبط العلاقة بين الدول والشبكات المستقلة الكبرى كي لا تنزلق إلى هجمات تدميرية وحروب إبادة متبادلة.</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 xml:space="preserve">ومع ذلك، فإن عدم التطابق بين الفكرتين لا يعني التنافر أو الانفصال، بل يكشف عن </w:t>
      </w:r>
      <w:r>
        <w:rPr>
          <w:rFonts w:ascii="Arial" w:hAnsi="Arial" w:cs="Simplified Arabic"/>
          <w:b/>
          <w:i w:val="0"/>
          <w:color w:val="1F2933"/>
          <w:sz w:val="26"/>
          <w:szCs w:val="26"/>
          <w:bCs/>
          <w:rtl/>
        </w:rPr>
        <w:t>تكاملٍ عضوي وتلازمٍ بنيوي عميق</w:t>
      </w:r>
      <w:r>
        <w:rPr>
          <w:rFonts w:ascii="Arial" w:hAnsi="Arial" w:cs="Simplified Arabic"/>
          <w:b w:val="0"/>
          <w:i w:val="0"/>
          <w:color w:val="1F2933"/>
          <w:sz w:val="26"/>
          <w:szCs w:val="26"/>
          <w:rtl/>
        </w:rPr>
        <w:t xml:space="preserve"> بين المشروعين؛ فلا يمكن تصور سلامٍ دولي دائم على طريقة كانط بين دولٍ استبدادية يمزقها التعصب الطائفي وقمع الضمائر في الداخل، كما لا يمكن للسلم الأهلي الداخلي الذي يشيده تسامح لوك أن يأمن على نفسه البقاء إذا ظلت الساحة الدولية محكومةً بشريعة الحرب والغزو واستنزاف الموارد وتأجيج الكراهية القومية. وعليه، يمثل تسامح لوك </w:t>
      </w:r>
      <w:r>
        <w:rPr>
          <w:rFonts w:ascii="Arial" w:hAnsi="Arial" w:cs="Simplified Arabic"/>
          <w:b/>
          <w:i w:val="0"/>
          <w:color w:val="1F2933"/>
          <w:sz w:val="26"/>
          <w:szCs w:val="26"/>
          <w:bCs/>
          <w:rtl/>
        </w:rPr>
        <w:t>القاعدة الداخلية الضرورية للعيش المشترك</w:t>
      </w:r>
      <w:r>
        <w:rPr>
          <w:rFonts w:ascii="Arial" w:hAnsi="Arial" w:cs="Simplified Arabic"/>
          <w:b w:val="0"/>
          <w:i w:val="0"/>
          <w:color w:val="1F2933"/>
          <w:sz w:val="26"/>
          <w:szCs w:val="26"/>
          <w:rtl/>
        </w:rPr>
        <w:t xml:space="preserve">، ويمثل سلام كانط </w:t>
      </w:r>
      <w:r>
        <w:rPr>
          <w:rFonts w:ascii="Arial" w:hAnsi="Arial" w:cs="Simplified Arabic"/>
          <w:b/>
          <w:i w:val="0"/>
          <w:color w:val="1F2933"/>
          <w:sz w:val="26"/>
          <w:szCs w:val="26"/>
          <w:bCs/>
          <w:rtl/>
        </w:rPr>
        <w:t>السقف الدستوري والدولي الضامن لديمومة هذا العيش المشترك</w:t>
      </w:r>
      <w:r>
        <w:rPr>
          <w:rFonts w:ascii="Arial" w:hAnsi="Arial" w:cs="Simplified Arabic"/>
          <w:b w:val="0"/>
          <w:i w:val="0"/>
          <w:color w:val="1F2933"/>
          <w:sz w:val="26"/>
          <w:szCs w:val="26"/>
          <w:rtl/>
        </w:rPr>
        <w:t xml:space="preserve"> على مستوى الإنسانية جمعاء (بدوي، 1979؛ التريكي، 2009، ص. 89).</w:t>
      </w:r>
    </w:p>
    <w:tbl>
      <w:tblPr>
        <w:tblW w:type="auto" w:w="0"/>
        <w:jc w:val="center"/>
        <w:tblLook w:firstColumn="1" w:firstRow="1" w:lastColumn="0" w:lastRow="0" w:noHBand="0" w:noVBand="1" w:val="04A0"/>
        <w:bidiVisual/>
        <w:tblW w:w="5000" w:type="pct"/>
        <w:tblBorders>
          <w:top w:val="single" w:sz="12" w:space="0" w:color="1B365D"/>
          <w:bottom w:val="single" w:sz="12" w:space="0" w:color="1B365D"/>
          <w:right w:val="single" w:sz="24" w:space="0" w:color="C59B27"/>
          <w:left w:val="single" w:sz="6" w:space="0" w:color="1B365D"/>
        </w:tblBorders>
      </w:tblPr>
      <w:tblGrid>
        <w:gridCol w:w="9298"/>
      </w:tblGrid>
      <w:tr>
        <w:trPr>
          <w:cantSplit/>
        </w:trPr>
        <w:tc>
          <w:tcPr>
            <w:tcW w:type="dxa" w:w="9298"/>
            <w:shd w:fill="F0F4F8"/>
            <w:tcMar>
              <w:top w:w="130" w:type="dxa"/>
              <w:bottom w:w="130" w:type="dxa"/>
              <w:left w:w="180" w:type="dxa"/>
              <w:right w:w="180" w:type="dxa"/>
            </w:tcMar>
          </w:tcPr>
          <w:p>
            <w:pPr>
              <w:keepNext/>
              <w:pageBreakBefore/>
              <w:spacing w:before="0" w:after="0" w:line="300" w:lineRule="auto"/>
              <w:jc w:val="right"/>
              <w:bidi w:val="1"/>
            </w:pPr>
            <w:r>
              <w:rPr>
                <w:rFonts w:ascii="Arial" w:hAnsi="Arial" w:cs="Simplified Arabic"/>
                <w:b/>
                <w:i w:val="0"/>
                <w:color w:val="1B365D"/>
                <w:sz w:val="29"/>
                <w:szCs w:val="29"/>
                <w:bCs/>
                <w:rtl/>
              </w:rPr>
              <w:t>القسم الثاني — من إعداد الطالب: وديع هيثم سلوم (`wadee_440350`)</w:t>
            </w:r>
          </w:p>
        </w:tc>
      </w:tr>
    </w:tbl>
    <w:p>
      <w:pPr>
        <w:keepNext/>
        <w:pageBreakBefore w:val="0"/>
        <w:spacing w:before="240" w:after="120" w:line="300" w:lineRule="auto"/>
        <w:jc w:val="right"/>
        <w:bidi w:val="1"/>
        <w:pBdr>
          <w:bottom w:val="single" w:sz="8" w:space="3" w:color="1B365D"/>
        </w:pBdr>
      </w:pPr>
      <w:r>
        <w:rPr>
          <w:rFonts w:ascii="Arial" w:hAnsi="Arial" w:cs="Simplified Arabic"/>
          <w:b/>
          <w:i w:val="0"/>
          <w:color w:val="1B365D"/>
          <w:sz w:val="30"/>
          <w:szCs w:val="30"/>
          <w:bCs/>
          <w:rtl/>
        </w:rPr>
        <w:t>رابعاً: الإجابة عن السؤال الثاني — معنى السلام الدائم عند إيمانويل كانط وعلاقته بالتسامح</w:t>
      </w:r>
    </w:p>
    <w:p>
      <w:pPr>
        <w:keepNext/>
        <w:pageBreakBefore w:val="0"/>
        <w:spacing w:before="180" w:after="80" w:line="300" w:lineRule="auto"/>
        <w:jc w:val="right"/>
        <w:bidi w:val="1"/>
      </w:pPr>
      <w:r>
        <w:rPr>
          <w:rFonts w:ascii="Arial" w:hAnsi="Arial" w:cs="Simplified Arabic"/>
          <w:b/>
          <w:i w:val="0"/>
          <w:color w:val="243B53"/>
          <w:sz w:val="27"/>
          <w:szCs w:val="27"/>
          <w:bCs/>
          <w:rtl/>
        </w:rPr>
        <w:t>4.1 مفهوم السلام الدائم عند كانط والتمييز الحاسم بين السلام والهدنة</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افتتح الفيلسوف الألماني إيمانويل كانط كتابه الشهير «مشروع للسلام الدائم» الصادر سنة 1795 بمفارقةٍ ساخرة تشير إلى لافتة فندقٍ هولندي كُتب عليها «إلى السلام الدائم» وتحتها صورة مقبرة؛ ليحذّر الساسة من أن الجنس البشري إن لم يشيد السلام بالعقل والقانون في حياة الدول، فلن يدركه إلا في صمت القبور بعد الفناء المتبادل (كانط، 1952، ص. 9).</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 xml:space="preserve">يقيم كانط تفرقةً حاسمة بين </w:t>
      </w:r>
      <w:r>
        <w:rPr>
          <w:rFonts w:ascii="Arial" w:hAnsi="Arial" w:cs="Simplified Arabic"/>
          <w:b/>
          <w:i w:val="0"/>
          <w:color w:val="1F2933"/>
          <w:sz w:val="26"/>
          <w:szCs w:val="26"/>
          <w:bCs/>
          <w:rtl/>
        </w:rPr>
        <w:t>«الهدنة»</w:t>
      </w:r>
      <w:r>
        <w:rPr>
          <w:rFonts w:ascii="Arial" w:hAnsi="Arial" w:cs="Simplified Arabic"/>
          <w:b w:val="0"/>
          <w:i w:val="0"/>
          <w:color w:val="1F2933"/>
          <w:sz w:val="26"/>
          <w:szCs w:val="26"/>
          <w:rtl/>
        </w:rPr>
        <w:t xml:space="preserve"> بوصفها تجميداً مؤقتاً للقتال مع بقاء نية العدوان وأدواته، وبين </w:t>
      </w:r>
      <w:r>
        <w:rPr>
          <w:rFonts w:ascii="Arial" w:hAnsi="Arial" w:cs="Simplified Arabic"/>
          <w:b/>
          <w:i w:val="0"/>
          <w:color w:val="1F2933"/>
          <w:sz w:val="26"/>
          <w:szCs w:val="26"/>
          <w:bCs/>
          <w:rtl/>
        </w:rPr>
        <w:t>«السلام الدائم»</w:t>
      </w:r>
      <w:r>
        <w:rPr>
          <w:rFonts w:ascii="Arial" w:hAnsi="Arial" w:cs="Simplified Arabic"/>
          <w:b w:val="0"/>
          <w:i w:val="0"/>
          <w:color w:val="1F2933"/>
          <w:sz w:val="26"/>
          <w:szCs w:val="26"/>
          <w:rtl/>
        </w:rPr>
        <w:t xml:space="preserve"> بوصفه نظاماً قانونياً ومؤسسياً يُنهي الحروب كافة ويستأصل أسبابها البنيوية من جذورها (كانط، 1952، ص. 15). فالسلام عنده ليس عاطفةً طيبة عابرة ولا حالةً فطرية يعيشها البشر تلقائياً؛ بل إن «حالة الطبيعة» بين الدول غير المتعاقدة هي حالة حربٍ كامنة أو معلنة، ولذلك لا بد من </w:t>
      </w:r>
      <w:r>
        <w:rPr>
          <w:rFonts w:ascii="Arial" w:hAnsi="Arial" w:cs="Simplified Arabic"/>
          <w:b/>
          <w:i w:val="0"/>
          <w:color w:val="1F2933"/>
          <w:sz w:val="26"/>
          <w:szCs w:val="26"/>
          <w:bCs/>
          <w:rtl/>
        </w:rPr>
        <w:t>تأسيس حالة السلام تأسيساً إرادياً وحقوقياً</w:t>
      </w:r>
      <w:r>
        <w:rPr>
          <w:rFonts w:ascii="Arial" w:hAnsi="Arial" w:cs="Simplified Arabic"/>
          <w:b w:val="0"/>
          <w:i w:val="0"/>
          <w:color w:val="1F2933"/>
          <w:sz w:val="26"/>
          <w:szCs w:val="26"/>
          <w:rtl/>
        </w:rPr>
        <w:t xml:space="preserve"> ينقل العلاقات الدولية من الفوضى المسلحة إلى سيادة القانون (كانط، 1952، ص. 27؛ بدوي، 1979).</w:t>
      </w:r>
    </w:p>
    <w:p>
      <w:pPr>
        <w:keepNext/>
        <w:pageBreakBefore w:val="0"/>
        <w:spacing w:before="180" w:after="80" w:line="300" w:lineRule="auto"/>
        <w:jc w:val="right"/>
        <w:bidi w:val="1"/>
      </w:pPr>
      <w:r>
        <w:rPr>
          <w:rFonts w:ascii="Arial" w:hAnsi="Arial" w:cs="Simplified Arabic"/>
          <w:b/>
          <w:i w:val="0"/>
          <w:color w:val="243B53"/>
          <w:sz w:val="27"/>
          <w:szCs w:val="27"/>
          <w:bCs/>
          <w:rtl/>
        </w:rPr>
        <w:t>4.2 الشروط السلبية المانعة للحرب: المواد التمهيدية الست</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صاغ كانط مشروعه على نسق المعاهدات الدبلوماسية الملزِمة، فبدأ بـ</w:t>
      </w:r>
      <w:r>
        <w:rPr>
          <w:rFonts w:ascii="Arial" w:hAnsi="Arial" w:cs="Simplified Arabic"/>
          <w:b/>
          <w:i w:val="0"/>
          <w:color w:val="1F2933"/>
          <w:sz w:val="26"/>
          <w:szCs w:val="26"/>
          <w:bCs/>
          <w:rtl/>
        </w:rPr>
        <w:t>ست مواد تمهيدية</w:t>
      </w:r>
      <w:r>
        <w:rPr>
          <w:rFonts w:ascii="Arial" w:hAnsi="Arial" w:cs="Simplified Arabic"/>
          <w:b w:val="0"/>
          <w:i w:val="0"/>
          <w:color w:val="1F2933"/>
          <w:sz w:val="26"/>
          <w:szCs w:val="26"/>
          <w:rtl/>
        </w:rPr>
        <w:t xml:space="preserve"> تمثّل النواهي القانونية الواجب تطبيقها لتجفيف منابع الحرب (كانط، 1952، ص ص. 15–25):</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1. </w:t>
      </w:r>
      <w:r>
        <w:rPr>
          <w:rFonts w:ascii="Arial" w:hAnsi="Arial" w:cs="Simplified Arabic"/>
          <w:b/>
          <w:i w:val="0"/>
          <w:color w:val="1F2933"/>
          <w:sz w:val="26"/>
          <w:szCs w:val="26"/>
          <w:bCs/>
          <w:rtl/>
        </w:rPr>
        <w:t>بطلان أي معاهدة سلام تتضمن تحفظاً سرياً يضمر حرباً مقبلة:</w:t>
      </w:r>
      <w:r>
        <w:rPr>
          <w:rFonts w:ascii="Arial" w:hAnsi="Arial" w:cs="Simplified Arabic"/>
          <w:b w:val="0"/>
          <w:i w:val="0"/>
          <w:color w:val="1F2933"/>
          <w:sz w:val="26"/>
          <w:szCs w:val="26"/>
          <w:rtl/>
        </w:rPr>
        <w:t xml:space="preserve"> لأن البند السري يحوّل الصلح إلى خدعة مؤقتة تناقض مفهوم السلام الدائم.</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2. </w:t>
      </w:r>
      <w:r>
        <w:rPr>
          <w:rFonts w:ascii="Arial" w:hAnsi="Arial" w:cs="Simplified Arabic"/>
          <w:b/>
          <w:i w:val="0"/>
          <w:color w:val="1F2933"/>
          <w:sz w:val="26"/>
          <w:szCs w:val="26"/>
          <w:bCs/>
          <w:rtl/>
        </w:rPr>
        <w:t>حظر استحواذ دولة على دولة مستقلة أخرى بالإرث أو البدل أو الشراء أو الهبة:</w:t>
      </w:r>
      <w:r>
        <w:rPr>
          <w:rFonts w:ascii="Arial" w:hAnsi="Arial" w:cs="Simplified Arabic"/>
          <w:b w:val="0"/>
          <w:i w:val="0"/>
          <w:color w:val="1F2933"/>
          <w:sz w:val="26"/>
          <w:szCs w:val="26"/>
          <w:rtl/>
        </w:rPr>
        <w:t xml:space="preserve"> لأن الدولة ليست عقاراً مملوكاً للحاكم، بل هي جماعة من المواطنين الأحرار لا يجوز التصرف بهم كأشياء.</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3. </w:t>
      </w:r>
      <w:r>
        <w:rPr>
          <w:rFonts w:ascii="Arial" w:hAnsi="Arial" w:cs="Simplified Arabic"/>
          <w:b/>
          <w:i w:val="0"/>
          <w:color w:val="1F2933"/>
          <w:sz w:val="26"/>
          <w:szCs w:val="26"/>
          <w:bCs/>
          <w:rtl/>
        </w:rPr>
        <w:t>الإلغاء التدريجي الكامل للجيوش الدائمة على مرّ الزمان:</w:t>
      </w:r>
      <w:r>
        <w:rPr>
          <w:rFonts w:ascii="Arial" w:hAnsi="Arial" w:cs="Simplified Arabic"/>
          <w:b w:val="0"/>
          <w:i w:val="0"/>
          <w:color w:val="1F2933"/>
          <w:sz w:val="26"/>
          <w:szCs w:val="26"/>
          <w:rtl/>
        </w:rPr>
        <w:t xml:space="preserve"> لأن التسلح الدائم يهدد الدول الأخرى بلا انقطاع ويستنزف الخزينة العامة حتى يدفع الحكومات إلى حروب هجومية للهروب من عبئه المالي، علاوةً على أن استئجار البشر للقتال يهدر كرامتهم بوصفهم غاياتٍ لا آلات.</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4. </w:t>
      </w:r>
      <w:r>
        <w:rPr>
          <w:rFonts w:ascii="Arial" w:hAnsi="Arial" w:cs="Simplified Arabic"/>
          <w:b/>
          <w:i w:val="0"/>
          <w:color w:val="1F2933"/>
          <w:sz w:val="26"/>
          <w:szCs w:val="26"/>
          <w:bCs/>
          <w:rtl/>
        </w:rPr>
        <w:t>منع عقد الديون الوطنية لأغراض الصراعات الخارجية:</w:t>
      </w:r>
      <w:r>
        <w:rPr>
          <w:rFonts w:ascii="Arial" w:hAnsi="Arial" w:cs="Simplified Arabic"/>
          <w:b w:val="0"/>
          <w:i w:val="0"/>
          <w:color w:val="1F2933"/>
          <w:sz w:val="26"/>
          <w:szCs w:val="26"/>
          <w:rtl/>
        </w:rPr>
        <w:t xml:space="preserve"> إذ تتحول القروض الحربية إلى أداة اقتصادية مدمّرة تيسّر إشعال الحروب وتثقل كاهل الأجيال بالأزمات المالية.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5. </w:t>
      </w:r>
      <w:r>
        <w:rPr>
          <w:rFonts w:ascii="Arial" w:hAnsi="Arial" w:cs="Simplified Arabic"/>
          <w:b/>
          <w:i w:val="0"/>
          <w:color w:val="1F2933"/>
          <w:sz w:val="26"/>
          <w:szCs w:val="26"/>
          <w:bCs/>
          <w:rtl/>
        </w:rPr>
        <w:t>عدم جواز تدخل أي دولة بالقوة في دستور دولة أخرى أو نظام حكمها:</w:t>
      </w:r>
      <w:r>
        <w:rPr>
          <w:rFonts w:ascii="Arial" w:hAnsi="Arial" w:cs="Simplified Arabic"/>
          <w:b w:val="0"/>
          <w:i w:val="0"/>
          <w:color w:val="1F2933"/>
          <w:sz w:val="26"/>
          <w:szCs w:val="26"/>
          <w:rtl/>
        </w:rPr>
        <w:t xml:space="preserve"> احتراماً للاستقلال الذاتي للشعوب.</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6. </w:t>
      </w:r>
      <w:r>
        <w:rPr>
          <w:rFonts w:ascii="Arial" w:hAnsi="Arial" w:cs="Simplified Arabic"/>
          <w:b/>
          <w:i w:val="0"/>
          <w:color w:val="1F2933"/>
          <w:sz w:val="26"/>
          <w:szCs w:val="26"/>
          <w:bCs/>
          <w:rtl/>
        </w:rPr>
        <w:t>تحريم الأساليب الغادرة أثناء الحرب التي تعدم الثقة المتبادلة في السلم المقبل:</w:t>
      </w:r>
      <w:r>
        <w:rPr>
          <w:rFonts w:ascii="Arial" w:hAnsi="Arial" w:cs="Simplified Arabic"/>
          <w:b w:val="0"/>
          <w:i w:val="0"/>
          <w:color w:val="1F2933"/>
          <w:sz w:val="26"/>
          <w:szCs w:val="26"/>
          <w:rtl/>
        </w:rPr>
        <w:t xml:space="preserve"> كاستعمال القتلة المأجورين أو السموم أو خرق شروط التسليم أو التحريض على الخيانة؛ لأن هدم </w:t>
      </w:r>
      <w:r>
        <w:rPr>
          <w:rFonts w:ascii="Arial" w:hAnsi="Arial" w:cs="Simplified Arabic"/>
          <w:b/>
          <w:i w:val="0"/>
          <w:color w:val="1F2933"/>
          <w:sz w:val="26"/>
          <w:szCs w:val="26"/>
          <w:bCs/>
          <w:rtl/>
        </w:rPr>
        <w:t>الثقة الأخلاقية</w:t>
      </w:r>
      <w:r>
        <w:rPr>
          <w:rFonts w:ascii="Arial" w:hAnsi="Arial" w:cs="Simplified Arabic"/>
          <w:b w:val="0"/>
          <w:i w:val="0"/>
          <w:color w:val="1F2933"/>
          <w:sz w:val="26"/>
          <w:szCs w:val="26"/>
          <w:rtl/>
        </w:rPr>
        <w:t xml:space="preserve"> يجعل العودة إلى أي سلمٍ لاحق أمراً مستحيلاً ويقود إلى حرب إبادة (كانط، 1952، ص. 23).</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ومن واقع عملي اليومي في تقانة المعلومات داخل قطاع المصارف، أدرك تماماً عمق تركيز كانط على عنصرَي «الائتمان المالي السليم» و«صون الثقة التعاقدية»؛ ففي البيئة المصرفية الحساسة يمكن احتواء أعقد الضغوط التقنية والتشغيلية ما دامت الشفافية والثقة المؤسسية قائمتين، أما إذا تسلل الغش أو نُقضت العهود انهارت المنظومة بأسرها.</w:t>
      </w:r>
    </w:p>
    <w:p>
      <w:pPr>
        <w:keepNext/>
        <w:pageBreakBefore w:val="0"/>
        <w:spacing w:before="180" w:after="80" w:line="300" w:lineRule="auto"/>
        <w:jc w:val="right"/>
        <w:bidi w:val="1"/>
      </w:pPr>
      <w:r>
        <w:rPr>
          <w:rFonts w:ascii="Arial" w:hAnsi="Arial" w:cs="Simplified Arabic"/>
          <w:b/>
          <w:i w:val="0"/>
          <w:color w:val="243B53"/>
          <w:sz w:val="27"/>
          <w:szCs w:val="27"/>
          <w:bCs/>
          <w:rtl/>
        </w:rPr>
        <w:t>4.3 الأركان المؤسسية الإيجابية: المواد النهائية الثلاث</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لا يكتفي كانط بإزالة الموانع السلبية، بل يشيد في القسم الثاني من مشروعه ثلاثة أركان مؤسسية إيجابية تنشئ السلام وتحرسه (كانط، 1952، ص ص. 28–60؛ بدوي، 1979):</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المادة النهائية الأولى — أن يكون الدستور المدني لكل دولة دستوراً جمهورياً:</w:t>
      </w:r>
      <w:r>
        <w:rPr>
          <w:rFonts w:ascii="Arial" w:hAnsi="Arial" w:cs="Simplified Arabic"/>
          <w:b w:val="0"/>
          <w:i w:val="0"/>
          <w:color w:val="1F2933"/>
          <w:sz w:val="26"/>
          <w:szCs w:val="26"/>
          <w:rtl/>
        </w:rPr>
        <w:t xml:space="preserve"> يقوم الدستور الجمهوري الكانطي على حرية أفراد المجتمع كبشر، وخضوع الجميع لتشريع مشترك واحد، والمساواة القانونية بين المواطنين، وفصل السلطة التنفيذية عن التشريعية. ووجه خدمته للسلام جليٌّ وعملي: فبينما يزجّ الحاكم المستبد بشعبه في الحرب بجرة قلم لأنه لا يتكبد أعباءها الشخصية، يتروّى المواطنون في النظام الجمهوري طويلاً قبل الموافقة على إعلان الحرب لأنهم هم من سيدفعون كلفتها من دمائهم وأبنائهم وأموالهم وإعمار بلادهم (كانط، 1952، ص. 31).</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المادة النهائية الثانية — أن يقوم قانون الشعوب على اتحادٍ فيدرالي بين دولٍ حرة:</w:t>
      </w:r>
      <w:r>
        <w:rPr>
          <w:rFonts w:ascii="Arial" w:hAnsi="Arial" w:cs="Simplified Arabic"/>
          <w:b w:val="0"/>
          <w:i w:val="0"/>
          <w:color w:val="1F2933"/>
          <w:sz w:val="26"/>
          <w:szCs w:val="26"/>
          <w:rtl/>
        </w:rPr>
        <w:t xml:space="preserve"> يستبعد كانط فكرة صهر العالم في إمبراطورية كونية واحدة خشية تحولها إلى طغيان عالمي بارد يطمس تنوع الشعوب، ويدعو عوضاً عن ذلك إلى «عصبة سلمٍ اتحادية» تنضم إليها الدول المستقلة بحريتها لحل نزاعاتها بالقانون لا بالسلاح (كانط، 1952، ص. 38).</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المادة النهائية الثالثة — أن يقتصر الحق الكوني على شروط الضيافة الكونية الشاملة:</w:t>
      </w:r>
      <w:r>
        <w:rPr>
          <w:rFonts w:ascii="Arial" w:hAnsi="Arial" w:cs="Simplified Arabic"/>
          <w:b w:val="0"/>
          <w:i w:val="0"/>
          <w:color w:val="1F2933"/>
          <w:sz w:val="26"/>
          <w:szCs w:val="26"/>
          <w:rtl/>
        </w:rPr>
        <w:t xml:space="preserve"> وتعني حق كل غريبٍ يفد إلى أرض دولة أخرى في ألا يُعامَل بعدوانية ما دام مسالماً؛ ويشدد كانط على أن هذا المبدأ </w:t>
      </w:r>
      <w:r>
        <w:rPr>
          <w:rFonts w:ascii="Arial" w:hAnsi="Arial" w:cs="Simplified Arabic"/>
          <w:b/>
          <w:i w:val="0"/>
          <w:color w:val="1F2933"/>
          <w:sz w:val="26"/>
          <w:szCs w:val="26"/>
          <w:bCs/>
          <w:rtl/>
        </w:rPr>
        <w:t>«حقٌّ قانوني وليس إحساناً عاطفياً»</w:t>
      </w:r>
      <w:r>
        <w:rPr>
          <w:rFonts w:ascii="Arial" w:hAnsi="Arial" w:cs="Simplified Arabic"/>
          <w:b w:val="0"/>
          <w:i w:val="0"/>
          <w:color w:val="1F2933"/>
          <w:sz w:val="26"/>
          <w:szCs w:val="26"/>
          <w:rtl/>
        </w:rPr>
        <w:t>، تفرضه الشراكة البشرية في سكنى كرةٍ أرضية محدودة السطح تحتم التلاقي والتبادل، منتقداً بشدة وحشية القوى الاستعمارية التي اتخذت التجارة ذريعةً لنهب الشعوب واستعبادها (كانط، 1952، ص ص. 60–63).</w:t>
      </w:r>
    </w:p>
    <w:p>
      <w:pPr>
        <w:keepNext/>
        <w:pageBreakBefore w:val="0"/>
        <w:spacing w:before="180" w:after="80" w:line="300" w:lineRule="auto"/>
        <w:jc w:val="right"/>
        <w:bidi w:val="1"/>
      </w:pPr>
      <w:r>
        <w:rPr>
          <w:rFonts w:ascii="Arial" w:hAnsi="Arial" w:cs="Simplified Arabic"/>
          <w:b/>
          <w:i w:val="0"/>
          <w:color w:val="243B53"/>
          <w:sz w:val="27"/>
          <w:szCs w:val="27"/>
          <w:bCs/>
          <w:rtl/>
        </w:rPr>
        <w:t>4.4 الأساس الأخلاقي في العقل العملي وعلاقة السلام الكانطي بفكرة التسامح</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يستمد مشروع كانط إلزاميته الصارمة من فلسفته الأخلاقية القائمة على «الأمر المطلق» للعقل العملي، والذي يوجب على الفاعل الأخلاقي معاملة الإنسانية في شخصه وفي شخص كل إنسان آخر بوصفها غايةً في ذاتها لا مجرد وسيلةٍ قط (كانط، 1965). ولما كانت الحرب تستخدم الجنود والشعوب وقوداً لأطماع الساسة وتهدر كرامة الكائن العاقل، غدا السعي إلى السلام الدائم واجباً أخلاقياً وحقوقياً حتمياً لا تسقطه ذرائع الساسة الذرائعيين؛ بل إن كانط أدرج في ملحق كتابه «مادةً سرية» ذات مغزى فلسفي رفيع تطالب الدول المتأهبة للحرب بأن تصغي إلى أقوال الفلاسفة ومشورتهم العقلانية الحرة في شروط تحقيق السلم العام، لأن صوت العقل المستقل عن نزعة التسلط هو البوصلة الكاشفة لطريق العدالة (كانط، 1952، ص ص. 82–84؛ بدوي، 1979).</w:t>
      </w:r>
    </w:p>
    <w:p>
      <w:pPr>
        <w:keepNext w:val="0"/>
        <w:pageBreakBefore w:val="0"/>
        <w:spacing w:before="40" w:after="120" w:line="331" w:lineRule="auto"/>
        <w:ind w:firstLine="340"/>
        <w:jc w:val="both"/>
        <w:bidi w:val="1"/>
      </w:pPr>
      <w:r>
        <w:rPr>
          <w:rFonts w:ascii="Arial" w:hAnsi="Arial" w:cs="Simplified Arabic"/>
          <w:b/>
          <w:i w:val="0"/>
          <w:color w:val="1F2933"/>
          <w:sz w:val="26"/>
          <w:szCs w:val="26"/>
          <w:bCs/>
          <w:rtl/>
        </w:rPr>
        <w:t>أما علاقة السلام الدائم بالتسامح عند كانط</w:t>
      </w:r>
      <w:r>
        <w:rPr>
          <w:rFonts w:ascii="Arial" w:hAnsi="Arial" w:cs="Simplified Arabic"/>
          <w:b w:val="0"/>
          <w:i w:val="0"/>
          <w:color w:val="1F2933"/>
          <w:sz w:val="26"/>
          <w:szCs w:val="26"/>
          <w:rtl/>
        </w:rPr>
        <w:t xml:space="preserve"> فتتحدد بدقة عبر ثنائية التقاطع والتجاوز:</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من جهة التقاطع والافتراض الضمني:</w:t>
      </w:r>
      <w:r>
        <w:rPr>
          <w:rFonts w:ascii="Arial" w:hAnsi="Arial" w:cs="Simplified Arabic"/>
          <w:b w:val="0"/>
          <w:i w:val="0"/>
          <w:color w:val="1F2933"/>
          <w:sz w:val="26"/>
          <w:szCs w:val="26"/>
          <w:rtl/>
        </w:rPr>
        <w:t xml:space="preserve"> يستبطن السلام الكانطي بالضرورة احترام التعددية الدينية والثقافية واللغوية بين الأفراد والشعوب؛ بل يوضّح كانط في مبحث «ضمان السلام الدائم» أن الطبيعة وظّفت اختلاف اللغات وتعدد الأديان ليحول دون ذوبان البشرية قسراً في إمبراطورية عالمية مستبدة واحدة، ثم تكفّل ارتقاء الثقافة والتنوير بتقريب البشر تدريجياً نحو اتفاقٍ عقلي على المبادئ الحقوقية الكبرى، فينشأ سلامٌ حيوي يقوم على توازن الحريات وتعارف الثقافات لا على إخماد التنوع (كانط، 1952، ص. 78).</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ومن جهة التجاوز وعدم التطابق:</w:t>
      </w:r>
      <w:r>
        <w:rPr>
          <w:rFonts w:ascii="Arial" w:hAnsi="Arial" w:cs="Simplified Arabic"/>
          <w:b w:val="0"/>
          <w:i w:val="0"/>
          <w:color w:val="1F2933"/>
          <w:sz w:val="26"/>
          <w:szCs w:val="26"/>
          <w:rtl/>
        </w:rPr>
        <w:t xml:space="preserve"> لا يعلّق كانط مصير السلام على مجرد مشاعر التسامح الوجدانية أو مكارم الملوك المتقلبة، بل يرتقي بحرية الضمير وقبول الغريب من مرتبة «التسامح الأخلاقي الاختياري» أو «الاسم المترفّع للتسامح» إلى مرتبة </w:t>
      </w:r>
      <w:r>
        <w:rPr>
          <w:rFonts w:ascii="Arial" w:hAnsi="Arial" w:cs="Simplified Arabic"/>
          <w:b/>
          <w:i w:val="0"/>
          <w:color w:val="1F2933"/>
          <w:sz w:val="26"/>
          <w:szCs w:val="26"/>
          <w:bCs/>
          <w:rtl/>
        </w:rPr>
        <w:t>«الحق الدستوري والقانوني الملزِم»</w:t>
      </w:r>
      <w:r>
        <w:rPr>
          <w:rFonts w:ascii="Arial" w:hAnsi="Arial" w:cs="Simplified Arabic"/>
          <w:b w:val="0"/>
          <w:i w:val="0"/>
          <w:color w:val="1F2933"/>
          <w:sz w:val="26"/>
          <w:szCs w:val="26"/>
          <w:rtl/>
        </w:rPr>
        <w:t xml:space="preserve"> محلياً ودولياً وكونياً (كانط، 1997؛ كانط، 1952، ص. 60). وبذلك يتضح أن التسامح يهيئ التربة الأخلاقية لقبول المختلف، غير أن السلام الدائم عند كانط هو المنظومة المؤسسية والقانونية التي تمنع الحرب وتحمي الحقوق بسلطان التشريع.</w:t>
      </w:r>
    </w:p>
    <w:p>
      <w:pPr>
        <w:keepNext/>
        <w:pageBreakBefore w:val="0"/>
        <w:spacing w:before="240" w:after="120" w:line="300" w:lineRule="auto"/>
        <w:jc w:val="right"/>
        <w:bidi w:val="1"/>
        <w:pBdr>
          <w:bottom w:val="single" w:sz="8" w:space="3" w:color="1B365D"/>
        </w:pBdr>
      </w:pPr>
      <w:r>
        <w:rPr>
          <w:rFonts w:ascii="Arial" w:hAnsi="Arial" w:cs="Simplified Arabic"/>
          <w:b/>
          <w:i w:val="0"/>
          <w:color w:val="1B365D"/>
          <w:sz w:val="30"/>
          <w:szCs w:val="30"/>
          <w:bCs/>
          <w:rtl/>
        </w:rPr>
        <w:t>خامساً: الإجابة عن السؤال الرابع — هل يمكن الاستفادة من أفكارهما اليوم لبناء السلام؟ (الرأي والأدلة)</w:t>
      </w:r>
    </w:p>
    <w:p>
      <w:pPr>
        <w:keepNext/>
        <w:pageBreakBefore w:val="0"/>
        <w:spacing w:before="180" w:after="80" w:line="300" w:lineRule="auto"/>
        <w:jc w:val="right"/>
        <w:bidi w:val="1"/>
      </w:pPr>
      <w:r>
        <w:rPr>
          <w:rFonts w:ascii="Arial" w:hAnsi="Arial" w:cs="Simplified Arabic"/>
          <w:b/>
          <w:i w:val="0"/>
          <w:color w:val="243B53"/>
          <w:sz w:val="27"/>
          <w:szCs w:val="27"/>
          <w:bCs/>
          <w:rtl/>
        </w:rPr>
        <w:t>5.1 موقف الباحث التحليلي: التسامح شرط ضروري لكنه غير كافٍ وحده بلا مؤسسات وقانون</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 xml:space="preserve">نرى بوضوح واقتناع علمي أنه </w:t>
      </w:r>
      <w:r>
        <w:rPr>
          <w:rFonts w:ascii="Arial" w:hAnsi="Arial" w:cs="Simplified Arabic"/>
          <w:b/>
          <w:i w:val="0"/>
          <w:color w:val="1F2933"/>
          <w:sz w:val="26"/>
          <w:szCs w:val="26"/>
          <w:bCs/>
          <w:rtl/>
        </w:rPr>
        <w:t>نعم، يمكن — بل يجب — الاستفادة من فكر جون لوك وإيمانويل كانط معاً لبناء السلام في عصرنا الحاضر</w:t>
      </w:r>
      <w:r>
        <w:rPr>
          <w:rFonts w:ascii="Arial" w:hAnsi="Arial" w:cs="Simplified Arabic"/>
          <w:b w:val="0"/>
          <w:i w:val="0"/>
          <w:color w:val="1F2933"/>
          <w:sz w:val="26"/>
          <w:szCs w:val="26"/>
          <w:rtl/>
        </w:rPr>
        <w:t xml:space="preserve">، شريطة الجمع التكاملي بينهما وتجاوز الخلط السطحي بين التسامح والسلام. وتتلخص أطروحتنا المعلَّلة في أن </w:t>
      </w:r>
      <w:r>
        <w:rPr>
          <w:rFonts w:ascii="Arial" w:hAnsi="Arial" w:cs="Simplified Arabic"/>
          <w:b/>
          <w:i w:val="0"/>
          <w:color w:val="1F2933"/>
          <w:sz w:val="26"/>
          <w:szCs w:val="26"/>
          <w:bCs/>
          <w:rtl/>
        </w:rPr>
        <w:t>التسامح اللوكي شرطٌ أولي لا غنى عنه لتحقيق الوئام الأهلي داخل المجتمعات المتنوعة، بيد أنه يظل عاجزاً وحده عن تشييد سلامٍ مستدام ما لم يُحصَّن بدساتير عادلة ومؤسسات قانونية ومواثيق دولية وتربية مدنية مسؤولة كما بيّن كانط وأثبته الفكر المعاصر</w:t>
      </w:r>
      <w:r>
        <w:rPr>
          <w:rFonts w:ascii="Arial" w:hAnsi="Arial" w:cs="Simplified Arabic"/>
          <w:b w:val="0"/>
          <w:i w:val="0"/>
          <w:color w:val="1F2933"/>
          <w:sz w:val="26"/>
          <w:szCs w:val="26"/>
          <w:rtl/>
        </w:rPr>
        <w:t xml:space="preserve"> (اليونسكو، 1995؛ التريكي، 2009، ص. 89). وندلل على هذا الرأي بالأدلة الفلسفية والواقعية الآتية:</w:t>
      </w:r>
    </w:p>
    <w:p>
      <w:pPr>
        <w:keepNext/>
        <w:pageBreakBefore w:val="0"/>
        <w:spacing w:before="180" w:after="80" w:line="300" w:lineRule="auto"/>
        <w:jc w:val="right"/>
        <w:bidi w:val="1"/>
      </w:pPr>
      <w:r>
        <w:rPr>
          <w:rFonts w:ascii="Arial" w:hAnsi="Arial" w:cs="Simplified Arabic"/>
          <w:b/>
          <w:i w:val="0"/>
          <w:color w:val="243B53"/>
          <w:sz w:val="27"/>
          <w:szCs w:val="27"/>
          <w:bCs/>
          <w:rtl/>
        </w:rPr>
        <w:t>5.2 الأدلة الفلسفية والسياسية من واقع الصراعات المذهبية والأزمات الدولية المعاصرة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1. </w:t>
      </w:r>
      <w:r>
        <w:rPr>
          <w:rFonts w:ascii="Arial" w:hAnsi="Arial" w:cs="Simplified Arabic"/>
          <w:b/>
          <w:i w:val="0"/>
          <w:color w:val="1F2933"/>
          <w:sz w:val="26"/>
          <w:szCs w:val="26"/>
          <w:bCs/>
          <w:rtl/>
        </w:rPr>
        <w:t>دليل السلم الأهلي في المجتمعات التعددية:</w:t>
      </w:r>
      <w:r>
        <w:rPr>
          <w:rFonts w:ascii="Arial" w:hAnsi="Arial" w:cs="Simplified Arabic"/>
          <w:b w:val="0"/>
          <w:i w:val="0"/>
          <w:color w:val="1F2933"/>
          <w:sz w:val="26"/>
          <w:szCs w:val="26"/>
          <w:rtl/>
        </w:rPr>
        <w:t xml:space="preserve"> تؤكد مآسي النزاعات الطائفية والهوياتية التي عانتها مجتمعات عديدة في منطقتنا العربية وفي بقاع شتى من العالم صدق تشخيص جون لوك ودقته؛ فكلما زُجّ بالمعتقد الديني في الصراع على السلطة، أو احتكرت فئةٌ القرار العام وأقصت غيرها، تحول التنوع الطبيعي إلى احتقانٍ واحتراب داخلي يستنزف الوطن، وكلما ترسخت دولة المواطنة المحايدة والقانون المتساوي الذي يصون حرية الضمير تعزز ما يسميه الفيلسوف المعاصر فتحي التريكي «العيش معاً في حدود الكرامة» ضمن انسجامٍ متفق عليه يحفظ الخصوصيات ولا يفتت الوحدة الوطنية (لوك، 1997، ص. 62؛ التريكي، 2009، ص. 89).</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2. </w:t>
      </w:r>
      <w:r>
        <w:rPr>
          <w:rFonts w:ascii="Arial" w:hAnsi="Arial" w:cs="Simplified Arabic"/>
          <w:b/>
          <w:i w:val="0"/>
          <w:color w:val="1F2933"/>
          <w:sz w:val="26"/>
          <w:szCs w:val="26"/>
          <w:bCs/>
          <w:rtl/>
        </w:rPr>
        <w:t>دليل التبادلية وحماية التسامح بسياج القانون:</w:t>
      </w:r>
      <w:r>
        <w:rPr>
          <w:rFonts w:ascii="Arial" w:hAnsi="Arial" w:cs="Simplified Arabic"/>
          <w:b w:val="0"/>
          <w:i w:val="0"/>
          <w:color w:val="1F2933"/>
          <w:sz w:val="26"/>
          <w:szCs w:val="26"/>
          <w:rtl/>
        </w:rPr>
        <w:t xml:space="preserve"> أثبت الفيلسوف المعاصر كارل بوبر (Karl Popper) في معالجته لإشكالية التسامح أن التسامح الساذج المجرد من الحماية القانونية سرعان ما يبتلعه المتعصبون الذين يرفضون الحوار العقلاني ويحتكمون إلى العنف لإسكات مخالفيهم؛ ولذلك لا يستقيم التسامح ولا يدوم إلا على قاعدة </w:t>
      </w:r>
      <w:r>
        <w:rPr>
          <w:rFonts w:ascii="Arial" w:hAnsi="Arial" w:cs="Simplified Arabic"/>
          <w:b/>
          <w:i w:val="0"/>
          <w:color w:val="1F2933"/>
          <w:sz w:val="26"/>
          <w:szCs w:val="26"/>
          <w:bCs/>
          <w:rtl/>
        </w:rPr>
        <w:t>الاعتراف المتبادل وسيادة القانون العادل</w:t>
      </w:r>
      <w:r>
        <w:rPr>
          <w:rFonts w:ascii="Arial" w:hAnsi="Arial" w:cs="Simplified Arabic"/>
          <w:b w:val="0"/>
          <w:i w:val="0"/>
          <w:color w:val="1F2933"/>
          <w:sz w:val="26"/>
          <w:szCs w:val="26"/>
          <w:rtl/>
        </w:rPr>
        <w:t xml:space="preserve"> الذي يحمي الفضاء السلمي من دعاة الإلغاء والقهر (الخليل وآخرون، 1992، ص. 96). وهذا البرهان الفلسفي يثبت عملياً أن تسامح لوك لا يستطيع البقاء بلا دولة الحق الكانطية.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3. </w:t>
      </w:r>
      <w:r>
        <w:rPr>
          <w:rFonts w:ascii="Arial" w:hAnsi="Arial" w:cs="Simplified Arabic"/>
          <w:b/>
          <w:i w:val="0"/>
          <w:color w:val="1F2933"/>
          <w:sz w:val="26"/>
          <w:szCs w:val="26"/>
          <w:bCs/>
          <w:rtl/>
        </w:rPr>
        <w:t>دليل العلاقات الدولية المعاصرة وعجز الهُدَن الهشة:</w:t>
      </w:r>
      <w:r>
        <w:rPr>
          <w:rFonts w:ascii="Arial" w:hAnsi="Arial" w:cs="Simplified Arabic"/>
          <w:b w:val="0"/>
          <w:i w:val="0"/>
          <w:color w:val="1F2933"/>
          <w:sz w:val="26"/>
          <w:szCs w:val="26"/>
          <w:rtl/>
        </w:rPr>
        <w:t xml:space="preserve"> تثبت الحروب الإقليمية والدولية المستعرة في عالم اليوم، وتضخم ميزانيات التسلح والديون السيادية المرتبطة بالنزاعات، والتدخلات القسرية في سيادة الدول، ومحن ملايين اللاجئين الباحثين عن الأمان، أن اكتفاء القوى الكبرى بـ«هُدَنٍ ظرفية» مبطنة بحسابات المصالح مع تغييب العدالة الدولية يعيد إنتاج الحروب مرةً بعد أخرى كما أنذر كانط بحصافة بالغة (كانط، 1952، ص. 15، ص. 60). وقد تبنّت منظمة اليونسكو هذا المنظور المتكامل في «إعلان المبادئ بشأن التسامح» حين شددت على أن التسامح ليس تساهلاً ولا لامبالاة إزاء الظلم، بل هو إقرارٌ بحقوق الإنسان العالمية يستلزم تشريعاتٍ عادلة ومؤسسات نزيهة وتربية مستمرة لبناء السلام (اليونسكو، 1995).</w:t>
      </w:r>
    </w:p>
    <w:p>
      <w:pPr>
        <w:keepNext/>
        <w:pageBreakBefore w:val="0"/>
        <w:spacing w:before="180" w:after="80" w:line="300" w:lineRule="auto"/>
        <w:jc w:val="right"/>
        <w:bidi w:val="1"/>
      </w:pPr>
      <w:r>
        <w:rPr>
          <w:rFonts w:ascii="Arial" w:hAnsi="Arial" w:cs="Simplified Arabic"/>
          <w:b/>
          <w:i w:val="0"/>
          <w:color w:val="243B53"/>
          <w:sz w:val="27"/>
          <w:szCs w:val="27"/>
          <w:bCs/>
          <w:rtl/>
        </w:rPr>
        <w:t>5.3 الأدلة الميدانية والمؤسسية: من العمل المصرفي والتجربة الكشفية إلى الفضاء الرقمي</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لأن الأفكار الفلسفية الكبرى تُختبر صحتها في تفاصيل الحياة اليومية والمؤسسية (التريكي، 2009، ص. 55)، يمكننا تعزيز موقفنا بثلاثة شواهد واقعية نعايشها ميدانياً:</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من بيئة العمل المصرفي وإدارة الضغوط المؤسسية:</w:t>
      </w:r>
      <w:r>
        <w:rPr>
          <w:rFonts w:ascii="Arial" w:hAnsi="Arial" w:cs="Simplified Arabic"/>
          <w:b w:val="0"/>
          <w:i w:val="0"/>
          <w:color w:val="1F2933"/>
          <w:sz w:val="26"/>
          <w:szCs w:val="26"/>
          <w:rtl/>
        </w:rPr>
        <w:t xml:space="preserve"> ألمس يومياً من موقع عملي في تقانة المعلومات داخل أحد المصارف كيف تتفاعل شرائح واسعة من الموظفين والمودعين والمتعاملين على اختلاف انتماءاتهم الدينية والثقافية والاجتماعية تحت ضغط عمل مرتفع وحساسية مالية بالغة. فحين يطرأ ضغط تشغيلي أو توقف تقني مفاجئ، تؤدي مهارات التواصل الإنساني الفعال، والإصغاء، وسعة الصدر (التسامح العملي) دوراً حاسماً في تهدئة النفوس ومنع تفاقم التوتر؛ غير أن استقرار المؤسسة المصرفية وثقة الجمهور بها لا يعتمدان أبداً على اللطف الشخصي وحده، بل يستندان أولاً وأخيراً إلى </w:t>
      </w:r>
      <w:r>
        <w:rPr>
          <w:rFonts w:ascii="Arial" w:hAnsi="Arial" w:cs="Simplified Arabic"/>
          <w:b/>
          <w:i w:val="0"/>
          <w:color w:val="1F2933"/>
          <w:sz w:val="26"/>
          <w:szCs w:val="26"/>
          <w:bCs/>
          <w:rtl/>
        </w:rPr>
        <w:t>حوكمة مؤسسية دقيقة، ولوائح تنظيمية واضحة، ومسارات تقنية موثّقة تطبق القانون المصرفي بعدالة وحياد تام على كل عميل</w:t>
      </w:r>
      <w:r>
        <w:rPr>
          <w:rFonts w:ascii="Arial" w:hAnsi="Arial" w:cs="Simplified Arabic"/>
          <w:b w:val="0"/>
          <w:i w:val="0"/>
          <w:color w:val="1F2933"/>
          <w:sz w:val="26"/>
          <w:szCs w:val="26"/>
          <w:rtl/>
        </w:rPr>
        <w:t>. فلو غابت القواعد الملزِمة لضاعت الحقوق مهما خلصت النوايا، ولو غابت روح الاحترام والتسامح لتحول تطبيق اللوائح تحت الضغط إلى صدامٍ يومي خانق؛ وهذه الصورة المصغرة تلخص بدقة معادلة بناء السلام في المجتمع والدولة.</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من التجربة التربوية في الحركة الكشفية:</w:t>
      </w:r>
      <w:r>
        <w:rPr>
          <w:rFonts w:ascii="Arial" w:hAnsi="Arial" w:cs="Simplified Arabic"/>
          <w:b w:val="0"/>
          <w:i w:val="0"/>
          <w:color w:val="1F2933"/>
          <w:sz w:val="26"/>
          <w:szCs w:val="26"/>
          <w:rtl/>
        </w:rPr>
        <w:t xml:space="preserve"> في الفوج الكشفي الذي أنتمي إليه — وعلى غرار ما يختبره زميلي جان في فوجه الكشفي المستقل — نعيش تجربة ميدانية حية لصناعة السلام من القاعدة؛ ففي المخيمات الكشفية يتقاسم الشباب المهام الشاقة والحياة المشتركة رغم تباين أمزجتهم وخلفياتهم الفكرية، وينجح هذا التعايش لأن روح الأخوة وقبول الآخر تقترن دائماً بـ«الوعد والقانون الكشفي» وبآليات تنظيمية عادلة كمجلس الشرف وتوزيع الواجبات والمساءلة التربوية. إنها شهادة عملية على أن السلام يُغرس بالتربية المبكرة ويُصان بالنظام المشترك معاً.</w:t>
      </w:r>
    </w:p>
    <w:p>
      <w:pPr>
        <w:keepNext w:val="0"/>
        <w:pageBreakBefore w:val="0"/>
        <w:spacing w:before="40" w:after="80" w:line="324" w:lineRule="auto"/>
        <w:ind w:right="283"/>
        <w:jc w:val="both"/>
        <w:bidi w:val="1"/>
      </w:pPr>
      <w:r>
        <w:rPr>
          <w:rFonts w:ascii="Arial" w:hAnsi="Arial" w:cs="Simplified Arabic"/>
          <w:b/>
          <w:i w:val="0"/>
          <w:color w:val="1B365D"/>
          <w:sz w:val="26"/>
          <w:szCs w:val="26"/>
          <w:bCs/>
          <w:rtl/>
        </w:rPr>
        <w:t xml:space="preserve">•  </w:t>
      </w:r>
      <w:r>
        <w:rPr>
          <w:rFonts w:ascii="Arial" w:hAnsi="Arial" w:cs="Simplified Arabic"/>
          <w:b/>
          <w:i w:val="0"/>
          <w:color w:val="1F2933"/>
          <w:sz w:val="26"/>
          <w:szCs w:val="26"/>
          <w:bCs/>
          <w:rtl/>
        </w:rPr>
        <w:t>من واقع الفضاء الرقمي المعاصر:</w:t>
      </w:r>
      <w:r>
        <w:rPr>
          <w:rFonts w:ascii="Arial" w:hAnsi="Arial" w:cs="Simplified Arabic"/>
          <w:b w:val="0"/>
          <w:i w:val="0"/>
          <w:color w:val="1F2933"/>
          <w:sz w:val="26"/>
          <w:szCs w:val="26"/>
          <w:rtl/>
        </w:rPr>
        <w:t xml:space="preserve"> بصفتنا دارسين وممارسين في حقل تقانات المعلومات، نرصد يومياً كيف تتحول منصات التواصل الرقمي من فضاءٍ للتلاقي الإنساني إلى ساحات استقطاب حاد وتنمر وكراهية عابرة للحدود؛ وما ذلك إلا لافتقار كثير من التفاعلات الرقمية إلى جناحَي المعادلة اللوكية-الكانطية: احترام حرية الضمير وحق الاختلاف من جهة (لوك، 1997، ص. 23)، والالتزام بالاستخدام العمومي الراشد والمسؤول للعقل ضمن أطر قانونية تحمي الكرامة الإنسانية من التشهير والتحريض من جهة أخرى (كانط، 1997).</w:t>
      </w:r>
    </w:p>
    <w:p>
      <w:pPr>
        <w:keepNext/>
        <w:pageBreakBefore w:val="0"/>
        <w:spacing w:before="240" w:after="120" w:line="300" w:lineRule="auto"/>
        <w:jc w:val="right"/>
        <w:bidi w:val="1"/>
        <w:pBdr>
          <w:bottom w:val="single" w:sz="8" w:space="3" w:color="1B365D"/>
        </w:pBdr>
      </w:pPr>
      <w:r>
        <w:rPr>
          <w:rFonts w:ascii="Arial" w:hAnsi="Arial" w:cs="Simplified Arabic"/>
          <w:b/>
          <w:i w:val="0"/>
          <w:color w:val="1B365D"/>
          <w:sz w:val="30"/>
          <w:szCs w:val="30"/>
          <w:bCs/>
          <w:rtl/>
        </w:rPr>
        <w:t>سادساً: الخاتمة وخلاصة البحث والتوصيات العملية</w:t>
      </w:r>
    </w:p>
    <w:p>
      <w:pPr>
        <w:keepNext w:val="0"/>
        <w:pageBreakBefore w:val="0"/>
        <w:spacing w:before="40" w:after="120" w:line="331" w:lineRule="auto"/>
        <w:ind w:firstLine="340"/>
        <w:jc w:val="both"/>
        <w:bidi w:val="1"/>
      </w:pPr>
      <w:r>
        <w:rPr>
          <w:rFonts w:ascii="Arial" w:hAnsi="Arial" w:cs="Simplified Arabic"/>
          <w:b w:val="0"/>
          <w:i w:val="0"/>
          <w:color w:val="1F2933"/>
          <w:sz w:val="26"/>
          <w:szCs w:val="26"/>
          <w:rtl/>
        </w:rPr>
        <w:t>نخلص في ختام هذه الحلقة البحثية المشتركة — التي تكاملت فيها قراءة البنية المفاهيمية والمقارنة النظمية في القسم الأول مع التحليل الحقوقي والمؤسسي والتطبيق الواقعي في القسم الثاني — إلى إجابةٍ علمية صريحة ومؤصَّلة عن سؤال البحث المركزي ومشكلته الأساسية:</w:t>
      </w:r>
    </w:p>
    <w:p>
      <w:pPr>
        <w:keepNext w:val="0"/>
        <w:pageBreakBefore w:val="0"/>
        <w:spacing w:before="40" w:after="120" w:line="331" w:lineRule="auto"/>
        <w:ind w:firstLine="340"/>
        <w:jc w:val="both"/>
        <w:bidi w:val="1"/>
      </w:pPr>
      <w:r>
        <w:rPr>
          <w:rFonts w:ascii="Arial" w:hAnsi="Arial" w:cs="Simplified Arabic"/>
          <w:b/>
          <w:i w:val="0"/>
          <w:color w:val="1F2933"/>
          <w:sz w:val="26"/>
          <w:szCs w:val="26"/>
          <w:bCs/>
          <w:rtl/>
        </w:rPr>
        <w:t>إن «التسامح» و«السلام» ليسا مرادفَين لشيءٍ واحد</w:t>
      </w:r>
      <w:r>
        <w:rPr>
          <w:rFonts w:ascii="Arial" w:hAnsi="Arial" w:cs="Simplified Arabic"/>
          <w:b w:val="0"/>
          <w:i w:val="0"/>
          <w:color w:val="1F2933"/>
          <w:sz w:val="26"/>
          <w:szCs w:val="26"/>
          <w:rtl/>
        </w:rPr>
        <w:t xml:space="preserve">، كما أن فكرة التسامح عند جون لوك ليست هي عينها فكرة السلام الدائم عند إيمانويل كانط؛ فالتسامح عند لوك مبدأٌ أخلاقي وسياسي وقانوني يتجه إلى </w:t>
      </w:r>
      <w:r>
        <w:rPr>
          <w:rFonts w:ascii="Arial" w:hAnsi="Arial" w:cs="Simplified Arabic"/>
          <w:b/>
          <w:i w:val="0"/>
          <w:color w:val="1F2933"/>
          <w:sz w:val="26"/>
          <w:szCs w:val="26"/>
          <w:bCs/>
          <w:rtl/>
        </w:rPr>
        <w:t>داخل الدولة الواحدة</w:t>
      </w:r>
      <w:r>
        <w:rPr>
          <w:rFonts w:ascii="Arial" w:hAnsi="Arial" w:cs="Simplified Arabic"/>
          <w:b w:val="0"/>
          <w:i w:val="0"/>
          <w:color w:val="1F2933"/>
          <w:sz w:val="26"/>
          <w:szCs w:val="26"/>
          <w:rtl/>
        </w:rPr>
        <w:t xml:space="preserve"> لرفع الإكراه عن الضمير والفصل بين السلطة المدنية والجماعة الدينية بغية صون السلم الأهلي، في حين أن السلام الدائم عند كانط مشروعٌ حقوقي ومؤسسي شامل يتدرج من </w:t>
      </w:r>
      <w:r>
        <w:rPr>
          <w:rFonts w:ascii="Arial" w:hAnsi="Arial" w:cs="Simplified Arabic"/>
          <w:b/>
          <w:i w:val="0"/>
          <w:color w:val="1F2933"/>
          <w:sz w:val="26"/>
          <w:szCs w:val="26"/>
          <w:bCs/>
          <w:rtl/>
        </w:rPr>
        <w:t>الدستور الجمهوري الداخلي إلى الاتحاد الفيدرالي بين الدول الحرة وصولاً إلى حق الضيافة الكوني</w:t>
      </w:r>
      <w:r>
        <w:rPr>
          <w:rFonts w:ascii="Arial" w:hAnsi="Arial" w:cs="Simplified Arabic"/>
          <w:b w:val="0"/>
          <w:i w:val="0"/>
          <w:color w:val="1F2933"/>
          <w:sz w:val="26"/>
          <w:szCs w:val="26"/>
          <w:rtl/>
        </w:rPr>
        <w:t xml:space="preserve"> بغية استئصال الحرب ذاتها من تاريخ البشرية. غير أن العلاقة بين المشروعين هي </w:t>
      </w:r>
      <w:r>
        <w:rPr>
          <w:rFonts w:ascii="Arial" w:hAnsi="Arial" w:cs="Simplified Arabic"/>
          <w:b/>
          <w:i w:val="0"/>
          <w:color w:val="1F2933"/>
          <w:sz w:val="26"/>
          <w:szCs w:val="26"/>
          <w:bCs/>
          <w:rtl/>
        </w:rPr>
        <w:t>علاقة تأسيسٍ وتكامل بنيوي لا ينفصم</w:t>
      </w:r>
      <w:r>
        <w:rPr>
          <w:rFonts w:ascii="Arial" w:hAnsi="Arial" w:cs="Simplified Arabic"/>
          <w:b w:val="0"/>
          <w:i w:val="0"/>
          <w:color w:val="1F2933"/>
          <w:sz w:val="26"/>
          <w:szCs w:val="26"/>
          <w:rtl/>
        </w:rPr>
        <w:t>: فالتسامح وحده شرطٌ ضروري لكنه لا يكفي لبناء السلام ما لم يتحول إلى دساتير وقوانين ومؤسسات عادلة تحميه وتمنع العدوان، كما أن المؤسسات القانونية تظل قوالب جامدة هشة ما لم تغذِّها ثقافة مجتمعية وتربوية متسامحة تحترم الإنسان المختلف بوصفه غايةً في ذاته.</w:t>
      </w:r>
    </w:p>
    <w:p>
      <w:pPr>
        <w:keepNext/>
        <w:pageBreakBefore w:val="0"/>
        <w:spacing w:before="180" w:after="80" w:line="300" w:lineRule="auto"/>
        <w:jc w:val="right"/>
        <w:bidi w:val="1"/>
      </w:pPr>
      <w:r>
        <w:rPr>
          <w:rFonts w:ascii="Arial" w:hAnsi="Arial" w:cs="Simplified Arabic"/>
          <w:b/>
          <w:i w:val="0"/>
          <w:color w:val="243B53"/>
          <w:sz w:val="27"/>
          <w:szCs w:val="27"/>
          <w:bCs/>
          <w:rtl/>
        </w:rPr>
        <w:t>أهم نتائج البحث</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1. </w:t>
      </w:r>
      <w:r>
        <w:rPr>
          <w:rFonts w:ascii="Arial" w:hAnsi="Arial" w:cs="Simplified Arabic"/>
          <w:b w:val="0"/>
          <w:i w:val="0"/>
          <w:color w:val="1F2933"/>
          <w:sz w:val="26"/>
          <w:szCs w:val="26"/>
          <w:rtl/>
        </w:rPr>
        <w:t>بيّن لوك أن الإكراه في العقيدة يناقض طبيعة العقل ويولّد النفاق، وأن الاضطهاد — لا التعدد المذهبي — هو المسبب الحقيقي للفتن الأهلية داخل الدولة.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2. </w:t>
      </w:r>
      <w:r>
        <w:rPr>
          <w:rFonts w:ascii="Arial" w:hAnsi="Arial" w:cs="Simplified Arabic"/>
          <w:b w:val="0"/>
          <w:i w:val="0"/>
          <w:color w:val="1F2933"/>
          <w:sz w:val="26"/>
          <w:szCs w:val="26"/>
          <w:rtl/>
        </w:rPr>
        <w:t>أسّس فصل لوك بين وظيفة الدولة المدنية (حماية الحقوق المدنية بالقانون) ووظيفة الجماعة الدينية (الإرشاد الروحي الطوعي) ركيزة المواطنة الحديثة.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3. </w:t>
      </w:r>
      <w:r>
        <w:rPr>
          <w:rFonts w:ascii="Arial" w:hAnsi="Arial" w:cs="Simplified Arabic"/>
          <w:b w:val="0"/>
          <w:i w:val="0"/>
          <w:color w:val="1F2933"/>
          <w:sz w:val="26"/>
          <w:szCs w:val="26"/>
          <w:rtl/>
        </w:rPr>
        <w:t>ميّز كانط جذرياً بين الهدنة المؤقتة والسلام الدائم، محولاً السلام من أمنيةٍ أخلاقية إلى مشروع قانوني ومؤسسي ملزِم.</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4. </w:t>
      </w:r>
      <w:r>
        <w:rPr>
          <w:rFonts w:ascii="Arial" w:hAnsi="Arial" w:cs="Simplified Arabic"/>
          <w:b w:val="0"/>
          <w:i w:val="0"/>
          <w:color w:val="1F2933"/>
          <w:sz w:val="26"/>
          <w:szCs w:val="26"/>
          <w:rtl/>
        </w:rPr>
        <w:t>ارتقى كانط بقبول المختلف من مجرد «تسامحٍ مترفع» إلى حقٍّ دستوري وكوني نابع من كرامة الإنسان كغاية في ذاته.</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5. </w:t>
      </w:r>
      <w:r>
        <w:rPr>
          <w:rFonts w:ascii="Arial" w:hAnsi="Arial" w:cs="Simplified Arabic"/>
          <w:b w:val="0"/>
          <w:i w:val="0"/>
          <w:color w:val="1F2933"/>
          <w:sz w:val="26"/>
          <w:szCs w:val="26"/>
          <w:rtl/>
        </w:rPr>
        <w:t>تتكامل رؤية لوك الداخلية مع رؤية كانط الدستورية والدولية عند محور سيادة القانون ونبذ القوة لحسم الخلافات الإنسانية.</w:t>
      </w:r>
    </w:p>
    <w:p>
      <w:pPr>
        <w:keepNext/>
        <w:pageBreakBefore w:val="0"/>
        <w:spacing w:before="180" w:after="80" w:line="300" w:lineRule="auto"/>
        <w:jc w:val="right"/>
        <w:bidi w:val="1"/>
      </w:pPr>
      <w:r>
        <w:rPr>
          <w:rFonts w:ascii="Arial" w:hAnsi="Arial" w:cs="Simplified Arabic"/>
          <w:b/>
          <w:i w:val="0"/>
          <w:color w:val="243B53"/>
          <w:sz w:val="27"/>
          <w:szCs w:val="27"/>
          <w:bCs/>
          <w:rtl/>
        </w:rPr>
        <w:t>التوصيات العملية</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1. </w:t>
      </w:r>
      <w:r>
        <w:rPr>
          <w:rFonts w:ascii="Arial" w:hAnsi="Arial" w:cs="Simplified Arabic"/>
          <w:b/>
          <w:i w:val="0"/>
          <w:color w:val="1F2933"/>
          <w:sz w:val="26"/>
          <w:szCs w:val="26"/>
          <w:bCs/>
          <w:rtl/>
        </w:rPr>
        <w:t>تشريعياً ووطنياً:</w:t>
      </w:r>
      <w:r>
        <w:rPr>
          <w:rFonts w:ascii="Arial" w:hAnsi="Arial" w:cs="Simplified Arabic"/>
          <w:b w:val="0"/>
          <w:i w:val="0"/>
          <w:color w:val="1F2933"/>
          <w:sz w:val="26"/>
          <w:szCs w:val="26"/>
          <w:rtl/>
        </w:rPr>
        <w:t xml:space="preserve"> ترسيخ دولة المواطنة المتساوية وسيادة القانون المدني المحايد، وتجريم كل أشكال التحريض على العنف والإقصاء الطائفي أو الفكري.</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2. </w:t>
      </w:r>
      <w:r>
        <w:rPr>
          <w:rFonts w:ascii="Arial" w:hAnsi="Arial" w:cs="Simplified Arabic"/>
          <w:b/>
          <w:i w:val="0"/>
          <w:color w:val="1F2933"/>
          <w:sz w:val="26"/>
          <w:szCs w:val="26"/>
          <w:bCs/>
          <w:rtl/>
        </w:rPr>
        <w:t>تربوياً ومجتمعياً:</w:t>
      </w:r>
      <w:r>
        <w:rPr>
          <w:rFonts w:ascii="Arial" w:hAnsi="Arial" w:cs="Simplified Arabic"/>
          <w:b w:val="0"/>
          <w:i w:val="0"/>
          <w:color w:val="1F2933"/>
          <w:sz w:val="26"/>
          <w:szCs w:val="26"/>
          <w:rtl/>
        </w:rPr>
        <w:t xml:space="preserve"> تعزيز مناهج التفكير النقدي وثقافة الحوار، ودعم الأنشطة الشبابية التربوية كالحركة الكشفية والمبادرات الأهلية التي تدرّب الناشئة عملياً على العيش المشترك تحت سقف النظام.</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3. </w:t>
      </w:r>
      <w:r>
        <w:rPr>
          <w:rFonts w:ascii="Arial" w:hAnsi="Arial" w:cs="Simplified Arabic"/>
          <w:b/>
          <w:i w:val="0"/>
          <w:color w:val="1F2933"/>
          <w:sz w:val="26"/>
          <w:szCs w:val="26"/>
          <w:bCs/>
          <w:rtl/>
        </w:rPr>
        <w:t>مؤسسياً ومهنياً:</w:t>
      </w:r>
      <w:r>
        <w:rPr>
          <w:rFonts w:ascii="Arial" w:hAnsi="Arial" w:cs="Simplified Arabic"/>
          <w:b w:val="0"/>
          <w:i w:val="0"/>
          <w:color w:val="1F2933"/>
          <w:sz w:val="26"/>
          <w:szCs w:val="26"/>
          <w:rtl/>
        </w:rPr>
        <w:t xml:space="preserve"> تكريس الحوكمة الشفافة وتكافؤ الفرص في المؤسسات العامة والمصرفية والخدمية بما يصون الثقة المجتمعية ويعزز التواصل الإيجابي تحت الضغط.</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4. </w:t>
      </w:r>
      <w:r>
        <w:rPr>
          <w:rFonts w:ascii="Arial" w:hAnsi="Arial" w:cs="Simplified Arabic"/>
          <w:b/>
          <w:i w:val="0"/>
          <w:color w:val="1F2933"/>
          <w:sz w:val="26"/>
          <w:szCs w:val="26"/>
          <w:bCs/>
          <w:rtl/>
        </w:rPr>
        <w:t>رقمياً وتقنياً:</w:t>
      </w:r>
      <w:r>
        <w:rPr>
          <w:rFonts w:ascii="Arial" w:hAnsi="Arial" w:cs="Simplified Arabic"/>
          <w:b w:val="0"/>
          <w:i w:val="0"/>
          <w:color w:val="1F2933"/>
          <w:sz w:val="26"/>
          <w:szCs w:val="26"/>
          <w:rtl/>
        </w:rPr>
        <w:t xml:space="preserve"> إرساء ضوابط أخلاقية وقانونية للفضاء الرقمي تحمي حرية التعبير المسؤولة وتحدّ من خطابات الكراهية والاستقطاب الإلكتروني.</w:t>
      </w:r>
    </w:p>
    <w:p>
      <w:pPr>
        <w:keepNext w:val="0"/>
        <w:pageBreakBefore w:val="0"/>
        <w:spacing w:before="40" w:after="80" w:line="324" w:lineRule="auto"/>
        <w:ind w:right="283"/>
        <w:jc w:val="both"/>
        <w:bidi w:val="1"/>
      </w:pPr>
      <w:r>
        <w:rPr>
          <w:rFonts w:ascii="Arial" w:hAnsi="Arial" w:cs="Simplified Arabic"/>
          <w:b/>
          <w:i w:val="0"/>
          <w:color w:val="1B365D"/>
          <w:sz w:val="26"/>
          <w:szCs w:val="26"/>
          <w:bCs/>
        </w:rPr>
        <w:t xml:space="preserve">5. </w:t>
      </w:r>
      <w:r>
        <w:rPr>
          <w:rFonts w:ascii="Arial" w:hAnsi="Arial" w:cs="Simplified Arabic"/>
          <w:b/>
          <w:i w:val="0"/>
          <w:color w:val="1F2933"/>
          <w:sz w:val="26"/>
          <w:szCs w:val="26"/>
          <w:bCs/>
          <w:rtl/>
        </w:rPr>
        <w:t>دولياً وإنسانياً:</w:t>
      </w:r>
      <w:r>
        <w:rPr>
          <w:rFonts w:ascii="Arial" w:hAnsi="Arial" w:cs="Simplified Arabic"/>
          <w:b w:val="0"/>
          <w:i w:val="0"/>
          <w:color w:val="1F2933"/>
          <w:sz w:val="26"/>
          <w:szCs w:val="26"/>
          <w:rtl/>
        </w:rPr>
        <w:t xml:space="preserve"> تفعيل قواعد القانون الدولي لمنع الحروب لا الاكتفاء بإدارة الهُدَن الهشة، وصون كرامة المدنيين والمهجّرين وفق مبدأ الضيافة الكونية وحقوق الإنسان.</w:t>
      </w:r>
    </w:p>
    <w:p>
      <w:pPr>
        <w:keepNext/>
        <w:pageBreakBefore/>
        <w:spacing w:before="80" w:after="120" w:line="300" w:lineRule="auto"/>
        <w:jc w:val="right"/>
        <w:bidi w:val="1"/>
        <w:pBdr>
          <w:bottom w:val="single" w:sz="8" w:space="3" w:color="1B365D"/>
        </w:pBdr>
      </w:pPr>
      <w:r>
        <w:rPr>
          <w:rFonts w:ascii="Arial" w:hAnsi="Arial" w:cs="Simplified Arabic"/>
          <w:b/>
          <w:i w:val="0"/>
          <w:color w:val="1B365D"/>
          <w:sz w:val="30"/>
          <w:szCs w:val="30"/>
          <w:bCs/>
          <w:rtl/>
        </w:rPr>
        <w:t>قائمة المصادر والمراجع</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1. </w:t>
      </w:r>
      <w:r>
        <w:rPr>
          <w:rFonts w:ascii="Arial" w:hAnsi="Arial" w:cs="Simplified Arabic"/>
          <w:b w:val="0"/>
          <w:i w:val="0"/>
          <w:color w:val="1F2933"/>
          <w:sz w:val="25"/>
          <w:szCs w:val="25"/>
          <w:rtl/>
        </w:rPr>
        <w:t xml:space="preserve">بدوي، عبد الرحمن. (1979). </w:t>
      </w:r>
      <w:r>
        <w:rPr>
          <w:rFonts w:ascii="Arial" w:hAnsi="Arial" w:cs="Simplified Arabic"/>
          <w:b w:val="0"/>
          <w:i/>
          <w:color w:val="1F2933"/>
          <w:sz w:val="25"/>
          <w:szCs w:val="25"/>
          <w:iCs/>
          <w:rtl/>
        </w:rPr>
        <w:t>فلسفة القانون والسياسة عند كنت</w:t>
      </w:r>
      <w:r>
        <w:rPr>
          <w:rFonts w:ascii="Arial" w:hAnsi="Arial" w:cs="Simplified Arabic"/>
          <w:b w:val="0"/>
          <w:i w:val="0"/>
          <w:color w:val="1F2933"/>
          <w:sz w:val="25"/>
          <w:szCs w:val="25"/>
          <w:rtl/>
        </w:rPr>
        <w:t>. الكويت: وكالة المطبوعات.</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2. </w:t>
      </w:r>
      <w:r>
        <w:rPr>
          <w:rFonts w:ascii="Arial" w:hAnsi="Arial" w:cs="Simplified Arabic"/>
          <w:b w:val="0"/>
          <w:i w:val="0"/>
          <w:color w:val="1F2933"/>
          <w:sz w:val="25"/>
          <w:szCs w:val="25"/>
          <w:rtl/>
        </w:rPr>
        <w:t xml:space="preserve">بدوي، عبد الرحمن. (1988). مقدمة المترجم وتعليقاته. في جون لوك، </w:t>
      </w:r>
      <w:r>
        <w:rPr>
          <w:rFonts w:ascii="Arial" w:hAnsi="Arial" w:cs="Simplified Arabic"/>
          <w:b w:val="0"/>
          <w:i/>
          <w:color w:val="1F2933"/>
          <w:sz w:val="25"/>
          <w:szCs w:val="25"/>
          <w:iCs/>
          <w:rtl/>
        </w:rPr>
        <w:t>رسالة في التسامح</w:t>
      </w:r>
      <w:r>
        <w:rPr>
          <w:rFonts w:ascii="Arial" w:hAnsi="Arial" w:cs="Simplified Arabic"/>
          <w:b w:val="0"/>
          <w:i w:val="0"/>
          <w:color w:val="1F2933"/>
          <w:sz w:val="25"/>
          <w:szCs w:val="25"/>
          <w:rtl/>
        </w:rPr>
        <w:t xml:space="preserve"> (ترجمة وتحقيق عبد الرحمن بدوي). بيروت: دار الغرب الإسلامي.</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3. </w:t>
      </w:r>
      <w:r>
        <w:rPr>
          <w:rFonts w:ascii="Arial" w:hAnsi="Arial" w:cs="Simplified Arabic"/>
          <w:b w:val="0"/>
          <w:i w:val="0"/>
          <w:color w:val="1F2933"/>
          <w:sz w:val="25"/>
          <w:szCs w:val="25"/>
          <w:rtl/>
        </w:rPr>
        <w:t xml:space="preserve">التريكي، فتحي. (2009). </w:t>
      </w:r>
      <w:r>
        <w:rPr>
          <w:rFonts w:ascii="Arial" w:hAnsi="Arial" w:cs="Simplified Arabic"/>
          <w:b w:val="0"/>
          <w:i/>
          <w:color w:val="1F2933"/>
          <w:sz w:val="25"/>
          <w:szCs w:val="25"/>
          <w:iCs/>
          <w:rtl/>
        </w:rPr>
        <w:t>فلسفة الحياة اليومية</w:t>
      </w:r>
      <w:r>
        <w:rPr>
          <w:rFonts w:ascii="Arial" w:hAnsi="Arial" w:cs="Simplified Arabic"/>
          <w:b w:val="0"/>
          <w:i w:val="0"/>
          <w:color w:val="1F2933"/>
          <w:sz w:val="25"/>
          <w:szCs w:val="25"/>
          <w:rtl/>
        </w:rPr>
        <w:t xml:space="preserve"> (ط. 1). بيروت وتونس: الدار المتوسطية للنشر.</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4. </w:t>
      </w:r>
      <w:r>
        <w:rPr>
          <w:rFonts w:ascii="Arial" w:hAnsi="Arial" w:cs="Simplified Arabic"/>
          <w:b w:val="0"/>
          <w:i w:val="0"/>
          <w:color w:val="1F2933"/>
          <w:sz w:val="25"/>
          <w:szCs w:val="25"/>
          <w:rtl/>
        </w:rPr>
        <w:t xml:space="preserve">الخليل، سمير، وبالدوين، توماس، ونيكولسون، بيتر، وبوبر، كارل، وآيير، ألفريد. (1992). </w:t>
      </w:r>
      <w:r>
        <w:rPr>
          <w:rFonts w:ascii="Arial" w:hAnsi="Arial" w:cs="Simplified Arabic"/>
          <w:b w:val="0"/>
          <w:i/>
          <w:color w:val="1F2933"/>
          <w:sz w:val="25"/>
          <w:szCs w:val="25"/>
          <w:iCs/>
          <w:rtl/>
        </w:rPr>
        <w:t>التسامح بين شرق وغرب: دراسات في التعايش وقبول الآخر</w:t>
      </w:r>
      <w:r>
        <w:rPr>
          <w:rFonts w:ascii="Arial" w:hAnsi="Arial" w:cs="Simplified Arabic"/>
          <w:b w:val="0"/>
          <w:i w:val="0"/>
          <w:color w:val="1F2933"/>
          <w:sz w:val="25"/>
          <w:szCs w:val="25"/>
          <w:rtl/>
        </w:rPr>
        <w:t xml:space="preserve"> (ترجمة إبراهيم العريس، ط. 1). بيروت: دار الساقي.</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5. </w:t>
      </w:r>
      <w:r>
        <w:rPr>
          <w:rFonts w:ascii="Arial" w:hAnsi="Arial" w:cs="Simplified Arabic"/>
          <w:b w:val="0"/>
          <w:i w:val="0"/>
          <w:color w:val="1F2933"/>
          <w:sz w:val="25"/>
          <w:szCs w:val="25"/>
          <w:rtl/>
        </w:rPr>
        <w:t xml:space="preserve">كانط، إيمانويل. (1952). </w:t>
      </w:r>
      <w:r>
        <w:rPr>
          <w:rFonts w:ascii="Arial" w:hAnsi="Arial" w:cs="Simplified Arabic"/>
          <w:b w:val="0"/>
          <w:i/>
          <w:color w:val="1F2933"/>
          <w:sz w:val="25"/>
          <w:szCs w:val="25"/>
          <w:iCs/>
          <w:rtl/>
        </w:rPr>
        <w:t>مشروع للسلام الدائم</w:t>
      </w:r>
      <w:r>
        <w:rPr>
          <w:rFonts w:ascii="Arial" w:hAnsi="Arial" w:cs="Simplified Arabic"/>
          <w:b w:val="0"/>
          <w:i w:val="0"/>
          <w:color w:val="1F2933"/>
          <w:sz w:val="25"/>
          <w:szCs w:val="25"/>
          <w:rtl/>
        </w:rPr>
        <w:t xml:space="preserve"> (ترجمة عثمان أمين، ط. 1). القاهرة: مكتبة الأنجلو المصرية.</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6. </w:t>
      </w:r>
      <w:r>
        <w:rPr>
          <w:rFonts w:ascii="Arial" w:hAnsi="Arial" w:cs="Simplified Arabic"/>
          <w:b w:val="0"/>
          <w:i w:val="0"/>
          <w:color w:val="1F2933"/>
          <w:sz w:val="25"/>
          <w:szCs w:val="25"/>
          <w:rtl/>
        </w:rPr>
        <w:t xml:space="preserve">كانط، إيمانويل. (1965). </w:t>
      </w:r>
      <w:r>
        <w:rPr>
          <w:rFonts w:ascii="Arial" w:hAnsi="Arial" w:cs="Simplified Arabic"/>
          <w:b w:val="0"/>
          <w:i/>
          <w:color w:val="1F2933"/>
          <w:sz w:val="25"/>
          <w:szCs w:val="25"/>
          <w:iCs/>
          <w:rtl/>
        </w:rPr>
        <w:t>تأسيس ميتافيزيقا الأخلاق</w:t>
      </w:r>
      <w:r>
        <w:rPr>
          <w:rFonts w:ascii="Arial" w:hAnsi="Arial" w:cs="Simplified Arabic"/>
          <w:b w:val="0"/>
          <w:i w:val="0"/>
          <w:color w:val="1F2933"/>
          <w:sz w:val="25"/>
          <w:szCs w:val="25"/>
          <w:rtl/>
        </w:rPr>
        <w:t xml:space="preserve"> (ترجمة وتقديم عبد الغفار مكاوي؛ مراجعة عبد الرحمن بدوي). القاهرة: الدار القومية للطباعة والنشر.</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7. </w:t>
      </w:r>
      <w:r>
        <w:rPr>
          <w:rFonts w:ascii="Arial" w:hAnsi="Arial" w:cs="Simplified Arabic"/>
          <w:b w:val="0"/>
          <w:i w:val="0"/>
          <w:color w:val="1F2933"/>
          <w:sz w:val="25"/>
          <w:szCs w:val="25"/>
          <w:rtl/>
        </w:rPr>
        <w:t xml:space="preserve">كانط، إيمانويل. (1997). إجابة عن السؤال: ما هو التنوير؟ (ترجمة إسماعيل المصدق). </w:t>
      </w:r>
      <w:r>
        <w:rPr>
          <w:rFonts w:ascii="Arial" w:hAnsi="Arial" w:cs="Simplified Arabic"/>
          <w:b w:val="0"/>
          <w:i/>
          <w:color w:val="1F2933"/>
          <w:sz w:val="25"/>
          <w:szCs w:val="25"/>
          <w:iCs/>
          <w:rtl/>
        </w:rPr>
        <w:t>مجلة فكر ونقد</w:t>
      </w:r>
      <w:r>
        <w:rPr>
          <w:rFonts w:ascii="Arial" w:hAnsi="Arial" w:cs="Simplified Arabic"/>
          <w:b w:val="0"/>
          <w:i w:val="0"/>
          <w:color w:val="1F2933"/>
          <w:sz w:val="25"/>
          <w:szCs w:val="25"/>
          <w:rtl/>
        </w:rPr>
        <w:t>، (4).</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8. </w:t>
      </w:r>
      <w:r>
        <w:rPr>
          <w:rFonts w:ascii="Arial" w:hAnsi="Arial" w:cs="Simplified Arabic"/>
          <w:b w:val="0"/>
          <w:i w:val="0"/>
          <w:color w:val="1F2933"/>
          <w:sz w:val="25"/>
          <w:szCs w:val="25"/>
          <w:rtl/>
        </w:rPr>
        <w:t xml:space="preserve">كرم، يوسف. (1949). </w:t>
      </w:r>
      <w:r>
        <w:rPr>
          <w:rFonts w:ascii="Arial" w:hAnsi="Arial" w:cs="Simplified Arabic"/>
          <w:b w:val="0"/>
          <w:i/>
          <w:color w:val="1F2933"/>
          <w:sz w:val="25"/>
          <w:szCs w:val="25"/>
          <w:iCs/>
          <w:rtl/>
        </w:rPr>
        <w:t>تاريخ الفلسفة الحديثة</w:t>
      </w:r>
      <w:r>
        <w:rPr>
          <w:rFonts w:ascii="Arial" w:hAnsi="Arial" w:cs="Simplified Arabic"/>
          <w:b w:val="0"/>
          <w:i w:val="0"/>
          <w:color w:val="1F2933"/>
          <w:sz w:val="25"/>
          <w:szCs w:val="25"/>
          <w:rtl/>
        </w:rPr>
        <w:t>. القاهرة: دار المعارف.</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9. </w:t>
      </w:r>
      <w:r>
        <w:rPr>
          <w:rFonts w:ascii="Arial" w:hAnsi="Arial" w:cs="Simplified Arabic"/>
          <w:b w:val="0"/>
          <w:i w:val="0"/>
          <w:color w:val="1F2933"/>
          <w:sz w:val="25"/>
          <w:szCs w:val="25"/>
          <w:rtl/>
        </w:rPr>
        <w:t xml:space="preserve">لوك، جون. (1959). </w:t>
      </w:r>
      <w:r>
        <w:rPr>
          <w:rFonts w:ascii="Arial" w:hAnsi="Arial" w:cs="Simplified Arabic"/>
          <w:b w:val="0"/>
          <w:i/>
          <w:color w:val="1F2933"/>
          <w:sz w:val="25"/>
          <w:szCs w:val="25"/>
          <w:iCs/>
          <w:rtl/>
        </w:rPr>
        <w:t>في الحكم المدني</w:t>
      </w:r>
      <w:r>
        <w:rPr>
          <w:rFonts w:ascii="Arial" w:hAnsi="Arial" w:cs="Simplified Arabic"/>
          <w:b w:val="0"/>
          <w:i w:val="0"/>
          <w:color w:val="1F2933"/>
          <w:sz w:val="25"/>
          <w:szCs w:val="25"/>
          <w:rtl/>
        </w:rPr>
        <w:t xml:space="preserve"> (ترجمة ماجد فخري، ط. 1). بيروت: اللجنة الدولية لترجمة الروائع الإنسانية.</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10. </w:t>
      </w:r>
      <w:r>
        <w:rPr>
          <w:rFonts w:ascii="Arial" w:hAnsi="Arial" w:cs="Simplified Arabic"/>
          <w:b w:val="0"/>
          <w:i w:val="0"/>
          <w:color w:val="1F2933"/>
          <w:sz w:val="25"/>
          <w:szCs w:val="25"/>
          <w:rtl/>
        </w:rPr>
        <w:t xml:space="preserve">لوك، جون. (1997). </w:t>
      </w:r>
      <w:r>
        <w:rPr>
          <w:rFonts w:ascii="Arial" w:hAnsi="Arial" w:cs="Simplified Arabic"/>
          <w:b w:val="0"/>
          <w:i/>
          <w:color w:val="1F2933"/>
          <w:sz w:val="25"/>
          <w:szCs w:val="25"/>
          <w:iCs/>
          <w:rtl/>
        </w:rPr>
        <w:t>رسالة في التسامح</w:t>
      </w:r>
      <w:r>
        <w:rPr>
          <w:rFonts w:ascii="Arial" w:hAnsi="Arial" w:cs="Simplified Arabic"/>
          <w:b w:val="0"/>
          <w:i w:val="0"/>
          <w:color w:val="1F2933"/>
          <w:sz w:val="25"/>
          <w:szCs w:val="25"/>
          <w:rtl/>
        </w:rPr>
        <w:t xml:space="preserve"> (ترجمة منى أبو سنة؛ تقديم ومراجعة مراد وهبة، ط. 1). القاهرة: المجلس الأعلى للثقافة، المشروع القومي للترجمة.</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11. </w:t>
      </w:r>
      <w:r>
        <w:rPr>
          <w:rFonts w:ascii="Arial" w:hAnsi="Arial" w:cs="Simplified Arabic"/>
          <w:b w:val="0"/>
          <w:i w:val="0"/>
          <w:color w:val="1F2933"/>
          <w:sz w:val="25"/>
          <w:szCs w:val="25"/>
          <w:rtl/>
        </w:rPr>
        <w:t xml:space="preserve">منظمة الأمم المتحدة للتربية والعلم والثقافة (اليونسكو). (1995). </w:t>
      </w:r>
      <w:r>
        <w:rPr>
          <w:rFonts w:ascii="Arial" w:hAnsi="Arial" w:cs="Simplified Arabic"/>
          <w:b w:val="0"/>
          <w:i/>
          <w:color w:val="1F2933"/>
          <w:sz w:val="25"/>
          <w:szCs w:val="25"/>
          <w:iCs/>
          <w:rtl/>
        </w:rPr>
        <w:t>إعلان المبادئ بشأن التسامح</w:t>
      </w:r>
      <w:r>
        <w:rPr>
          <w:rFonts w:ascii="Arial" w:hAnsi="Arial" w:cs="Simplified Arabic"/>
          <w:b w:val="0"/>
          <w:i w:val="0"/>
          <w:color w:val="1F2933"/>
          <w:sz w:val="25"/>
          <w:szCs w:val="25"/>
          <w:rtl/>
        </w:rPr>
        <w:t xml:space="preserve"> (المعتمد في الدورة الثامنة والعشرين للمؤتمر العام، باريس، 16 تشرين الثاني/نوفمبر 1995). باريس: اليونسكو.</w:t>
      </w:r>
    </w:p>
    <w:p>
      <w:pPr>
        <w:keepNext w:val="0"/>
        <w:pageBreakBefore w:val="0"/>
        <w:spacing w:before="40" w:after="120" w:line="324" w:lineRule="auto"/>
        <w:ind w:right="454" w:hanging="454"/>
        <w:jc w:val="both"/>
        <w:bidi w:val="1"/>
      </w:pPr>
      <w:r>
        <w:rPr>
          <w:rFonts w:ascii="Arial" w:hAnsi="Arial" w:cs="Simplified Arabic"/>
          <w:b/>
          <w:i w:val="0"/>
          <w:color w:val="1B365D"/>
          <w:sz w:val="25"/>
          <w:szCs w:val="25"/>
          <w:bCs/>
        </w:rPr>
        <w:t xml:space="preserve">12. </w:t>
      </w:r>
      <w:r>
        <w:rPr>
          <w:rFonts w:ascii="Arial" w:hAnsi="Arial" w:cs="Simplified Arabic"/>
          <w:b w:val="0"/>
          <w:i w:val="0"/>
          <w:color w:val="1F2933"/>
          <w:sz w:val="25"/>
          <w:szCs w:val="25"/>
          <w:rtl/>
        </w:rPr>
        <w:t xml:space="preserve">وهبة، مراد. (1997). التقديم. في جون لوك، </w:t>
      </w:r>
      <w:r>
        <w:rPr>
          <w:rFonts w:ascii="Arial" w:hAnsi="Arial" w:cs="Simplified Arabic"/>
          <w:b w:val="0"/>
          <w:i/>
          <w:color w:val="1F2933"/>
          <w:sz w:val="25"/>
          <w:szCs w:val="25"/>
          <w:iCs/>
          <w:rtl/>
        </w:rPr>
        <w:t>رسالة في التسامح</w:t>
      </w:r>
      <w:r>
        <w:rPr>
          <w:rFonts w:ascii="Arial" w:hAnsi="Arial" w:cs="Simplified Arabic"/>
          <w:b w:val="0"/>
          <w:i w:val="0"/>
          <w:color w:val="1F2933"/>
          <w:sz w:val="25"/>
          <w:szCs w:val="25"/>
          <w:rtl/>
        </w:rPr>
        <w:t xml:space="preserve"> (ترجمة منى أبو سنة، ط. 1، ص ص. 5–17). القاهرة: المجلس الأعلى للثقافة، المشروع القومي للترجمة.</w:t>
      </w:r>
    </w:p>
    <w:sectPr w:rsidR="00FC693F" w:rsidRPr="0006063C" w:rsidSect="00034616">
      <w:headerReference w:type="default" r:id="rId9"/>
      <w:footerReference w:type="default" r:id="rId10"/>
      <w:pgSz w:w="11906" w:h="16838"/>
      <w:pgMar w:top="1247" w:right="1304" w:bottom="1247" w:left="1304" w:header="720" w:footer="720" w:gutter="0"/>
      <w:cols w:space="720"/>
      <w:titlePg/>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spacing w:before="80" w:after="0" w:line="240" w:lineRule="auto"/>
      <w:jc w:val="center"/>
      <w:bidi w:val="1"/>
    </w:pPr>
    <w:r>
      <w:rPr>
        <w:rFonts w:ascii="Arial" w:hAnsi="Arial" w:cs="Simplified Arabic"/>
        <w:b w:val="0"/>
        <w:i w:val="0"/>
        <w:color w:val="52606D"/>
        <w:sz w:val="20"/>
        <w:szCs w:val="20"/>
        <w:rtl/>
      </w:rPr>
      <w:t xml:space="preserve">صفحة </w:t>
    </w:r>
    <w:r>
      <w:rPr>
        <w:rFonts w:ascii="Arial" w:hAnsi="Arial" w:cs="Simplified Arabic"/>
        <w:b/>
        <w:i w:val="0"/>
        <w:color w:val="1B365D"/>
        <w:sz w:val="20"/>
        <w:szCs w:val="20"/>
        <w:bCs/>
        <w:rtl/>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spacing w:before="0" w:after="80" w:line="240" w:lineRule="auto"/>
      <w:jc w:val="right"/>
      <w:bidi w:val="1"/>
      <w:pBdr>
        <w:bottom w:val="single" w:sz="6" w:space="4" w:color="CBD5E1"/>
      </w:pBdr>
    </w:pPr>
    <w:r>
      <w:rPr>
        <w:rFonts w:ascii="Arial" w:hAnsi="Arial" w:cs="Simplified Arabic"/>
        <w:b w:val="0"/>
        <w:i w:val="0"/>
        <w:color w:val="52606D"/>
        <w:sz w:val="19"/>
        <w:szCs w:val="19"/>
        <w:rtl/>
      </w:rPr>
      <w:t>الجامعة الافتراضية السورية (SVU)  |  المدخل إلى الفلسفة (GHS101) — الوظيفة الأولى: التسامح وبناء السلام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