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100" w:line="264" w:lineRule="auto"/>
        <w:jc w:val="center"/>
      </w:pPr>
      <w:r>
        <w:rPr>
          <w:rFonts w:ascii="Arial" w:hAnsi="Arial" w:cs="Traditional Arabic" w:eastAsia="Traditional Arabic"/>
          <w:b/>
          <w:i w:val="0"/>
          <w:color w:val="1F4E79"/>
          <w:sz w:val="33"/>
          <w:lang w:val="ar-SA" w:bidi="ar-SA"/>
        </w:rPr>
        <w:t>الجمهورية العربية السورية</w:t>
      </w:r>
    </w:p>
    <w:p>
      <w:pPr>
        <w:bidi/>
        <w:spacing w:before="0" w:after="100" w:line="264" w:lineRule="auto"/>
        <w:jc w:val="center"/>
      </w:pPr>
      <w:r>
        <w:rPr>
          <w:rFonts w:ascii="Arial" w:hAnsi="Arial" w:cs="Traditional Arabic" w:eastAsia="Traditional Arabic"/>
          <w:b/>
          <w:i w:val="0"/>
          <w:color w:val="1F4E79"/>
          <w:sz w:val="33"/>
          <w:lang w:val="ar-SA" w:bidi="ar-SA"/>
        </w:rPr>
        <w:t>الجامعة الافتراضية السورية</w:t>
      </w:r>
    </w:p>
    <w:p>
      <w:pPr>
        <w:bidi/>
        <w:spacing w:before="0" w:after="120" w:line="276" w:lineRule="auto"/>
        <w:jc w:val="center"/>
      </w:pPr>
      <w:r>
        <w:rPr>
          <w:rFonts w:ascii="Arial" w:hAnsi="Arial" w:cs="Traditional Arabic" w:eastAsia="Traditional Arabic"/>
          <w:b/>
          <w:i w:val="0"/>
          <w:color w:val="1F4E79"/>
          <w:sz w:val="26"/>
          <w:lang w:val="ar-SA" w:bidi="ar-SA"/>
        </w:rPr>
        <w:t>Syrian Virtual University (SVU)</w:t>
      </w:r>
    </w:p>
    <w:p>
      <w:pPr>
        <w:spacing w:after="80"/>
      </w:pPr>
      <w:r>
        <w:rPr>
          <w:rFonts w:ascii="Arial" w:hAnsi="Arial" w:cs="Traditional Arabic" w:eastAsia="Traditional Arabic"/>
          <w:b w:val="0"/>
          <w:i w:val="0"/>
          <w:sz w:val="4"/>
          <w:lang w:val="ar-SA" w:bidi="ar-SA"/>
        </w:rPr>
        <w:t xml:space="preserve"> </w:t>
      </w:r>
    </w:p>
    <w:p>
      <w:pPr>
        <w:bidi/>
        <w:spacing w:before="0" w:after="120" w:line="276" w:lineRule="auto"/>
        <w:jc w:val="center"/>
      </w:pPr>
      <w:r>
        <w:rPr>
          <w:rFonts w:ascii="Arial" w:hAnsi="Arial" w:cs="Traditional Arabic" w:eastAsia="Traditional Arabic"/>
          <w:b/>
          <w:i w:val="0"/>
          <w:sz w:val="28"/>
          <w:lang w:val="ar-SA" w:bidi="ar-SA"/>
        </w:rPr>
        <w:t>برنامج بكالوريوس في تقانات المعلومات — BAIT</w:t>
      </w:r>
    </w:p>
    <w:p>
      <w:pPr>
        <w:bidi/>
        <w:spacing w:before="0" w:after="120" w:line="276" w:lineRule="auto"/>
        <w:jc w:val="center"/>
      </w:pPr>
      <w:r>
        <w:rPr>
          <w:rFonts w:ascii="Arial" w:hAnsi="Arial" w:cs="Traditional Arabic" w:eastAsia="Traditional Arabic"/>
          <w:b w:val="0"/>
          <w:i w:val="0"/>
          <w:color w:val="555555"/>
          <w:sz w:val="22"/>
          <w:lang w:val="ar-SA" w:bidi="ar-SA"/>
        </w:rPr>
        <w:t>Unit Assignment</w:t>
      </w:r>
    </w:p>
    <w:p>
      <w:pPr>
        <w:pBdr>
          <w:bottom w:val="single" w:sz="12" w:color="1F4E79" w:space="1"/>
        </w:pBdr>
        <w:bidi/>
        <w:spacing w:before="40" w:after="160"/>
        <w:jc w:val="center"/>
      </w:pPr>
      <w:r>
        <w:rPr>
          <w:rFonts w:ascii="Arial" w:hAnsi="Arial" w:cs="Traditional Arabic" w:eastAsia="Traditional Arabic"/>
          <w:b w:val="0"/>
          <w:i w:val="0"/>
          <w:sz w:val="4"/>
          <w:lang w:val="ar-SA" w:bidi="ar-SA"/>
        </w:rPr>
        <w:t xml:space="preserve"> </w:t>
      </w:r>
    </w:p>
    <w:p>
      <w:pPr>
        <w:bidi/>
        <w:spacing w:before="0" w:after="120" w:line="276" w:lineRule="auto"/>
        <w:jc w:val="center"/>
      </w:pPr>
      <w:r>
        <w:rPr>
          <w:rFonts w:ascii="Arial" w:hAnsi="Arial" w:cs="Traditional Arabic" w:eastAsia="Traditional Arabic"/>
          <w:b/>
          <w:i w:val="0"/>
          <w:sz w:val="28"/>
          <w:lang w:val="ar-SA" w:bidi="ar-SA"/>
        </w:rPr>
        <w:t>مادة: المدخل إلى علم الاجتماع</w:t>
      </w:r>
    </w:p>
    <w:p>
      <w:pPr>
        <w:bidi/>
        <w:spacing w:before="0" w:after="120" w:line="276" w:lineRule="auto"/>
        <w:jc w:val="center"/>
      </w:pPr>
      <w:r>
        <w:rPr>
          <w:rFonts w:ascii="Arial" w:hAnsi="Arial" w:cs="Traditional Arabic" w:eastAsia="Traditional Arabic"/>
          <w:b/>
          <w:i w:val="0"/>
          <w:color w:val="1F4E79"/>
          <w:sz w:val="28"/>
          <w:lang w:val="ar-SA" w:bidi="ar-SA"/>
        </w:rPr>
        <w:t>الوظيفة الأولى</w:t>
      </w:r>
    </w:p>
    <w:p>
      <w:pPr>
        <w:bidi/>
        <w:spacing w:before="0" w:after="280" w:line="276" w:lineRule="auto"/>
        <w:jc w:val="center"/>
      </w:pPr>
      <w:r>
        <w:rPr>
          <w:rFonts w:ascii="Arial" w:hAnsi="Arial" w:cs="Traditional Arabic" w:eastAsia="Traditional Arabic"/>
          <w:b/>
          <w:i w:val="0"/>
          <w:color w:val="1F4E79"/>
          <w:sz w:val="44"/>
          <w:lang w:val="ar-SA" w:bidi="ar-SA"/>
        </w:rPr>
        <w:t>«الرأي العام»</w:t>
      </w:r>
    </w:p>
    <w:p>
      <w:pPr>
        <w:pBdr>
          <w:bottom w:val="single" w:sz="12" w:color="1F4E79" w:space="1"/>
        </w:pBdr>
        <w:bidi/>
        <w:spacing w:before="40" w:after="160"/>
        <w:jc w:val="center"/>
      </w:pPr>
      <w:r>
        <w:rPr>
          <w:rFonts w:ascii="Arial" w:hAnsi="Arial" w:cs="Traditional Arabic" w:eastAsia="Traditional Arabic"/>
          <w:b w:val="0"/>
          <w:i w:val="0"/>
          <w:sz w:val="4"/>
          <w:lang w:val="ar-SA" w:bidi="ar-SA"/>
        </w:rPr>
        <w:t xml:space="preserve"> </w:t>
      </w:r>
    </w:p>
    <w:tbl>
      <w:tblPr>
        <w:tblStyle w:val="TableGrid"/>
        <w:bidiVisual/>
        <w:tblW w:type="auto" w:w="0"/>
        <w:jc w:val="center"/>
        <w:tblLayout w:type="fixed"/>
        <w:tblLook w:firstColumn="1" w:firstRow="1" w:lastColumn="0" w:lastRow="0" w:noHBand="0" w:noVBand="1" w:val="04A0"/>
      </w:tblPr>
      <w:tblGrid>
        <w:gridCol w:w="4649"/>
        <w:gridCol w:w="4649"/>
      </w:tblGrid>
      <w:tr>
        <w:tc>
          <w:tcPr>
            <w:tcW w:type="dxa" w:w="3533"/>
            <w:shd w:val="clear" w:color="auto" w:fill="DCE6F1"/>
          </w:tcPr>
          <w:p>
            <w:pPr>
              <w:bidi/>
              <w:spacing w:after="40" w:before="40"/>
              <w:jc w:val="center"/>
            </w:pPr>
            <w:r>
              <w:rPr>
                <w:rFonts w:ascii="Arial" w:hAnsi="Arial" w:cs="Traditional Arabic" w:eastAsia="Traditional Arabic"/>
                <w:b/>
                <w:i w:val="0"/>
                <w:color w:val="1F4E79"/>
                <w:sz w:val="20"/>
                <w:lang w:val="ar-SA" w:bidi="ar-SA"/>
              </w:rPr>
              <w:t>بيان الوظيفة</w:t>
            </w:r>
          </w:p>
        </w:tc>
        <w:tc>
          <w:tcPr>
            <w:tcW w:type="dxa" w:w="5765"/>
            <w:shd w:val="clear" w:color="auto" w:fill="DCE6F1"/>
          </w:tcPr>
          <w:p>
            <w:pPr>
              <w:bidi/>
              <w:spacing w:after="40" w:before="40"/>
              <w:jc w:val="center"/>
            </w:pPr>
            <w:r>
              <w:rPr>
                <w:rFonts w:ascii="Arial" w:hAnsi="Arial" w:cs="Traditional Arabic" w:eastAsia="Traditional Arabic"/>
                <w:b/>
                <w:i w:val="0"/>
                <w:color w:val="1F4E79"/>
                <w:sz w:val="20"/>
                <w:lang w:val="ar-SA" w:bidi="ar-SA"/>
              </w:rPr>
              <w:t>التفصيل</w:t>
            </w:r>
          </w:p>
        </w:tc>
      </w:tr>
      <w:tr>
        <w:tc>
          <w:tcPr>
            <w:tcW w:type="dxa" w:w="3533"/>
          </w:tcPr>
          <w:p>
            <w:pPr>
              <w:bidi/>
              <w:spacing w:after="20" w:before="20" w:line="264" w:lineRule="auto"/>
              <w:jc w:val="right"/>
            </w:pPr>
            <w:r>
              <w:rPr>
                <w:rFonts w:ascii="Arial" w:hAnsi="Arial" w:cs="Traditional Arabic" w:eastAsia="Traditional Arabic"/>
                <w:b w:val="0"/>
                <w:i w:val="0"/>
                <w:sz w:val="20"/>
                <w:lang w:val="ar-SA" w:bidi="ar-SA"/>
              </w:rPr>
              <w:t>إعداد (إشراف)</w:t>
            </w:r>
          </w:p>
        </w:tc>
        <w:tc>
          <w:tcPr>
            <w:tcW w:type="dxa" w:w="5765"/>
          </w:tcPr>
          <w:p>
            <w:pPr>
              <w:bidi/>
              <w:spacing w:after="20" w:before="20" w:line="264" w:lineRule="auto"/>
              <w:jc w:val="right"/>
            </w:pPr>
            <w:r>
              <w:rPr>
                <w:rFonts w:ascii="Arial" w:hAnsi="Arial" w:cs="Traditional Arabic" w:eastAsia="Traditional Arabic"/>
                <w:b w:val="0"/>
                <w:i w:val="0"/>
                <w:sz w:val="20"/>
                <w:lang w:val="ar-SA" w:bidi="ar-SA"/>
              </w:rPr>
              <w:t>أساتذة مادة علم الاجتماع</w:t>
            </w:r>
          </w:p>
        </w:tc>
      </w:tr>
      <w:tr>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تاريخ التوزيع</w:t>
            </w:r>
          </w:p>
        </w:tc>
        <w:tc>
          <w:tcPr>
            <w:tcW w:type="dxa" w:w="576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14 / 10 / 2026</w:t>
            </w:r>
          </w:p>
        </w:tc>
      </w:tr>
      <w:tr>
        <w:tc>
          <w:tcPr>
            <w:tcW w:type="dxa" w:w="3533"/>
          </w:tcPr>
          <w:p>
            <w:pPr>
              <w:bidi/>
              <w:spacing w:after="20" w:before="20" w:line="264" w:lineRule="auto"/>
              <w:jc w:val="right"/>
            </w:pPr>
            <w:r>
              <w:rPr>
                <w:rFonts w:ascii="Arial" w:hAnsi="Arial" w:cs="Traditional Arabic" w:eastAsia="Traditional Arabic"/>
                <w:b w:val="0"/>
                <w:i w:val="0"/>
                <w:sz w:val="20"/>
                <w:lang w:val="ar-SA" w:bidi="ar-SA"/>
              </w:rPr>
              <w:t>تاريخ الإعادة</w:t>
            </w:r>
          </w:p>
        </w:tc>
        <w:tc>
          <w:tcPr>
            <w:tcW w:type="dxa" w:w="5765"/>
          </w:tcPr>
          <w:p>
            <w:pPr>
              <w:bidi/>
              <w:spacing w:after="20" w:before="20" w:line="264" w:lineRule="auto"/>
              <w:jc w:val="right"/>
            </w:pPr>
            <w:r>
              <w:rPr>
                <w:rFonts w:ascii="Arial" w:hAnsi="Arial" w:cs="Traditional Arabic" w:eastAsia="Traditional Arabic"/>
                <w:b w:val="0"/>
                <w:i w:val="0"/>
                <w:sz w:val="20"/>
                <w:lang w:val="ar-SA" w:bidi="ar-SA"/>
              </w:rPr>
              <w:t>12 / 11 / 2026</w:t>
            </w:r>
          </w:p>
        </w:tc>
      </w:tr>
      <w:tr>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العام الدراسي</w:t>
            </w:r>
          </w:p>
        </w:tc>
        <w:tc>
          <w:tcPr>
            <w:tcW w:type="dxa" w:w="576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2026 / 2027</w:t>
            </w:r>
          </w:p>
        </w:tc>
      </w:tr>
      <w:tr>
        <w:tc>
          <w:tcPr>
            <w:tcW w:type="dxa" w:w="3533"/>
          </w:tcPr>
          <w:p>
            <w:pPr>
              <w:bidi/>
              <w:spacing w:after="20" w:before="20" w:line="264" w:lineRule="auto"/>
              <w:jc w:val="right"/>
            </w:pPr>
            <w:r>
              <w:rPr>
                <w:rFonts w:ascii="Arial" w:hAnsi="Arial" w:cs="Traditional Arabic" w:eastAsia="Traditional Arabic"/>
                <w:b w:val="0"/>
                <w:i w:val="0"/>
                <w:sz w:val="20"/>
                <w:lang w:val="ar-SA" w:bidi="ar-SA"/>
              </w:rPr>
              <w:t>نوع العمل</w:t>
            </w:r>
          </w:p>
        </w:tc>
        <w:tc>
          <w:tcPr>
            <w:tcW w:type="dxa" w:w="5765"/>
          </w:tcPr>
          <w:p>
            <w:pPr>
              <w:bidi/>
              <w:spacing w:after="20" w:before="20" w:line="264" w:lineRule="auto"/>
              <w:jc w:val="right"/>
            </w:pPr>
            <w:r>
              <w:rPr>
                <w:rFonts w:ascii="Arial" w:hAnsi="Arial" w:cs="Traditional Arabic" w:eastAsia="Traditional Arabic"/>
                <w:b w:val="0"/>
                <w:i w:val="0"/>
                <w:sz w:val="20"/>
                <w:lang w:val="ar-SA" w:bidi="ar-SA"/>
              </w:rPr>
              <w:t>وظيفة أكاديمية مشتركة (بحث وصفي تحليلي)</w:t>
            </w:r>
          </w:p>
        </w:tc>
      </w:tr>
    </w:tbl>
    <w:p>
      <w:pPr>
        <w:spacing w:after="40"/>
      </w:pPr>
    </w:p>
    <w:p>
      <w:pPr>
        <w:spacing w:after="160"/>
      </w:pPr>
      <w:r>
        <w:rPr>
          <w:rFonts w:ascii="Arial" w:hAnsi="Arial" w:cs="Traditional Arabic" w:eastAsia="Traditional Arabic"/>
          <w:b w:val="0"/>
          <w:i w:val="0"/>
          <w:sz w:val="4"/>
          <w:lang w:val="ar-SA" w:bidi="ar-SA"/>
        </w:rPr>
        <w:t xml:space="preserve"> </w:t>
      </w:r>
    </w:p>
    <w:p>
      <w:pPr>
        <w:bidi/>
        <w:spacing w:before="0" w:after="120" w:line="276" w:lineRule="auto"/>
        <w:jc w:val="center"/>
      </w:pPr>
      <w:r>
        <w:rPr>
          <w:rFonts w:ascii="Arial" w:hAnsi="Arial" w:cs="Traditional Arabic" w:eastAsia="Traditional Arabic"/>
          <w:b/>
          <w:i w:val="0"/>
          <w:color w:val="1F4E79"/>
          <w:sz w:val="28"/>
          <w:lang w:val="ar-SA" w:bidi="ar-SA"/>
        </w:rPr>
        <w:t>إعداد الطالبين</w:t>
      </w:r>
    </w:p>
    <w:tbl>
      <w:tblPr>
        <w:tblStyle w:val="TableGrid"/>
        <w:bidiVisual/>
        <w:tblW w:type="auto" w:w="0"/>
        <w:jc w:val="center"/>
        <w:tblLayout w:type="fixed"/>
        <w:tblLook w:firstColumn="1" w:firstRow="1" w:lastColumn="0" w:lastRow="0" w:noHBand="0" w:noVBand="1" w:val="04A0"/>
      </w:tblPr>
      <w:tblGrid>
        <w:gridCol w:w="3099"/>
        <w:gridCol w:w="3099"/>
        <w:gridCol w:w="3099"/>
      </w:tblGrid>
      <w:tr>
        <w:tc>
          <w:tcPr>
            <w:tcW w:type="dxa" w:w="3161"/>
            <w:shd w:val="clear" w:color="auto" w:fill="DCE6F1"/>
          </w:tcPr>
          <w:p>
            <w:pPr>
              <w:bidi/>
              <w:spacing w:after="40" w:before="40"/>
              <w:jc w:val="center"/>
            </w:pPr>
            <w:r>
              <w:rPr>
                <w:rFonts w:ascii="Arial" w:hAnsi="Arial" w:cs="Traditional Arabic" w:eastAsia="Traditional Arabic"/>
                <w:b/>
                <w:i w:val="0"/>
                <w:color w:val="1F4E79"/>
                <w:sz w:val="20"/>
                <w:lang w:val="ar-SA" w:bidi="ar-SA"/>
              </w:rPr>
              <w:t>اسم الطالب</w:t>
            </w:r>
          </w:p>
        </w:tc>
        <w:tc>
          <w:tcPr>
            <w:tcW w:type="dxa" w:w="2603"/>
            <w:shd w:val="clear" w:color="auto" w:fill="DCE6F1"/>
          </w:tcPr>
          <w:p>
            <w:pPr>
              <w:bidi/>
              <w:spacing w:after="40" w:before="40"/>
              <w:jc w:val="center"/>
            </w:pPr>
            <w:r>
              <w:rPr>
                <w:rFonts w:ascii="Arial" w:hAnsi="Arial" w:cs="Traditional Arabic" w:eastAsia="Traditional Arabic"/>
                <w:b/>
                <w:i w:val="0"/>
                <w:color w:val="1F4E79"/>
                <w:sz w:val="20"/>
                <w:lang w:val="ar-SA" w:bidi="ar-SA"/>
              </w:rPr>
              <w:t>الرقم الجامعي</w:t>
            </w:r>
          </w:p>
        </w:tc>
        <w:tc>
          <w:tcPr>
            <w:tcW w:type="dxa" w:w="3533"/>
            <w:shd w:val="clear" w:color="auto" w:fill="DCE6F1"/>
          </w:tcPr>
          <w:p>
            <w:pPr>
              <w:bidi/>
              <w:spacing w:after="40" w:before="40"/>
              <w:jc w:val="center"/>
            </w:pPr>
            <w:r>
              <w:rPr>
                <w:rFonts w:ascii="Arial" w:hAnsi="Arial" w:cs="Traditional Arabic" w:eastAsia="Traditional Arabic"/>
                <w:b/>
                <w:i w:val="0"/>
                <w:color w:val="1F4E79"/>
                <w:sz w:val="20"/>
                <w:lang w:val="ar-SA" w:bidi="ar-SA"/>
              </w:rPr>
              <w:t>القسم المسؤول عنه</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2603"/>
          </w:tcPr>
          <w:p>
            <w:pPr>
              <w:bidi/>
              <w:spacing w:after="20" w:before="20" w:line="264" w:lineRule="auto"/>
              <w:jc w:val="right"/>
            </w:pPr>
            <w:r>
              <w:rPr>
                <w:rFonts w:ascii="Arial" w:hAnsi="Arial" w:cs="Traditional Arabic" w:eastAsia="Traditional Arabic"/>
                <w:b w:val="0"/>
                <w:i w:val="0"/>
                <w:sz w:val="20"/>
                <w:lang w:val="ar-SA" w:bidi="ar-SA"/>
              </w:rPr>
              <w:t>jan_436439</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المقدمة العامة + الأسئلة (1، 2، 3)</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وديع هيثم سلوم</w:t>
            </w:r>
          </w:p>
        </w:tc>
        <w:tc>
          <w:tcPr>
            <w:tcW w:type="dxa" w:w="260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wadee_440350</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السؤالان (4، 5) + الخاتمة والتوصيات</w:t>
            </w:r>
          </w:p>
        </w:tc>
      </w:tr>
    </w:tbl>
    <w:p>
      <w:pPr>
        <w:spacing w:after="40"/>
      </w:pPr>
    </w:p>
    <w:p>
      <w:pPr>
        <w:spacing w:after="200"/>
      </w:pPr>
      <w:r>
        <w:rPr>
          <w:rFonts w:ascii="Arial" w:hAnsi="Arial" w:cs="Traditional Arabic" w:eastAsia="Traditional Arabic"/>
          <w:b w:val="0"/>
          <w:i w:val="0"/>
          <w:sz w:val="4"/>
          <w:lang w:val="ar-SA" w:bidi="ar-SA"/>
        </w:rPr>
        <w:t xml:space="preserve"> </w:t>
      </w:r>
    </w:p>
    <w:p>
      <w:pPr>
        <w:bidi/>
        <w:spacing w:before="0" w:after="120" w:line="276" w:lineRule="auto"/>
        <w:jc w:val="center"/>
      </w:pPr>
      <w:r>
        <w:rPr>
          <w:rFonts w:ascii="Arial" w:hAnsi="Arial" w:cs="Traditional Arabic" w:eastAsia="Traditional Arabic"/>
          <w:b w:val="0"/>
          <w:i w:val="0"/>
          <w:sz w:val="22"/>
          <w:lang w:val="ar-SA" w:bidi="ar-SA"/>
        </w:rPr>
        <w:t>خريجا المعهد التقاني للحاسوب (TIC)، وطالبا بكالوريوس تقانات المعلومات (BAIT)،</w:t>
      </w:r>
    </w:p>
    <w:p>
      <w:pPr>
        <w:bidi/>
        <w:spacing w:before="0" w:after="120" w:line="276" w:lineRule="auto"/>
        <w:jc w:val="center"/>
      </w:pPr>
      <w:r>
        <w:rPr>
          <w:rFonts w:ascii="Arial" w:hAnsi="Arial" w:cs="Traditional Arabic" w:eastAsia="Traditional Arabic"/>
          <w:b w:val="0"/>
          <w:i w:val="0"/>
          <w:sz w:val="22"/>
          <w:lang w:val="ar-SA" w:bidi="ar-SA"/>
        </w:rPr>
        <w:t>ومنتسبان إلى فوجين مختلفين ضمن الحركة الكشفية.</w:t>
      </w:r>
    </w:p>
    <w:p>
      <w:r>
        <w:br w:type="page"/>
      </w:r>
    </w:p>
    <w:p>
      <w:pPr>
        <w:keepNext/>
        <w:bidi/>
        <w:spacing w:before="200" w:after="160" w:line="276" w:lineRule="auto"/>
        <w:jc w:val="right"/>
      </w:pPr>
      <w:r>
        <w:rPr>
          <w:rFonts w:ascii="Arial" w:hAnsi="Arial" w:cs="Traditional Arabic" w:eastAsia="Traditional Arabic"/>
          <w:b/>
          <w:i w:val="0"/>
          <w:color w:val="1F4E79"/>
          <w:sz w:val="32"/>
          <w:lang w:val="ar-SA" w:bidi="ar-SA"/>
        </w:rPr>
        <w:t>فهرس المحتويات</w:t>
      </w:r>
    </w:p>
    <w:p>
      <w:pPr>
        <w:bidi/>
        <w:spacing w:before="0" w:after="100" w:line="288" w:lineRule="auto"/>
        <w:jc w:val="both"/>
      </w:pPr>
      <w:r>
        <w:rPr>
          <w:rFonts w:ascii="Arial" w:hAnsi="Arial" w:cs="Traditional Arabic" w:eastAsia="Traditional Arabic"/>
          <w:b w:val="0"/>
          <w:i w:val="0"/>
          <w:sz w:val="25"/>
          <w:lang w:val="ar-SA" w:bidi="ar-SA"/>
        </w:rPr>
        <w:t>رُوعي في هذا الفهرس بيان اسم الطالب المسؤول عن كل قسم، تحقيقاً لمبدأ وضوح الجهد البحثي المشترك. وأرقام الصفحات استرشادية بحسب النسخة المُنسَّقة المرفقة، ولا يدخل الغلاف والفهرس والمراجع ضمن حساب صفحات المتن المطلوبة (8–12 صفحة).</w:t>
      </w:r>
    </w:p>
    <w:tbl>
      <w:tblPr>
        <w:tblStyle w:val="TableGrid"/>
        <w:bidiVisual/>
        <w:tblW w:type="auto" w:w="0"/>
        <w:jc w:val="center"/>
        <w:tblLayout w:type="fixed"/>
        <w:tblLook w:firstColumn="1" w:firstRow="1" w:lastColumn="0" w:lastRow="0" w:noHBand="0" w:noVBand="1" w:val="04A0"/>
      </w:tblPr>
      <w:tblGrid>
        <w:gridCol w:w="2324"/>
        <w:gridCol w:w="2324"/>
        <w:gridCol w:w="2324"/>
        <w:gridCol w:w="2324"/>
      </w:tblGrid>
      <w:tr>
        <w:tc>
          <w:tcPr>
            <w:tcW w:type="dxa" w:w="744"/>
            <w:shd w:val="clear" w:color="auto" w:fill="DCE6F1"/>
          </w:tcPr>
          <w:p>
            <w:pPr>
              <w:bidi/>
              <w:spacing w:after="40" w:before="40"/>
              <w:jc w:val="center"/>
            </w:pPr>
            <w:r>
              <w:rPr>
                <w:rFonts w:ascii="Arial" w:hAnsi="Arial" w:cs="Traditional Arabic" w:eastAsia="Traditional Arabic"/>
                <w:b/>
                <w:i w:val="0"/>
                <w:color w:val="1F4E79"/>
                <w:sz w:val="20"/>
                <w:lang w:val="ar-SA" w:bidi="ar-SA"/>
              </w:rPr>
              <w:t>م</w:t>
            </w:r>
          </w:p>
        </w:tc>
        <w:tc>
          <w:tcPr>
            <w:tcW w:type="dxa" w:w="5021"/>
            <w:shd w:val="clear" w:color="auto" w:fill="DCE6F1"/>
          </w:tcPr>
          <w:p>
            <w:pPr>
              <w:bidi/>
              <w:spacing w:after="40" w:before="40"/>
              <w:jc w:val="center"/>
            </w:pPr>
            <w:r>
              <w:rPr>
                <w:rFonts w:ascii="Arial" w:hAnsi="Arial" w:cs="Traditional Arabic" w:eastAsia="Traditional Arabic"/>
                <w:b/>
                <w:i w:val="0"/>
                <w:color w:val="1F4E79"/>
                <w:sz w:val="20"/>
                <w:lang w:val="ar-SA" w:bidi="ar-SA"/>
              </w:rPr>
              <w:t>العنوان</w:t>
            </w:r>
          </w:p>
        </w:tc>
        <w:tc>
          <w:tcPr>
            <w:tcW w:type="dxa" w:w="2510"/>
            <w:shd w:val="clear" w:color="auto" w:fill="DCE6F1"/>
          </w:tcPr>
          <w:p>
            <w:pPr>
              <w:bidi/>
              <w:spacing w:after="40" w:before="40"/>
              <w:jc w:val="center"/>
            </w:pPr>
            <w:r>
              <w:rPr>
                <w:rFonts w:ascii="Arial" w:hAnsi="Arial" w:cs="Traditional Arabic" w:eastAsia="Traditional Arabic"/>
                <w:b/>
                <w:i w:val="0"/>
                <w:color w:val="1F4E79"/>
                <w:sz w:val="20"/>
                <w:lang w:val="ar-SA" w:bidi="ar-SA"/>
              </w:rPr>
              <w:t>الطالب المسؤول</w:t>
            </w:r>
          </w:p>
        </w:tc>
        <w:tc>
          <w:tcPr>
            <w:tcW w:type="dxa" w:w="1023"/>
            <w:shd w:val="clear" w:color="auto" w:fill="DCE6F1"/>
          </w:tcPr>
          <w:p>
            <w:pPr>
              <w:bidi/>
              <w:spacing w:after="40" w:before="40"/>
              <w:jc w:val="center"/>
            </w:pPr>
            <w:r>
              <w:rPr>
                <w:rFonts w:ascii="Arial" w:hAnsi="Arial" w:cs="Traditional Arabic" w:eastAsia="Traditional Arabic"/>
                <w:b/>
                <w:i w:val="0"/>
                <w:color w:val="1F4E79"/>
                <w:sz w:val="20"/>
                <w:lang w:val="ar-SA" w:bidi="ar-SA"/>
              </w:rPr>
              <w:t>الصفحة</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1</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إقرار بأصالة العمل وملاحظات منهجية</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مشتركة</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3</w:t>
            </w:r>
          </w:p>
        </w:tc>
      </w:tr>
      <w:tr>
        <w:tc>
          <w:tcPr>
            <w:tcW w:type="dxa" w:w="74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2</w:t>
            </w:r>
          </w:p>
        </w:tc>
        <w:tc>
          <w:tcPr>
            <w:tcW w:type="dxa" w:w="502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المقدمة العامة للبحث</w:t>
            </w:r>
          </w:p>
        </w:tc>
        <w:tc>
          <w:tcPr>
            <w:tcW w:type="dxa" w:w="251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102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3</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3</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القسم الأول: المقدمة والأسئلة (1–3)</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جان شادي عبود — jan_436439</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3–7</w:t>
            </w:r>
          </w:p>
        </w:tc>
      </w:tr>
      <w:tr>
        <w:tc>
          <w:tcPr>
            <w:tcW w:type="dxa" w:w="74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3 / 1</w:t>
            </w:r>
          </w:p>
        </w:tc>
        <w:tc>
          <w:tcPr>
            <w:tcW w:type="dxa" w:w="502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 الأول: تعريف الرأي العام (لغوياً واصطلاحياً وعند العلماء)</w:t>
            </w:r>
          </w:p>
        </w:tc>
        <w:tc>
          <w:tcPr>
            <w:tcW w:type="dxa" w:w="251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102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4</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3 / 2</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المبحث الثاني: خصائص الرأي العام</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5</w:t>
            </w:r>
          </w:p>
        </w:tc>
      </w:tr>
      <w:tr>
        <w:tc>
          <w:tcPr>
            <w:tcW w:type="dxa" w:w="74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3 / 3</w:t>
            </w:r>
          </w:p>
        </w:tc>
        <w:tc>
          <w:tcPr>
            <w:tcW w:type="dxa" w:w="502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 الثالث: نظريات تشكّل الرأي العام</w:t>
            </w:r>
          </w:p>
        </w:tc>
        <w:tc>
          <w:tcPr>
            <w:tcW w:type="dxa" w:w="251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102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6</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3 / 4</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خلاصة القسم الأول</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7</w:t>
            </w:r>
          </w:p>
        </w:tc>
      </w:tr>
      <w:tr>
        <w:tc>
          <w:tcPr>
            <w:tcW w:type="dxa" w:w="74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4</w:t>
            </w:r>
          </w:p>
        </w:tc>
        <w:tc>
          <w:tcPr>
            <w:tcW w:type="dxa" w:w="502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القسم الثاني: السؤالان (4–5) والخاتمة</w:t>
            </w:r>
          </w:p>
        </w:tc>
        <w:tc>
          <w:tcPr>
            <w:tcW w:type="dxa" w:w="251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وديع هيثم سلوم — wadee_440350</w:t>
            </w:r>
          </w:p>
        </w:tc>
        <w:tc>
          <w:tcPr>
            <w:tcW w:type="dxa" w:w="102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8–12</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4 / 1</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المبحث الأول: الخلفية الثقافية والنفسية والاجتماعية</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وديع هيثم سلوم</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8</w:t>
            </w:r>
          </w:p>
        </w:tc>
      </w:tr>
      <w:tr>
        <w:tc>
          <w:tcPr>
            <w:tcW w:type="dxa" w:w="74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4 / 2</w:t>
            </w:r>
          </w:p>
        </w:tc>
        <w:tc>
          <w:tcPr>
            <w:tcW w:type="dxa" w:w="502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 الثاني: الرأي العام وعلاقته بالسياسة الاقتصادية للبلد</w:t>
            </w:r>
          </w:p>
        </w:tc>
        <w:tc>
          <w:tcPr>
            <w:tcW w:type="dxa" w:w="251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وديع هيثم سلوم</w:t>
            </w:r>
          </w:p>
        </w:tc>
        <w:tc>
          <w:tcPr>
            <w:tcW w:type="dxa" w:w="102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10</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4 / 3</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الخاتمة: أهم النتائج والتوصيات المشتركة</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الطالبان معاً</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12</w:t>
            </w:r>
          </w:p>
        </w:tc>
      </w:tr>
      <w:tr>
        <w:tc>
          <w:tcPr>
            <w:tcW w:type="dxa" w:w="74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5</w:t>
            </w:r>
          </w:p>
        </w:tc>
        <w:tc>
          <w:tcPr>
            <w:tcW w:type="dxa" w:w="502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قائمة المصادر والمراجع (APA)</w:t>
            </w:r>
          </w:p>
        </w:tc>
        <w:tc>
          <w:tcPr>
            <w:tcW w:type="dxa" w:w="251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مشتركة</w:t>
            </w:r>
          </w:p>
        </w:tc>
        <w:tc>
          <w:tcPr>
            <w:tcW w:type="dxa" w:w="102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13</w:t>
            </w:r>
          </w:p>
        </w:tc>
      </w:tr>
      <w:tr>
        <w:tc>
          <w:tcPr>
            <w:tcW w:type="dxa" w:w="744"/>
          </w:tcPr>
          <w:p>
            <w:pPr>
              <w:bidi/>
              <w:spacing w:after="20" w:before="20" w:line="264" w:lineRule="auto"/>
              <w:jc w:val="right"/>
            </w:pPr>
            <w:r>
              <w:rPr>
                <w:rFonts w:ascii="Arial" w:hAnsi="Arial" w:cs="Traditional Arabic" w:eastAsia="Traditional Arabic"/>
                <w:b w:val="0"/>
                <w:i w:val="0"/>
                <w:sz w:val="20"/>
                <w:lang w:val="ar-SA" w:bidi="ar-SA"/>
              </w:rPr>
              <w:t>6</w:t>
            </w:r>
          </w:p>
        </w:tc>
        <w:tc>
          <w:tcPr>
            <w:tcW w:type="dxa" w:w="5021"/>
          </w:tcPr>
          <w:p>
            <w:pPr>
              <w:bidi/>
              <w:spacing w:after="20" w:before="20" w:line="264" w:lineRule="auto"/>
              <w:jc w:val="right"/>
            </w:pPr>
            <w:r>
              <w:rPr>
                <w:rFonts w:ascii="Arial" w:hAnsi="Arial" w:cs="Traditional Arabic" w:eastAsia="Traditional Arabic"/>
                <w:b w:val="0"/>
                <w:i w:val="0"/>
                <w:sz w:val="20"/>
                <w:lang w:val="ar-SA" w:bidi="ar-SA"/>
              </w:rPr>
              <w:t>الملاحق: توزيع المهام، مسرد المصطلحات، نص المشكلة</w:t>
            </w:r>
          </w:p>
        </w:tc>
        <w:tc>
          <w:tcPr>
            <w:tcW w:type="dxa" w:w="2510"/>
          </w:tcPr>
          <w:p>
            <w:pPr>
              <w:bidi/>
              <w:spacing w:after="20" w:before="20" w:line="264" w:lineRule="auto"/>
              <w:jc w:val="right"/>
            </w:pPr>
            <w:r>
              <w:rPr>
                <w:rFonts w:ascii="Arial" w:hAnsi="Arial" w:cs="Traditional Arabic" w:eastAsia="Traditional Arabic"/>
                <w:b w:val="0"/>
                <w:i w:val="0"/>
                <w:sz w:val="20"/>
                <w:lang w:val="ar-SA" w:bidi="ar-SA"/>
              </w:rPr>
              <w:t>مشتركة</w:t>
            </w:r>
          </w:p>
        </w:tc>
        <w:tc>
          <w:tcPr>
            <w:tcW w:type="dxa" w:w="1023"/>
          </w:tcPr>
          <w:p>
            <w:pPr>
              <w:bidi/>
              <w:spacing w:after="20" w:before="20" w:line="264" w:lineRule="auto"/>
              <w:jc w:val="right"/>
            </w:pPr>
            <w:r>
              <w:rPr>
                <w:rFonts w:ascii="Arial" w:hAnsi="Arial" w:cs="Traditional Arabic" w:eastAsia="Traditional Arabic"/>
                <w:b w:val="0"/>
                <w:i w:val="0"/>
                <w:sz w:val="20"/>
                <w:lang w:val="ar-SA" w:bidi="ar-SA"/>
              </w:rPr>
              <w:t>14</w:t>
            </w:r>
          </w:p>
        </w:tc>
      </w:tr>
    </w:tbl>
    <w:p>
      <w:pPr>
        <w:spacing w:after="40"/>
      </w:pPr>
    </w:p>
    <w:p>
      <w:r>
        <w:br w:type="page"/>
      </w:r>
    </w:p>
    <w:p>
      <w:pPr>
        <w:keepNext/>
        <w:bidi/>
        <w:spacing w:before="200" w:after="160" w:line="276" w:lineRule="auto"/>
        <w:jc w:val="right"/>
      </w:pPr>
      <w:r>
        <w:rPr>
          <w:rFonts w:ascii="Arial" w:hAnsi="Arial" w:cs="Traditional Arabic" w:eastAsia="Traditional Arabic"/>
          <w:b/>
          <w:i w:val="0"/>
          <w:color w:val="1F4E79"/>
          <w:sz w:val="32"/>
          <w:lang w:val="ar-SA" w:bidi="ar-SA"/>
        </w:rPr>
        <w:t>1. إقرار بأصالة العمل وملاحظات منهجية</w:t>
      </w:r>
    </w:p>
    <w:p>
      <w:pPr>
        <w:bidi/>
        <w:spacing w:before="0" w:after="100" w:line="288" w:lineRule="auto"/>
        <w:ind w:firstLine="369"/>
        <w:jc w:val="both"/>
      </w:pPr>
      <w:r>
        <w:rPr>
          <w:rFonts w:ascii="Arial" w:hAnsi="Arial" w:cs="Traditional Arabic" w:eastAsia="Traditional Arabic"/>
          <w:b w:val="0"/>
          <w:i w:val="0"/>
          <w:sz w:val="25"/>
          <w:lang w:val="ar-SA" w:bidi="ar-SA"/>
        </w:rPr>
        <w:t>نُقرّ نحن الطالبين جان شادي عبود ووديع هيثم سلوم بأن هذه الوظيفة ثمرة جهد مشترك أصيل، أنجزناه خصيصاً لمادة «المدخل إلى علم الاجتماع» في الجامعة الافتراضية السورية، وأننا لم ننقل نصوصاً حرفياً من وظائف سابقة أو من مواد جاهزة. كل فكرة مقتبسة أُعيدت صياغتها بأسلوبنا الخاص، ثم أُتبعت بتعقيب تحليلي أو بمثال من واقعنا الدراسي والمهني والكشفي (حجاب، 1998، ص 47–48؛ حلاق، 2020، ص 178).</w:t>
      </w:r>
    </w:p>
    <w:p>
      <w:pPr>
        <w:bidi/>
        <w:spacing w:before="0" w:after="100" w:line="288" w:lineRule="auto"/>
        <w:ind w:firstLine="369"/>
        <w:jc w:val="both"/>
      </w:pPr>
      <w:r>
        <w:rPr>
          <w:rFonts w:ascii="Arial" w:hAnsi="Arial" w:cs="Traditional Arabic" w:eastAsia="Traditional Arabic"/>
          <w:b w:val="0"/>
          <w:i w:val="0"/>
          <w:sz w:val="25"/>
          <w:lang w:val="ar-SA" w:bidi="ar-SA"/>
        </w:rPr>
        <w:t>وقد التزمنا في التوثيق بالنظام الداخلي في المتن على الصيغة (اسم المؤلف، سنة النشر، رقم الصفحة)، مع إفراد قائمة كاملة للمصادر والمراجع في نهاية البحث مُرتَّبة أبجدياً وفق نظام APA. أمّا ملاحظاتنا الميدانية في مجالات البرمجيات والشبكات والعمل المصرفي والحركة الكشفية، فهي خبرات شخصية نُشير إليها صراحةً بعبارة «من ملاحظات الباحث»، ولا نُلبسها لباس البيانات الإحصائية العامة (عبد الحميد، 2005، ص 21).</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١.  </w:t>
      </w:r>
      <w:r>
        <w:rPr>
          <w:rFonts w:ascii="Arial" w:hAnsi="Arial" w:cs="Traditional Arabic" w:eastAsia="Traditional Arabic"/>
          <w:b w:val="0"/>
          <w:i w:val="0"/>
          <w:sz w:val="24"/>
          <w:lang w:val="ar-SA" w:bidi="ar-SA"/>
        </w:rPr>
        <w:t>أرقام الصفحات الواردة في المتن تخص الطبعات المثبتة في مسرد المراجع، وقد تختلف قليلاً باختلاف الطبعة أو النسخة الإلكترونية؛ لذلك أثبتنا بيانات النشر كاملة.</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٢.  </w:t>
      </w:r>
      <w:r>
        <w:rPr>
          <w:rFonts w:ascii="Arial" w:hAnsi="Arial" w:cs="Traditional Arabic" w:eastAsia="Traditional Arabic"/>
          <w:b w:val="0"/>
          <w:i w:val="0"/>
          <w:sz w:val="24"/>
          <w:lang w:val="ar-SA" w:bidi="ar-SA"/>
        </w:rPr>
        <w:t>عند الاقتباس من صفحات إلكترونية غير مرقّمة، أشرنا إلى عنوان القسم أو إلى صفحة النسخة المطبوعة المحفوظة لدى الباحثين بتاريخ 20 / 10 / 2026.</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٣.  </w:t>
      </w:r>
      <w:r>
        <w:rPr>
          <w:rFonts w:ascii="Arial" w:hAnsi="Arial" w:cs="Traditional Arabic" w:eastAsia="Traditional Arabic"/>
          <w:b w:val="0"/>
          <w:i w:val="0"/>
          <w:sz w:val="24"/>
          <w:lang w:val="ar-SA" w:bidi="ar-SA"/>
        </w:rPr>
        <w:t>اعتمدنا المنهج الوصفي التحليلي، مع قراءة مقارنة بين المصادر العربية والمراجع الأجنبية الكلاسيكية، ثم ربط النتائج بالواقع السوري المعاصر وببيئة العمل التقني والمصرفي.</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٤.  </w:t>
      </w:r>
      <w:r>
        <w:rPr>
          <w:rFonts w:ascii="Arial" w:hAnsi="Arial" w:cs="Traditional Arabic" w:eastAsia="Traditional Arabic"/>
          <w:b w:val="0"/>
          <w:i w:val="0"/>
          <w:sz w:val="24"/>
          <w:lang w:val="ar-SA" w:bidi="ar-SA"/>
        </w:rPr>
        <w:t>قُسّم العمل على النحو الآتي: جان شادي عبود (المقدمة العامة، السؤالان الأول والثاني، السؤال الثالث)؛ وديع هيثم سلوم (السؤالان الرابع والخامس، الخاتمة والتوصيات)؛ والمراجع والملاحق والتنسيق النهائي عمل مشترك بينهما.</w:t>
      </w:r>
    </w:p>
    <w:p>
      <w:pPr>
        <w:keepNext/>
        <w:bidi/>
        <w:spacing w:before="200" w:after="160" w:line="276" w:lineRule="auto"/>
        <w:jc w:val="right"/>
      </w:pPr>
      <w:r>
        <w:rPr>
          <w:rFonts w:ascii="Arial" w:hAnsi="Arial" w:cs="Traditional Arabic" w:eastAsia="Traditional Arabic"/>
          <w:b/>
          <w:i w:val="0"/>
          <w:color w:val="1F4E79"/>
          <w:sz w:val="32"/>
          <w:lang w:val="ar-SA" w:bidi="ar-SA"/>
        </w:rPr>
        <w:t>2. المقدمة العامة للبحث</w:t>
      </w:r>
    </w:p>
    <w:p>
      <w:pPr>
        <w:bidi/>
        <w:spacing w:before="0" w:after="120" w:line="276" w:lineRule="auto"/>
        <w:jc w:val="center"/>
      </w:pPr>
      <w:r>
        <w:rPr>
          <w:rFonts w:ascii="Arial" w:hAnsi="Arial" w:cs="Traditional Arabic" w:eastAsia="Traditional Arabic"/>
          <w:b/>
          <w:i w:val="0"/>
          <w:color w:val="1F4E79"/>
          <w:sz w:val="24"/>
          <w:lang w:val="ar-SA" w:bidi="ar-SA"/>
        </w:rPr>
        <w:t>بقلم الطالب: جان شادي عبود — jan_436439</w:t>
      </w:r>
    </w:p>
    <w:p>
      <w:pPr>
        <w:bidi/>
        <w:spacing w:before="0" w:after="100" w:line="288" w:lineRule="auto"/>
        <w:ind w:firstLine="369"/>
        <w:jc w:val="both"/>
      </w:pPr>
      <w:r>
        <w:rPr>
          <w:rFonts w:ascii="Arial" w:hAnsi="Arial" w:cs="Traditional Arabic" w:eastAsia="Traditional Arabic"/>
          <w:b w:val="0"/>
          <w:i w:val="0"/>
          <w:sz w:val="25"/>
          <w:lang w:val="ar-SA" w:bidi="ar-SA"/>
        </w:rPr>
        <w:t>يشهد عالمنا المعاصر تحوّلاً مزدوجاً: تحوّلٌ في مستوى الوعي، وآخر في أدوات التعبير عنه. فلم يعد التعليم امتيازاً حكراً على قلة، بل صار مساراً واسعاً يرفع قدرة المواطن على قراءة القضايا العامة وفهم أبعادها؛ ولم تعد وسائل الاتصال قناةً واحدة تتحدّث إلى جمهور صامت، بل صارت شبكةً متشابكة يتحدّث فيها الجميع إلى الجميع. وبين هذين التحوّلين، تبدو دراسة الرأي العام ضرورةً علمية وعملية في آنٍ واحد؛ إذ إن معرفة ما يفكّر فيه الناس صارت شرطاً لحُسن التخطيط، تماماً كما أن معرفة حركة البيانات في شبكة ما شرطٌ لإدارة سعتها وتأمينها (حلاق، 2020، ص 178–180؛ مكومبس وشو، 1972، ص 176).</w:t>
      </w:r>
    </w:p>
    <w:tbl>
      <w:tblPr>
        <w:tblW w:type="auto" w:w="0"/>
        <w:jc w:val="center"/>
        <w:tblLayout w:type="fixed"/>
        <w:tblLook w:firstColumn="1" w:firstRow="1" w:lastColumn="0" w:lastRow="0" w:noHBand="0" w:noVBand="1" w:val="04A0"/>
      </w:tblPr>
      <w:tblGrid>
        <w:gridCol w:w="9298"/>
      </w:tblGrid>
      <w:tr>
        <w:tc>
          <w:tcPr>
            <w:tcW w:type="dxa" w:w="9298"/>
            <w:tcBorders>
              <w:right w:val="single" w:sz="24" w:color="BF9000"/>
            </w:tcBorders>
            <w:shd w:val="clear" w:color="auto" w:fill="F7F4EA"/>
          </w:tcPr>
          <w:p>
            <w:pPr>
              <w:bidi/>
              <w:spacing w:after="60"/>
              <w:jc w:val="right"/>
            </w:pPr>
            <w:r>
              <w:rPr>
                <w:rFonts w:ascii="Arial" w:hAnsi="Arial" w:cs="Traditional Arabic" w:eastAsia="Traditional Arabic"/>
                <w:b/>
                <w:i w:val="0"/>
                <w:color w:val="BF9000"/>
                <w:sz w:val="23"/>
                <w:lang w:val="ar-SA" w:bidi="ar-SA"/>
              </w:rPr>
              <w:t xml:space="preserve">مشكلة البحث الرئيسة كما وردت في تكليف الوظيفة الأولى : </w:t>
            </w:r>
          </w:p>
          <w:p>
            <w:pPr>
              <w:bidi/>
              <w:spacing w:line="288" w:lineRule="auto" w:after="40"/>
              <w:jc w:val="both"/>
            </w:pPr>
            <w:r>
              <w:rPr>
                <w:rFonts w:ascii="Arial" w:hAnsi="Arial" w:cs="Traditional Arabic" w:eastAsia="Traditional Arabic"/>
                <w:b w:val="0"/>
                <w:i w:val="0"/>
                <w:sz w:val="22"/>
                <w:lang w:val="ar-SA" w:bidi="ar-SA"/>
              </w:rPr>
              <w:t>يرى بعض الباحثين أن ارتفاع مستوى التعليم وانتشاره، الأمر الذي زاد من قدرة الشعوب والمواطنين على فهم القضايا العامة، بالإضافة إلى تطور وسائل الاتصال وزيادة الاحتكاك والتواصل بين الشعوب، والتغيرات التي حصلت على الصعيد الاقتصادي، قد جعلت دراسات الرأي العام ضرورية لتوسيع الإنتاج والتخطيط الاقتصادي.</w:t>
            </w:r>
          </w:p>
        </w:tc>
      </w:tr>
    </w:tbl>
    <w:p>
      <w:pPr>
        <w:spacing w:after="40"/>
      </w:pPr>
    </w:p>
    <w:p>
      <w:pPr>
        <w:bidi/>
        <w:spacing w:before="0" w:after="100" w:line="288" w:lineRule="auto"/>
        <w:ind w:firstLine="369"/>
        <w:jc w:val="both"/>
      </w:pPr>
      <w:r>
        <w:rPr>
          <w:rFonts w:ascii="Arial" w:hAnsi="Arial" w:cs="Traditional Arabic" w:eastAsia="Traditional Arabic"/>
          <w:b w:val="0"/>
          <w:i w:val="0"/>
          <w:sz w:val="25"/>
          <w:lang w:val="ar-SA" w:bidi="ar-SA"/>
        </w:rPr>
        <w:t>تنطوي هذه المشكلة على فكرة مركزية مفادها أن الرأي العام لم يعد «صدى» للأحداث، بل صار «مُدخِلاً» في صناعتها. فالمواطن المتعلّم يُحسِن طرح السؤال، ووسيلة الاتصال الحديثة تُسرّع تداول الإجابة، والتحوّل الاقتصادي يجعل من قياس هذا التداول أداةً لتوقّع الطلب وتوجيه الإنتاج. وقد خلص استطلاع «المؤشر العربي في سورية 2025» — وهو من أكبر الاستطلاعات الميدانية التي أُجريت في البلاد — إلى أن 78% من السوريين يستخدمون الإنترنت بدرجات متفاوتة، وأن 98% من مستخدميه يملكون حساباً على إحدى منصات التواصل؛ وهي أرقام تُظهر حجم الفضاء الذي يتشكّل فيه الرأي اليوم (المركز العربي، 2025، قسم «التفاعل في المجال الافتراضي»).</w:t>
      </w:r>
    </w:p>
    <w:p>
      <w:pPr>
        <w:bidi/>
        <w:spacing w:before="0" w:after="100" w:line="288" w:lineRule="auto"/>
        <w:ind w:firstLine="369"/>
        <w:jc w:val="both"/>
      </w:pPr>
      <w:r>
        <w:rPr>
          <w:rFonts w:ascii="Arial" w:hAnsi="Arial" w:cs="Traditional Arabic" w:eastAsia="Traditional Arabic"/>
          <w:b w:val="0"/>
          <w:i w:val="0"/>
          <w:sz w:val="25"/>
          <w:lang w:val="ar-SA" w:bidi="ar-SA"/>
        </w:rPr>
        <w:t>وتتفرّع عن المشكلة الرئيسة خمسة أسئلة: (1) ما تعريف الرأي العام؟ (2) ما خصائصه؟ (3) ما النظريات التي تفسّر تشكّله؟ (4) ما خلفيته الثقافية والنفسية والاجتماعية؟ (5) ما علاقته بالسياسة الاقتصادية للبلد؟ وقد حاولنا أن نجيب عنها بلغة عربية فصيحة قريبة من القارئ، مع ربط كل فكرة بمثال حيّ. ونظراً لدراستنا في برنامج تقانات المعلومات بعد تخرّجنا من المعهد التقاني للحاسوب، ولعملنا اليومي — أنا في تطوير البرمجيات والشبكات، وزميلي وديع في تقانة المعلومات المصرفية — فقد حرصنا على قراءة الرأي العام بوصفه «نظاماً اتصالياً» قبل أن نقرأه بوصفه «مصطلحاً سياسياً» (ليبمان، 1922، ص 3–12؛ بلومر، 1948، ص 542).</w:t>
      </w:r>
    </w:p>
    <w:p>
      <w:pPr>
        <w:bidi/>
        <w:spacing w:before="0" w:after="100" w:line="288" w:lineRule="auto"/>
        <w:ind w:firstLine="369"/>
        <w:jc w:val="both"/>
      </w:pPr>
      <w:r>
        <w:rPr>
          <w:rFonts w:ascii="Arial" w:hAnsi="Arial" w:cs="Traditional Arabic" w:eastAsia="Traditional Arabic"/>
          <w:b w:val="0"/>
          <w:i w:val="0"/>
          <w:sz w:val="25"/>
          <w:lang w:val="ar-SA" w:bidi="ar-SA"/>
        </w:rPr>
        <w:t>أمّا خبرتنا المشتركة في العمل الكشفي، وإنْ كنّا في فوجين مختلفين، فقد منحتنا مختبراً ميدانياً صغيراً لفهم ديناميكية الجماعات: كيف يولد الرأي داخل حلقة النار، وكيف يوجّه القائد النقاش دون أن يفرضه، وكيف يصمت العضو حين يشعر أن رأيه خارج الإجماع. هذه الملاحظات — وهي من ملاحظات الباحثين — حضرت في ثنايا البحث بوصفها شواهد تفسيرية لا بوصفها تعميماً إحصائياً (كاتس ولازارسفيلد، 1955، ص 3؛ نويل نيومان، 1974، ص 43).</w:t>
      </w:r>
    </w:p>
    <w:p>
      <w:r>
        <w:br w:type="page"/>
      </w:r>
    </w:p>
    <w:p>
      <w:pPr>
        <w:keepNext/>
        <w:bidi/>
        <w:spacing w:before="200" w:after="160" w:line="276" w:lineRule="auto"/>
        <w:jc w:val="right"/>
      </w:pPr>
      <w:r>
        <w:rPr>
          <w:rFonts w:ascii="Arial" w:hAnsi="Arial" w:cs="Traditional Arabic" w:eastAsia="Traditional Arabic"/>
          <w:b/>
          <w:i w:val="0"/>
          <w:color w:val="1F4E79"/>
          <w:sz w:val="32"/>
          <w:lang w:val="ar-SA" w:bidi="ar-SA"/>
        </w:rPr>
        <w:t>القسم الأول</w:t>
      </w:r>
    </w:p>
    <w:p>
      <w:pPr>
        <w:bidi/>
        <w:spacing w:before="0" w:after="120" w:line="276" w:lineRule="auto"/>
        <w:jc w:val="center"/>
      </w:pPr>
      <w:r>
        <w:rPr>
          <w:rFonts w:ascii="Arial" w:hAnsi="Arial" w:cs="Traditional Arabic" w:eastAsia="Traditional Arabic"/>
          <w:b/>
          <w:i w:val="0"/>
          <w:color w:val="1F4E79"/>
          <w:sz w:val="30"/>
          <w:lang w:val="ar-SA" w:bidi="ar-SA"/>
        </w:rPr>
        <w:t>المقدمة العامة والإجابة عن الأسئلة (1، 2، 3)</w:t>
      </w:r>
    </w:p>
    <w:p>
      <w:pPr>
        <w:bidi/>
        <w:spacing w:before="0" w:after="120" w:line="276" w:lineRule="auto"/>
        <w:jc w:val="center"/>
      </w:pPr>
      <w:r>
        <w:rPr>
          <w:rFonts w:ascii="Arial" w:hAnsi="Arial" w:cs="Traditional Arabic" w:eastAsia="Traditional Arabic"/>
          <w:b/>
          <w:i w:val="0"/>
          <w:sz w:val="24"/>
          <w:lang w:val="ar-SA" w:bidi="ar-SA"/>
        </w:rPr>
        <w:t>من إعداد الطالب: جان شادي عبود — الرقم الجامعي: jan_436439</w:t>
      </w:r>
    </w:p>
    <w:tbl>
      <w:tblPr>
        <w:tblW w:type="auto" w:w="0"/>
        <w:jc w:val="center"/>
        <w:tblLayout w:type="fixed"/>
        <w:tblLook w:firstColumn="1" w:firstRow="1" w:lastColumn="0" w:lastRow="0" w:noHBand="0" w:noVBand="1" w:val="04A0"/>
      </w:tblPr>
      <w:tblGrid>
        <w:gridCol w:w="9298"/>
      </w:tblGrid>
      <w:tr>
        <w:tc>
          <w:tcPr>
            <w:tcW w:type="dxa" w:w="9298"/>
            <w:tcBorders>
              <w:right w:val="single" w:sz="24" w:color="2E74B5"/>
            </w:tcBorders>
            <w:shd w:val="clear" w:color="auto" w:fill="EAF1F8"/>
          </w:tcPr>
          <w:p>
            <w:pPr>
              <w:bidi/>
              <w:spacing w:after="60"/>
              <w:jc w:val="right"/>
            </w:pPr>
            <w:r>
              <w:rPr>
                <w:rFonts w:ascii="Arial" w:hAnsi="Arial" w:cs="Traditional Arabic" w:eastAsia="Traditional Arabic"/>
                <w:b/>
                <w:i w:val="0"/>
                <w:color w:val="2E74B5"/>
                <w:sz w:val="23"/>
                <w:lang w:val="ar-SA" w:bidi="ar-SA"/>
              </w:rPr>
              <w:t xml:space="preserve">بصمة الباحث : </w:t>
            </w:r>
          </w:p>
          <w:p>
            <w:pPr>
              <w:bidi/>
              <w:spacing w:line="288" w:lineRule="auto" w:after="40"/>
              <w:jc w:val="both"/>
            </w:pPr>
            <w:r>
              <w:rPr>
                <w:rFonts w:ascii="Arial" w:hAnsi="Arial" w:cs="Traditional Arabic" w:eastAsia="Traditional Arabic"/>
                <w:b w:val="0"/>
                <w:i w:val="0"/>
                <w:sz w:val="22"/>
                <w:lang w:val="ar-SA" w:bidi="ar-SA"/>
              </w:rPr>
              <w:t>أكتب هذا القسم بعقلية من يبني الأنظمة ويصلح أعطالها: أبدأ بالتعريف كما يبدأ المطوّر بتحديد نوع البيانات، ثم أفكّك الخصائص كما يفكّك مهندس الشبكة مواصفات البروتوكول، ثم أستعرض النظريات كما تُستعرض خوارزميات التوجيه. وستجدون في كل مبحث تعقيباً أربط فيه الفكرة بالفضاء الرقمي أو بفوجنا الكشفي.</w:t>
            </w:r>
          </w:p>
        </w:tc>
      </w:tr>
    </w:tbl>
    <w:p>
      <w:pPr>
        <w:spacing w:after="40"/>
      </w:pPr>
    </w:p>
    <w:p>
      <w:pPr>
        <w:keepNext/>
        <w:bidi/>
        <w:spacing w:before="200" w:after="120" w:line="276" w:lineRule="auto"/>
        <w:jc w:val="right"/>
      </w:pPr>
      <w:r>
        <w:rPr>
          <w:rFonts w:ascii="Arial" w:hAnsi="Arial" w:cs="Traditional Arabic" w:eastAsia="Traditional Arabic"/>
          <w:b/>
          <w:i w:val="0"/>
          <w:color w:val="2E74B5"/>
          <w:sz w:val="28"/>
          <w:lang w:val="ar-SA" w:bidi="ar-SA"/>
        </w:rPr>
        <w:t>المبحث الأول: تعريف الرأي العام</w:t>
      </w:r>
    </w:p>
    <w:p>
      <w:pPr>
        <w:keepNext/>
        <w:bidi/>
        <w:spacing w:before="160" w:after="80" w:line="276" w:lineRule="auto"/>
        <w:jc w:val="right"/>
      </w:pPr>
      <w:r>
        <w:rPr>
          <w:rFonts w:ascii="Arial" w:hAnsi="Arial" w:cs="Traditional Arabic" w:eastAsia="Traditional Arabic"/>
          <w:b/>
          <w:i w:val="0"/>
          <w:color w:val="1F3864"/>
          <w:sz w:val="25"/>
          <w:lang w:val="ar-SA" w:bidi="ar-SA"/>
        </w:rPr>
        <w:t>أولاً: الدلالة اللغوية</w:t>
      </w:r>
    </w:p>
    <w:p>
      <w:pPr>
        <w:bidi/>
        <w:spacing w:before="0" w:after="100" w:line="288" w:lineRule="auto"/>
        <w:ind w:firstLine="369"/>
        <w:jc w:val="both"/>
      </w:pPr>
      <w:r>
        <w:rPr>
          <w:rFonts w:ascii="Arial" w:hAnsi="Arial" w:cs="Traditional Arabic" w:eastAsia="Traditional Arabic"/>
          <w:b w:val="0"/>
          <w:i w:val="0"/>
          <w:sz w:val="25"/>
          <w:lang w:val="ar-SA" w:bidi="ar-SA"/>
        </w:rPr>
        <w:t>الرأي في العربية مصدرٌ للفعل «رأى يَرى»، ويأتي بمعنى الاعتقاد والنظر والتأمّل والتدبّر، وجمعه «آراء»؛ ويستعمله الأصوليون بمعنى استنباط الحكم في ضوء قواعد مقرّرة. أمّا «العام» فمن العموم والشمول، أي ما يتجاوز الفرد والخاص إلى الجماعة. فيكون «الرأي العام» — في أبسط دلالته اللغوية — هو الاعتقاد أو التقدير الذي يشيع بين عامة الناس لا بين فرد بعينه، وهو ما يقابله في الإنكليزية تعبير Public Opinion الذي استقرّ اصطلاحاً في أواخر القرن الثامن عشر مع صعود الصحافة والمجالس النيابية (حلاق، 2020، ص 7–8؛ مجاهد، 2010، ص 14).</w:t>
      </w:r>
    </w:p>
    <w:p>
      <w:pPr>
        <w:bidi/>
        <w:spacing w:before="0" w:after="100" w:line="288" w:lineRule="auto"/>
        <w:ind w:firstLine="369"/>
        <w:jc w:val="both"/>
      </w:pPr>
      <w:r>
        <w:rPr>
          <w:rFonts w:ascii="Arial" w:hAnsi="Arial" w:cs="Traditional Arabic" w:eastAsia="Traditional Arabic"/>
          <w:b w:val="0"/>
          <w:i w:val="0"/>
          <w:sz w:val="25"/>
          <w:lang w:val="ar-SA" w:bidi="ar-SA"/>
        </w:rPr>
        <w:t>ويلاحظ أن انتقال الكلمة من «رؤية العين» إلى «رؤية العقل» ليس انتقالاً مجازياً عابراً، بل هو مفتاحٌ لفهم الظاهرة كلها: فالناس لا يتصرّفون وفق الوقائع كما هي، بل وفق ما «يرونه» منها؛ أي وفق صورة ذهنية تُبنى بالمعلومة والتجربة والرواية المتداولة. وهذا بالضبط ما جعل والتر ليبمان يضع يده على الفارق بين «العالم في الخارج» و«الصور التي في رؤوسنا» (ليبمان، 1922، ص 3–12).</w:t>
      </w:r>
    </w:p>
    <w:p>
      <w:pPr>
        <w:keepNext/>
        <w:bidi/>
        <w:spacing w:before="160" w:after="80" w:line="276" w:lineRule="auto"/>
        <w:jc w:val="right"/>
      </w:pPr>
      <w:r>
        <w:rPr>
          <w:rFonts w:ascii="Arial" w:hAnsi="Arial" w:cs="Traditional Arabic" w:eastAsia="Traditional Arabic"/>
          <w:b/>
          <w:i w:val="0"/>
          <w:color w:val="1F3864"/>
          <w:sz w:val="25"/>
          <w:lang w:val="ar-SA" w:bidi="ar-SA"/>
        </w:rPr>
        <w:t>ثانياً: الدلالة الاصطلاحية عند أبرز الباحثين</w:t>
      </w:r>
    </w:p>
    <w:p>
      <w:pPr>
        <w:bidi/>
        <w:spacing w:before="0" w:after="100" w:line="288" w:lineRule="auto"/>
        <w:ind w:firstLine="369"/>
        <w:jc w:val="both"/>
      </w:pPr>
      <w:r>
        <w:rPr>
          <w:rFonts w:ascii="Arial" w:hAnsi="Arial" w:cs="Traditional Arabic" w:eastAsia="Traditional Arabic"/>
          <w:b w:val="0"/>
          <w:i w:val="0"/>
          <w:sz w:val="25"/>
          <w:lang w:val="ar-SA" w:bidi="ar-SA"/>
        </w:rPr>
        <w:t>أمّا اصطلاحاً فالآراء تتعدّد بتعدّد الزاوية التي ينظر منها الباحث. يعرّفه مختار التهامي بأنه الرأي السائد لدى الغالبية الواعية من الشعب، في فترة زمنية محدّدة، إزاء قضية أو أكثر يحتدم حولها الجدل وتمسّ مصالح تلك الغالبية أو قيمها، وسواءً أُعلن هذا الرأي صراحةً أم ظلّ تعبيراً ضمنياً عنه. وأهمّ ما في هذا التعريف أنه يُخرج المعتقدات الموروثة الجامدة من دائرة الرأي العام؛ لأنها لا تُثار للنقاش أصلاً (التهامي، 1979، ص 48؛ حلاق، 2020، ص 12).</w:t>
      </w:r>
    </w:p>
    <w:p>
      <w:pPr>
        <w:bidi/>
        <w:spacing w:before="0" w:after="100" w:line="288" w:lineRule="auto"/>
        <w:ind w:firstLine="369"/>
        <w:jc w:val="both"/>
      </w:pPr>
      <w:r>
        <w:rPr>
          <w:rFonts w:ascii="Arial" w:hAnsi="Arial" w:cs="Traditional Arabic" w:eastAsia="Traditional Arabic"/>
          <w:b w:val="0"/>
          <w:i w:val="0"/>
          <w:sz w:val="25"/>
          <w:lang w:val="ar-SA" w:bidi="ar-SA"/>
        </w:rPr>
        <w:t>ويُعرّفه فيليبس ديفيسون — في ما ينقله صالح أبو إصبع — بأنه مجموعة آراء الأفراد حول قضية تمسّ المصالح العامة، ولها تأثيرها في سلوك الأفراد والجماعات وسياسات الحكومات. أمّا محمد منير حجاب فيركّز على كونه اتجاهاً جماعياً يولد من تفاعل الآراء حول أمر عام مطروح، بحيث يكون للرأي الغالب ثقلٌ في توجيه القرار. ويُكمل عاطف عدلي العبد ذلك بالتنبيه إلى أن الرأي العام ظاهرةٌ متحرّكة، لا تُفهم بمعزل عن وسائل الإعلام وقياسها (أبو إصبع، 1995، ص 145؛ حجاب، 1998، ص 15؛ العبد، 2006، ص 81).</w:t>
      </w:r>
    </w:p>
    <w:p>
      <w:pPr>
        <w:bidi/>
        <w:spacing w:before="0" w:after="100" w:line="288" w:lineRule="auto"/>
        <w:ind w:firstLine="369"/>
        <w:jc w:val="both"/>
      </w:pPr>
      <w:r>
        <w:rPr>
          <w:rFonts w:ascii="Arial" w:hAnsi="Arial" w:cs="Traditional Arabic" w:eastAsia="Traditional Arabic"/>
          <w:b w:val="0"/>
          <w:i w:val="0"/>
          <w:sz w:val="25"/>
          <w:lang w:val="ar-SA" w:bidi="ar-SA"/>
        </w:rPr>
        <w:t>وعلى المستوى السوسيولوجي، حذّر فلويد أولبورت من التعامل مع الرأي العام بوصفه «روحاً للجماعة» أو كياناً فوق الأفراد؛ فالذي يمكن ملاحظته وقياسه إنما هو تعبيرات أفراد كثيرين إزاء موقف مشترك، لا كيانٌ غيبيّ مستقل. أمّا هربرت بلومر فقد رفض اختزال الظاهرة في «مجموع آراء فردية» تُجمعها استمارة استطلاع، وعدّها ناتجاً تفاعلياً يتشكّل في أثناء النقاش والتفاوض بين الجماعات، أي عمليةً اجتماعية لا حصيلةً حسابية. ويأتي يورغن هابرماس ليُضيف الشرط المعياري: الرأي العام، في صورته المثالية، هو نتاج نقاشٍ عقلانيّ نقديّ يجري في «مجال عام» تتكافأ فيه فرص التعبير (أولبورت، 1937، ص 7–23؛ بلومر، 1948، ص 542–549؛ هابرماس، 1989، ص 27–31).</w:t>
      </w:r>
    </w:p>
    <w:p>
      <w:pPr>
        <w:keepNext/>
        <w:bidi/>
        <w:spacing w:before="160" w:after="80" w:line="276" w:lineRule="auto"/>
        <w:jc w:val="right"/>
      </w:pPr>
      <w:r>
        <w:rPr>
          <w:rFonts w:ascii="Arial" w:hAnsi="Arial" w:cs="Traditional Arabic" w:eastAsia="Traditional Arabic"/>
          <w:b/>
          <w:i w:val="0"/>
          <w:color w:val="1F3864"/>
          <w:sz w:val="25"/>
          <w:lang w:val="ar-SA" w:bidi="ar-SA"/>
        </w:rPr>
        <w:t>ثالثاً: تعريف إجرائي وتعقيب تحليلي</w:t>
      </w:r>
    </w:p>
    <w:p>
      <w:pPr>
        <w:bidi/>
        <w:spacing w:before="0" w:after="100" w:line="288" w:lineRule="auto"/>
        <w:ind w:firstLine="369"/>
        <w:jc w:val="both"/>
      </w:pPr>
      <w:r>
        <w:rPr>
          <w:rFonts w:ascii="Arial" w:hAnsi="Arial" w:cs="Traditional Arabic" w:eastAsia="Traditional Arabic"/>
          <w:b w:val="0"/>
          <w:i w:val="0"/>
          <w:sz w:val="25"/>
          <w:lang w:val="ar-SA" w:bidi="ar-SA"/>
        </w:rPr>
        <w:t>بناءً على ما تقدّم، نُعرّف الرأي العام إجرائياً بأنه: «تعبيرٌ جمعيّ، معلَن أو قابل للإعلان، تصوغه جماعة واسعة من الناس عبر التفاعل حول قضية عامة تثير الاهتمام والخلاف، في سياق زمني ومكاني محدّدين، ويملك قدرةً على التأثير في سلوك الأفراد وقرارات المؤسسات، مع بقائه قابلاً للتغيّر والقياس». ونفرّق هنا بين الرأي العام و«المعتقد» (أعمق وأكثر رسوخاً)، وبين «الاتجاه» (استعداد نفسي للتقييم)، وبين «الشائعة» (خبر مجهول المصدر ينتقل سريعاً في أوقات الغموض) (حلاق، 2020، ص 43؛ التهامي، 1979، ص 103؛ سراج، 1986، ص 33).</w:t>
      </w:r>
    </w:p>
    <w:p>
      <w:pPr>
        <w:bidi/>
        <w:spacing w:before="0" w:after="100" w:line="288" w:lineRule="auto"/>
        <w:ind w:firstLine="369"/>
        <w:jc w:val="both"/>
      </w:pPr>
      <w:r>
        <w:rPr>
          <w:rFonts w:ascii="Arial" w:hAnsi="Arial" w:cs="Traditional Arabic" w:eastAsia="Traditional Arabic"/>
          <w:b w:val="0"/>
          <w:i w:val="0"/>
          <w:sz w:val="25"/>
          <w:lang w:val="ar-SA" w:bidi="ar-SA"/>
        </w:rPr>
        <w:t>ومن زاويتي كمستقل أعمل في تطوير البرمجيات والشبكات، أرى أن الرأي العام يُشبه «حالة إجماع موزّع» في نظام لا مركزي: كل عقدة (مواطن) ترى جزءاً من الصورة، والرسائل تمرّ عبر عقد وسيطة (قادة الرأي)، وتصل بزمن تأخير مختلف، وقد تتعرّض لتشويش أو لحقن اصطناعي من حسابات آلية. بهذا المعنى، لا يكون الرأي العام «مجموعة آراء» فحسب، بل «بروتوكول تفاوض» مستمر على معنى الواقع؛ ولهذا يحتاج قياسه إلى منهجية صارمة لا إلى عدّ الإعجابات. (من ملاحظات الباحث، مستنداً إلى (ليبمان، 1922، ص 12؛ بلومر، 1948، ص 545).)</w:t>
      </w:r>
    </w:p>
    <w:p>
      <w:pPr>
        <w:keepNext/>
        <w:bidi/>
        <w:spacing w:before="200" w:after="120" w:line="276" w:lineRule="auto"/>
        <w:jc w:val="right"/>
      </w:pPr>
      <w:r>
        <w:rPr>
          <w:rFonts w:ascii="Arial" w:hAnsi="Arial" w:cs="Traditional Arabic" w:eastAsia="Traditional Arabic"/>
          <w:b/>
          <w:i w:val="0"/>
          <w:color w:val="2E74B5"/>
          <w:sz w:val="28"/>
          <w:lang w:val="ar-SA" w:bidi="ar-SA"/>
        </w:rPr>
        <w:t>المبحث الثاني: خصائص الرأي العام</w:t>
      </w:r>
    </w:p>
    <w:p>
      <w:pPr>
        <w:bidi/>
        <w:spacing w:before="0" w:after="100" w:line="288" w:lineRule="auto"/>
        <w:ind w:firstLine="369"/>
        <w:jc w:val="both"/>
      </w:pPr>
      <w:r>
        <w:rPr>
          <w:rFonts w:ascii="Arial" w:hAnsi="Arial" w:cs="Traditional Arabic" w:eastAsia="Traditional Arabic"/>
          <w:b w:val="0"/>
          <w:i w:val="0"/>
          <w:sz w:val="25"/>
          <w:lang w:val="ar-SA" w:bidi="ar-SA"/>
        </w:rPr>
        <w:t>تُجمِع الأدبيات على أن الرأي العام ليس كتلةً صمّاء، بل ظاهرة حيّة تُشبه — بتعبير مقرّر الجامعة الافتراضية السورية — «الريح: لا تراها، لكنك تحني لها الرأس». وفي ما يلي نستعرض أبرز خصائصها، مع مثال تقني أو كشفي لكل خاصية، لأن المثال عندنا هو الجسر بين النظرية والواقع (حلاق، 2020، ص 43؛ حجاب، 1998، ص 42).</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١.  </w:t>
      </w:r>
      <w:r>
        <w:rPr>
          <w:rFonts w:ascii="Arial" w:hAnsi="Arial" w:cs="Traditional Arabic" w:eastAsia="Traditional Arabic"/>
          <w:b w:val="0"/>
          <w:i w:val="0"/>
          <w:sz w:val="24"/>
          <w:lang w:val="ar-SA" w:bidi="ar-SA"/>
        </w:rPr>
        <w:t>الجماعية والتشاركية: لا يقوم رأي عام عند فرد واحد، بل عند جماعة؛ لكن الجماعية لا تعني الإجماع التام، فقد يكون الرأي السائد رأي أغلبية مع بقاء أقلية معارضة أو صامتة (حجاب، 1998، ص 42؛ التهامي، 1979، ص 48). فحين يقرّر فوجنا الكشفي موقع المخيم الصيفي، ويوافق اثنا عشر عضواً من أصل خمسة عشر ويصمت ثلاثة، فإن القرار يظلّ تعبيراً عن رأي عام داخل الجماعة، ولا يلزم أن يُجمع عليه الجميع. (من ملاحظات الباحث.)</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٢.  </w:t>
      </w:r>
      <w:r>
        <w:rPr>
          <w:rFonts w:ascii="Arial" w:hAnsi="Arial" w:cs="Traditional Arabic" w:eastAsia="Traditional Arabic"/>
          <w:b w:val="0"/>
          <w:i w:val="0"/>
          <w:sz w:val="24"/>
          <w:lang w:val="ar-SA" w:bidi="ar-SA"/>
        </w:rPr>
        <w:t>الارتباط بالوعي والإدراك: الرأي يوجد حين تُطرح القضية على وعي الناس؛ وكلما ارتفع مستوى التعليم زادت القدرة على تفكيك القضايا العامة — وهذا هو مغزى مشكلة بحثنا (حلاق، 2020، ص 43؛ تيشنور، 1970، ص 159–170). غير أن ارتفاع الوعي لا يكفي وحده؛ فالفجوة المعرفية تتسع حين تكون أدوات الوصول غير متكافئة، ولهذا لا تزال نسبة كبيرة من غير مستخدمي الإنترنت خارج النقاش الرقمي، إذ بلغ مستخدموه في سورية 78% وفق استطلاع 2025 (المركز العربي، 2025، قسم «التفاعل في المجال الافتراضي»).</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٣.  </w:t>
      </w:r>
      <w:r>
        <w:rPr>
          <w:rFonts w:ascii="Arial" w:hAnsi="Arial" w:cs="Traditional Arabic" w:eastAsia="Traditional Arabic"/>
          <w:b w:val="0"/>
          <w:i w:val="0"/>
          <w:sz w:val="24"/>
          <w:lang w:val="ar-SA" w:bidi="ar-SA"/>
        </w:rPr>
        <w:t>الجدلية والخلاف: لا رأي عام في المُسلّمات والبديهيات، بل في القضايا المثارة للنقاش؛ فالقضية كلما مستّ حياة الناس ومصالحهم احتدم الجدل حولها وتبلور رأي عام بشأنها (التهامي، 1979، ص 48). ومثاله التقني انقطاع خدمة الإنترنت عن حيّ بأكمله: ما دامت الخدمة تعمل فلا رأي، فإذا تعطّلت تحوّل الانقطاع إلى قضية عامة تُتناقل أخبارها وتُقارن رواياتها.</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٤.  </w:t>
      </w:r>
      <w:r>
        <w:rPr>
          <w:rFonts w:ascii="Arial" w:hAnsi="Arial" w:cs="Traditional Arabic" w:eastAsia="Traditional Arabic"/>
          <w:b w:val="0"/>
          <w:i w:val="0"/>
          <w:sz w:val="24"/>
          <w:lang w:val="ar-SA" w:bidi="ar-SA"/>
        </w:rPr>
        <w:t>العلنية والإفصاح: الرأي العام رأيٌ «سائد»، أي ظاهر أو قابل للظهور؛ غير أن جزءاً منه يبقى كامناً حين يخاف أصحابه العزلة، فتتولّد ظاهرة لولب الصمت (نويل نيومان، 1974، ص 43–51؛ زرن وبخاش، 2023، ص 250). وفي الشبكات الاجتماعية يظهر هذا جلياً: آلاف «المشاهدات» الصامتة تقابلها عشرات التعليقات، فلا يجوز أن نحكم على الرأي العام من التعليقات وحدها، خصوصاً أن 79% من مستخدمي المنصات في الاستطلاع السوري يرونها مجالاً جيداً للتعبير، بينما يراها 80% مكاناً لاختلاق الأخبار الزائفة (المركز العربي، 2025، قسم «التفاعل في المجال الافتراضي»).</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٥.  </w:t>
      </w:r>
      <w:r>
        <w:rPr>
          <w:rFonts w:ascii="Arial" w:hAnsi="Arial" w:cs="Traditional Arabic" w:eastAsia="Traditional Arabic"/>
          <w:b w:val="0"/>
          <w:i w:val="0"/>
          <w:sz w:val="24"/>
          <w:lang w:val="ar-SA" w:bidi="ar-SA"/>
        </w:rPr>
        <w:t>الديناميكية والتغيّر: الرأي العام ظاهرة سيّالة لا تثبت على حال؛ فالناس تغيّر مواقفها باختلاف المعلومات والأحداث والوقت، وهو ما يفسّر تبدّل الوسم الرائج على المنصات خلال ساعات (حجاب، 1998، ص 59؛ حلاق، 2020، ص 43). أمّا في الفوج الكشفي، فأحياناً يتغيّر رأي المجموعة في نشاطٍ ما بعد تجربة واحدة فاشلة، لأن التجربة المباشرة أقوى في تعديل الاتجاه من الوصف النظري. (من ملاحظات الباحث.)</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٦.  </w:t>
      </w:r>
      <w:r>
        <w:rPr>
          <w:rFonts w:ascii="Arial" w:hAnsi="Arial" w:cs="Traditional Arabic" w:eastAsia="Traditional Arabic"/>
          <w:b w:val="0"/>
          <w:i w:val="0"/>
          <w:sz w:val="24"/>
          <w:lang w:val="ar-SA" w:bidi="ar-SA"/>
        </w:rPr>
        <w:t>النسبية الزمانية والمكانية: الرأي العام مرتبط بسياقه الثقافي والاقتصادي والسياسي؛ فما كان مقبولاً قبل عقد قد يُرفض اليوم، وما يراه مجتمعٌ مصلحةً قد يراه آخر ضرراً (حجاب، 1998، ص 59؛ هوفستيد، 2001، ص 9). وتطبيقاً على ذلك، تختلف نظرة المتعاملين إلى الدفع الإلكتروني بين جيلٍ نشأ على النقد الورقي وجيلٍ نشأ على الهاتف الذكي، وإن كانا يعيشان في المدينة نفسها.</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٧.  </w:t>
      </w:r>
      <w:r>
        <w:rPr>
          <w:rFonts w:ascii="Arial" w:hAnsi="Arial" w:cs="Traditional Arabic" w:eastAsia="Traditional Arabic"/>
          <w:b w:val="0"/>
          <w:i w:val="0"/>
          <w:sz w:val="24"/>
          <w:lang w:val="ar-SA" w:bidi="ar-SA"/>
        </w:rPr>
        <w:t>الارتباط بالمصلحة والقيم: الرأي العام يتغذّى من المصالح المباشرة ومن منظومة القيم الجامعة، وهو لذلك لا يُفهم بمعزل عن البنية الاقتصادية ولا عن الخلفية الأخلاقية للمجتمع (سراج، 1986، ص 33؛ العبد، 2006، ص 81). فالرسوم المصرفية، أو سعر رغيف الخبز، أو جودة خدمة الكهرباء، ليست أرقاماً محايدة؛ إنها مُحفّزات رأي لأنها تمسّ الحياة اليومية مباشرة.</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٨.  </w:t>
      </w:r>
      <w:r>
        <w:rPr>
          <w:rFonts w:ascii="Arial" w:hAnsi="Arial" w:cs="Traditional Arabic" w:eastAsia="Traditional Arabic"/>
          <w:b w:val="0"/>
          <w:i w:val="0"/>
          <w:sz w:val="24"/>
          <w:lang w:val="ar-SA" w:bidi="ar-SA"/>
        </w:rPr>
        <w:t>التأثير والفاعلية: للرأي العام ثقلٌ حقيقي في توجيه القرار السياسي والاقتصادي، فهو يؤثر في اختيار القيادات، وفي رسم الخطط الحكومية، وفي إنجاح خطط التنمية أو إحباطها (حلاق، 2020، ص 38). وبتعبير تقني: الرأي العام هو «ضغطٌ على واجهة القرار»؛ فإن تجاهله النظامُ تراكمت الأخطاء حتى انفجرت أزمة ثقة، تماماً كما يتراكم الضغط على خادمٍ حتى يتوقّف عن الاستجابة.</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٩.  </w:t>
      </w:r>
      <w:r>
        <w:rPr>
          <w:rFonts w:ascii="Arial" w:hAnsi="Arial" w:cs="Traditional Arabic" w:eastAsia="Traditional Arabic"/>
          <w:b w:val="0"/>
          <w:i w:val="0"/>
          <w:sz w:val="24"/>
          <w:lang w:val="ar-SA" w:bidi="ar-SA"/>
        </w:rPr>
        <w:t>القابلية للقياس: من خصائصه الجوهرية أنه يمكن رصده وقياسه بأدوات مثل الاستفتاء ومسح الرأي العام وتحليل المضمون، شرط احترام قواعد العيّنة والصدق والثبات (مجاهد، 2010، ص 14؛ العبد، 2006، ص 200). وقد أثبت استطلاع «المؤشر العربي في سورية 2025» هذه القابلية عملياً بعيّنة طبقية عنقودية من 3690 مستجيباً وبمستوى ثقة 98% وهامش خطأ يتراوح بين ±2% و±3% (المركز العربي، 2025، قسم «الأوضاع العامة في سورية»).</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١٠.  </w:t>
      </w:r>
      <w:r>
        <w:rPr>
          <w:rFonts w:ascii="Arial" w:hAnsi="Arial" w:cs="Traditional Arabic" w:eastAsia="Traditional Arabic"/>
          <w:b w:val="0"/>
          <w:i w:val="0"/>
          <w:sz w:val="24"/>
          <w:lang w:val="ar-SA" w:bidi="ar-SA"/>
        </w:rPr>
        <w:t>التعدد والتنوّع: يتفرّع الرأي العام إلى وطني وعالمي وإلكتروني، وإلى رأي الأغلبية ورأي الأقلية، وإلى رأي معلن ورأي كامن، ولا يجوز اختزاله في رأي واحد (حلاق، 2020، ص 45؛ الرضا وعمار، 1998، ص 61). ومن هنا يحذّر الباحثون من مساواة «الرأي العام الإلكتروني» بالرأي العام الوطني؛ فالأول عيّنة غير ممثّلة في الغالب، والثاني يحتاج إلى مسح ميداني يصل إلى من لا يملكون اتصالاً بالإنترنت.</w:t>
      </w:r>
    </w:p>
    <w:p>
      <w:pPr>
        <w:keepNext/>
        <w:bidi/>
        <w:spacing w:before="120" w:after="80" w:line="288" w:lineRule="auto"/>
        <w:jc w:val="center"/>
      </w:pPr>
      <w:r>
        <w:rPr>
          <w:rFonts w:ascii="Arial" w:hAnsi="Arial" w:cs="Traditional Arabic" w:eastAsia="Traditional Arabic"/>
          <w:b/>
          <w:i w:val="0"/>
          <w:color w:val="1F4E79"/>
          <w:sz w:val="21"/>
          <w:lang w:val="ar-SA" w:bidi="ar-SA"/>
        </w:rPr>
        <w:t>جدول (1): خلاصة خصائص الرأي العام وأمثلتها — إعداد الباحث</w:t>
      </w:r>
    </w:p>
    <w:tbl>
      <w:tblPr>
        <w:tblStyle w:val="TableGrid"/>
        <w:bidiVisual/>
        <w:tblW w:type="auto" w:w="0"/>
        <w:jc w:val="center"/>
        <w:tblLayout w:type="fixed"/>
        <w:tblLook w:firstColumn="1" w:firstRow="1" w:lastColumn="0" w:lastRow="0" w:noHBand="0" w:noVBand="1" w:val="04A0"/>
      </w:tblPr>
      <w:tblGrid>
        <w:gridCol w:w="3099"/>
        <w:gridCol w:w="3099"/>
        <w:gridCol w:w="3099"/>
      </w:tblGrid>
      <w:tr>
        <w:tc>
          <w:tcPr>
            <w:tcW w:type="dxa" w:w="1860"/>
            <w:shd w:val="clear" w:color="auto" w:fill="DCE6F1"/>
          </w:tcPr>
          <w:p>
            <w:pPr>
              <w:bidi/>
              <w:spacing w:after="40" w:before="40"/>
              <w:jc w:val="center"/>
            </w:pPr>
            <w:r>
              <w:rPr>
                <w:rFonts w:ascii="Arial" w:hAnsi="Arial" w:cs="Traditional Arabic" w:eastAsia="Traditional Arabic"/>
                <w:b/>
                <w:i w:val="0"/>
                <w:color w:val="1F4E79"/>
                <w:sz w:val="20"/>
                <w:lang w:val="ar-SA" w:bidi="ar-SA"/>
              </w:rPr>
              <w:t>الخاصية</w:t>
            </w:r>
          </w:p>
        </w:tc>
        <w:tc>
          <w:tcPr>
            <w:tcW w:type="dxa" w:w="4091"/>
            <w:shd w:val="clear" w:color="auto" w:fill="DCE6F1"/>
          </w:tcPr>
          <w:p>
            <w:pPr>
              <w:bidi/>
              <w:spacing w:after="40" w:before="40"/>
              <w:jc w:val="center"/>
            </w:pPr>
            <w:r>
              <w:rPr>
                <w:rFonts w:ascii="Arial" w:hAnsi="Arial" w:cs="Traditional Arabic" w:eastAsia="Traditional Arabic"/>
                <w:b/>
                <w:i w:val="0"/>
                <w:color w:val="1F4E79"/>
                <w:sz w:val="20"/>
                <w:lang w:val="ar-SA" w:bidi="ar-SA"/>
              </w:rPr>
              <w:t>الدلالة المختصرة</w:t>
            </w:r>
          </w:p>
        </w:tc>
        <w:tc>
          <w:tcPr>
            <w:tcW w:type="dxa" w:w="3347"/>
            <w:shd w:val="clear" w:color="auto" w:fill="DCE6F1"/>
          </w:tcPr>
          <w:p>
            <w:pPr>
              <w:bidi/>
              <w:spacing w:after="40" w:before="40"/>
              <w:jc w:val="center"/>
            </w:pPr>
            <w:r>
              <w:rPr>
                <w:rFonts w:ascii="Arial" w:hAnsi="Arial" w:cs="Traditional Arabic" w:eastAsia="Traditional Arabic"/>
                <w:b/>
                <w:i w:val="0"/>
                <w:color w:val="1F4E79"/>
                <w:sz w:val="20"/>
                <w:lang w:val="ar-SA" w:bidi="ar-SA"/>
              </w:rPr>
              <w:t>شاهد تقني / كشفي</w:t>
            </w:r>
          </w:p>
        </w:tc>
      </w:tr>
      <w:tr>
        <w:tc>
          <w:tcPr>
            <w:tcW w:type="dxa" w:w="1860"/>
          </w:tcPr>
          <w:p>
            <w:pPr>
              <w:bidi/>
              <w:spacing w:after="20" w:before="20" w:line="264" w:lineRule="auto"/>
              <w:jc w:val="right"/>
            </w:pPr>
            <w:r>
              <w:rPr>
                <w:rFonts w:ascii="Arial" w:hAnsi="Arial" w:cs="Traditional Arabic" w:eastAsia="Traditional Arabic"/>
                <w:b w:val="0"/>
                <w:i w:val="0"/>
                <w:sz w:val="20"/>
                <w:lang w:val="ar-SA" w:bidi="ar-SA"/>
              </w:rPr>
              <w:t>الجماعية</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رأي جماعة لا رأي فرد، وبلا إجماع مشترط</w:t>
            </w:r>
          </w:p>
        </w:tc>
        <w:tc>
          <w:tcPr>
            <w:tcW w:type="dxa" w:w="3347"/>
          </w:tcPr>
          <w:p>
            <w:pPr>
              <w:bidi/>
              <w:spacing w:after="20" w:before="20" w:line="264" w:lineRule="auto"/>
              <w:jc w:val="right"/>
            </w:pPr>
            <w:r>
              <w:rPr>
                <w:rFonts w:ascii="Arial" w:hAnsi="Arial" w:cs="Traditional Arabic" w:eastAsia="Traditional Arabic"/>
                <w:b w:val="0"/>
                <w:i w:val="0"/>
                <w:sz w:val="20"/>
                <w:lang w:val="ar-SA" w:bidi="ar-SA"/>
              </w:rPr>
              <w:t>تصويت الفوج على موقع المخيم</w:t>
            </w:r>
          </w:p>
        </w:tc>
      </w:tr>
      <w:tr>
        <w:tc>
          <w:tcPr>
            <w:tcW w:type="dxa" w:w="186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الوعي</w:t>
            </w:r>
          </w:p>
        </w:tc>
        <w:tc>
          <w:tcPr>
            <w:tcW w:type="dxa" w:w="409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إدراك القضية شرطٌ لتكوين الرأي</w:t>
            </w:r>
          </w:p>
        </w:tc>
        <w:tc>
          <w:tcPr>
            <w:tcW w:type="dxa" w:w="3347"/>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الفجوة الرقمية تُقصي غير المتصلين</w:t>
            </w:r>
          </w:p>
        </w:tc>
      </w:tr>
      <w:tr>
        <w:tc>
          <w:tcPr>
            <w:tcW w:type="dxa" w:w="1860"/>
          </w:tcPr>
          <w:p>
            <w:pPr>
              <w:bidi/>
              <w:spacing w:after="20" w:before="20" w:line="264" w:lineRule="auto"/>
              <w:jc w:val="right"/>
            </w:pPr>
            <w:r>
              <w:rPr>
                <w:rFonts w:ascii="Arial" w:hAnsi="Arial" w:cs="Traditional Arabic" w:eastAsia="Traditional Arabic"/>
                <w:b w:val="0"/>
                <w:i w:val="0"/>
                <w:sz w:val="20"/>
                <w:lang w:val="ar-SA" w:bidi="ar-SA"/>
              </w:rPr>
              <w:t>الجدلية</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لا رأي بلا قضية خلافية</w:t>
            </w:r>
          </w:p>
        </w:tc>
        <w:tc>
          <w:tcPr>
            <w:tcW w:type="dxa" w:w="3347"/>
          </w:tcPr>
          <w:p>
            <w:pPr>
              <w:bidi/>
              <w:spacing w:after="20" w:before="20" w:line="264" w:lineRule="auto"/>
              <w:jc w:val="right"/>
            </w:pPr>
            <w:r>
              <w:rPr>
                <w:rFonts w:ascii="Arial" w:hAnsi="Arial" w:cs="Traditional Arabic" w:eastAsia="Traditional Arabic"/>
                <w:b w:val="0"/>
                <w:i w:val="0"/>
                <w:sz w:val="20"/>
                <w:lang w:val="ar-SA" w:bidi="ar-SA"/>
              </w:rPr>
              <w:t>انقطاع الشبكة يُولّد نقاشاً عاماً</w:t>
            </w:r>
          </w:p>
        </w:tc>
      </w:tr>
      <w:tr>
        <w:tc>
          <w:tcPr>
            <w:tcW w:type="dxa" w:w="186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العلنية</w:t>
            </w:r>
          </w:p>
        </w:tc>
        <w:tc>
          <w:tcPr>
            <w:tcW w:type="dxa" w:w="409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ظاهر أو كامن خوفاً من العزلة</w:t>
            </w:r>
          </w:p>
        </w:tc>
        <w:tc>
          <w:tcPr>
            <w:tcW w:type="dxa" w:w="3347"/>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مشاهدات صامتة مقابل تعليقات قليلة</w:t>
            </w:r>
          </w:p>
        </w:tc>
      </w:tr>
      <w:tr>
        <w:tc>
          <w:tcPr>
            <w:tcW w:type="dxa" w:w="1860"/>
          </w:tcPr>
          <w:p>
            <w:pPr>
              <w:bidi/>
              <w:spacing w:after="20" w:before="20" w:line="264" w:lineRule="auto"/>
              <w:jc w:val="right"/>
            </w:pPr>
            <w:r>
              <w:rPr>
                <w:rFonts w:ascii="Arial" w:hAnsi="Arial" w:cs="Traditional Arabic" w:eastAsia="Traditional Arabic"/>
                <w:b w:val="0"/>
                <w:i w:val="0"/>
                <w:sz w:val="20"/>
                <w:lang w:val="ar-SA" w:bidi="ar-SA"/>
              </w:rPr>
              <w:t>الديناميكية</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يتغيّر بالزمن والمعلومة</w:t>
            </w:r>
          </w:p>
        </w:tc>
        <w:tc>
          <w:tcPr>
            <w:tcW w:type="dxa" w:w="3347"/>
          </w:tcPr>
          <w:p>
            <w:pPr>
              <w:bidi/>
              <w:spacing w:after="20" w:before="20" w:line="264" w:lineRule="auto"/>
              <w:jc w:val="right"/>
            </w:pPr>
            <w:r>
              <w:rPr>
                <w:rFonts w:ascii="Arial" w:hAnsi="Arial" w:cs="Traditional Arabic" w:eastAsia="Traditional Arabic"/>
                <w:b w:val="0"/>
                <w:i w:val="0"/>
                <w:sz w:val="20"/>
                <w:lang w:val="ar-SA" w:bidi="ar-SA"/>
              </w:rPr>
              <w:t>تبدّل الوسم الرائج خلال ساعات</w:t>
            </w:r>
          </w:p>
        </w:tc>
      </w:tr>
      <w:tr>
        <w:tc>
          <w:tcPr>
            <w:tcW w:type="dxa" w:w="1860"/>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التأثير</w:t>
            </w:r>
          </w:p>
        </w:tc>
        <w:tc>
          <w:tcPr>
            <w:tcW w:type="dxa" w:w="409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يضغط على القرار والسياسات</w:t>
            </w:r>
          </w:p>
        </w:tc>
        <w:tc>
          <w:tcPr>
            <w:tcW w:type="dxa" w:w="3347"/>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ضغط تراكمي على واجهة القرار</w:t>
            </w:r>
          </w:p>
        </w:tc>
      </w:tr>
      <w:tr>
        <w:tc>
          <w:tcPr>
            <w:tcW w:type="dxa" w:w="1860"/>
          </w:tcPr>
          <w:p>
            <w:pPr>
              <w:bidi/>
              <w:spacing w:after="20" w:before="20" w:line="264" w:lineRule="auto"/>
              <w:jc w:val="right"/>
            </w:pPr>
            <w:r>
              <w:rPr>
                <w:rFonts w:ascii="Arial" w:hAnsi="Arial" w:cs="Traditional Arabic" w:eastAsia="Traditional Arabic"/>
                <w:b w:val="0"/>
                <w:i w:val="0"/>
                <w:sz w:val="20"/>
                <w:lang w:val="ar-SA" w:bidi="ar-SA"/>
              </w:rPr>
              <w:t>القياس</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يُرصد بأدوات منهجية</w:t>
            </w:r>
          </w:p>
        </w:tc>
        <w:tc>
          <w:tcPr>
            <w:tcW w:type="dxa" w:w="3347"/>
          </w:tcPr>
          <w:p>
            <w:pPr>
              <w:bidi/>
              <w:spacing w:after="20" w:before="20" w:line="264" w:lineRule="auto"/>
              <w:jc w:val="right"/>
            </w:pPr>
            <w:r>
              <w:rPr>
                <w:rFonts w:ascii="Arial" w:hAnsi="Arial" w:cs="Traditional Arabic" w:eastAsia="Traditional Arabic"/>
                <w:b w:val="0"/>
                <w:i w:val="0"/>
                <w:sz w:val="20"/>
                <w:lang w:val="ar-SA" w:bidi="ar-SA"/>
              </w:rPr>
              <w:t>عيّنة 3690 وهامش خطأ ±2–3%</w:t>
            </w:r>
          </w:p>
        </w:tc>
      </w:tr>
    </w:tbl>
    <w:p>
      <w:pPr>
        <w:spacing w:after="40"/>
      </w:pPr>
    </w:p>
    <w:p>
      <w:pPr>
        <w:bidi/>
        <w:spacing w:before="0" w:after="100" w:line="288" w:lineRule="auto"/>
        <w:ind w:firstLine="369"/>
        <w:jc w:val="both"/>
      </w:pPr>
      <w:r>
        <w:rPr>
          <w:rFonts w:ascii="Arial" w:hAnsi="Arial" w:cs="Traditional Arabic" w:eastAsia="Traditional Arabic"/>
          <w:b w:val="0"/>
          <w:i w:val="0"/>
          <w:sz w:val="25"/>
          <w:lang w:val="ar-SA" w:bidi="ar-SA"/>
        </w:rPr>
        <w:t>تعقيب: حين أقرأ هذه الخصائص مجتمعة، أجدها أقرب إلى «مواصفات بروتوكول بثّ» في شبكة موزّعة: جماعية العقد، وحاجة كل عقدة إلى حالة إدراك، وآلية لترتيب الرسائل، واحتمال ضياع بعضها أو تزويرها، ثم حاجة النظام إلى قياس مستمر. إن فهم الرأي العام بوصفه نظاماً حيّاً — لا بوصفه رقماً في استطلاع — هو الذي يجعل دراسته جديرة بأن تكون أداة تخطيط لا مجرد مادة إعلامية. (من ملاحظات الباحث، في ضوء (بلومر، 1948، ص 545؛ عبد الحميد، 2005، ص 21).)</w:t>
      </w:r>
    </w:p>
    <w:p>
      <w:pPr>
        <w:keepNext/>
        <w:bidi/>
        <w:spacing w:before="200" w:after="120" w:line="276" w:lineRule="auto"/>
        <w:jc w:val="right"/>
      </w:pPr>
      <w:r>
        <w:rPr>
          <w:rFonts w:ascii="Arial" w:hAnsi="Arial" w:cs="Traditional Arabic" w:eastAsia="Traditional Arabic"/>
          <w:b/>
          <w:i w:val="0"/>
          <w:color w:val="2E74B5"/>
          <w:sz w:val="28"/>
          <w:lang w:val="ar-SA" w:bidi="ar-SA"/>
        </w:rPr>
        <w:t>المبحث الثالث: النظريات التي تفسّر تشكّل الرأي العام</w:t>
      </w:r>
    </w:p>
    <w:p>
      <w:pPr>
        <w:bidi/>
        <w:spacing w:before="0" w:after="100" w:line="288" w:lineRule="auto"/>
        <w:ind w:firstLine="369"/>
        <w:jc w:val="both"/>
      </w:pPr>
      <w:r>
        <w:rPr>
          <w:rFonts w:ascii="Arial" w:hAnsi="Arial" w:cs="Traditional Arabic" w:eastAsia="Traditional Arabic"/>
          <w:b w:val="0"/>
          <w:i w:val="0"/>
          <w:sz w:val="25"/>
          <w:lang w:val="ar-SA" w:bidi="ar-SA"/>
        </w:rPr>
        <w:t>ليس ثمّة نظرية واحدة تُفسّر ظاهرةً بهذا التعقيد؛ بل ثمّة طبقات متعاقبة من التفسير، بدأت بنظرة «تأثير مباشر» للإعلام، ثم انتقلت إلى الوسطاء والشبكات، وصولاً إلى البيئة الرقمية الخوارزمية. نستعرض في ما يلي أبرزها، مع ربط كل نظرية بآلية تقنية معاصرة (عبد الحميد، 2005، ص 62؛ مكومبس وشو، 1972، ص 176).</w:t>
      </w:r>
    </w:p>
    <w:p>
      <w:pPr>
        <w:keepNext/>
        <w:bidi/>
        <w:spacing w:before="160" w:after="80" w:line="276" w:lineRule="auto"/>
        <w:jc w:val="right"/>
      </w:pPr>
      <w:r>
        <w:rPr>
          <w:rFonts w:ascii="Arial" w:hAnsi="Arial" w:cs="Traditional Arabic" w:eastAsia="Traditional Arabic"/>
          <w:b/>
          <w:i w:val="0"/>
          <w:color w:val="1F3864"/>
          <w:sz w:val="25"/>
          <w:lang w:val="ar-SA" w:bidi="ar-SA"/>
        </w:rPr>
        <w:t>1. نظرية التأثير المباشر (الإبرة تحت الجلد)</w:t>
      </w:r>
    </w:p>
    <w:p>
      <w:pPr>
        <w:bidi/>
        <w:spacing w:before="0" w:after="100" w:line="288" w:lineRule="auto"/>
        <w:ind w:firstLine="369"/>
        <w:jc w:val="both"/>
      </w:pPr>
      <w:r>
        <w:rPr>
          <w:rFonts w:ascii="Arial" w:hAnsi="Arial" w:cs="Traditional Arabic" w:eastAsia="Traditional Arabic"/>
          <w:b w:val="0"/>
          <w:i w:val="0"/>
          <w:sz w:val="25"/>
          <w:lang w:val="ar-SA" w:bidi="ar-SA"/>
        </w:rPr>
        <w:t>هذا التصوّر المبكّر افترض أن الرسالة الإعلامية تُحقن مباشرة في وعي جمهورٍ سلبيّ متجانس، فتُغيّر رأيه على الفور. ورغم أن بحوثاً لاحقة أثبتت سذاجة هذا الافتراض، فإنه لا يزال مفيداً لفهم منطق الدعاية والحرب النفسية في أوقات الأزمات، حين يشتدّ الاعتماد على مصدر واحد وتضيق مساحة التحقّق (التهامي، 1979، ص 103–114؛ عبد الحميد، 2005، ص 62). وفي عالم التقنية، يُذكّرنا هذا التصوّر بخطر «القناة الأحادية»: إن انفرد مصدر واحد ببثّ التنبيهات الأمنية، صار رأي المستخدم رهينة دقّة ذلك المصدر وحده.</w:t>
      </w:r>
    </w:p>
    <w:p>
      <w:pPr>
        <w:keepNext/>
        <w:bidi/>
        <w:spacing w:before="160" w:after="80" w:line="276" w:lineRule="auto"/>
        <w:jc w:val="right"/>
      </w:pPr>
      <w:r>
        <w:rPr>
          <w:rFonts w:ascii="Arial" w:hAnsi="Arial" w:cs="Traditional Arabic" w:eastAsia="Traditional Arabic"/>
          <w:b/>
          <w:i w:val="0"/>
          <w:color w:val="1F3864"/>
          <w:sz w:val="25"/>
          <w:lang w:val="ar-SA" w:bidi="ar-SA"/>
        </w:rPr>
        <w:t>2. نظرية التدفّق على مرحلتين وقادة الرأي</w:t>
      </w:r>
    </w:p>
    <w:p>
      <w:pPr>
        <w:bidi/>
        <w:spacing w:before="0" w:after="100" w:line="288" w:lineRule="auto"/>
        <w:ind w:firstLine="369"/>
        <w:jc w:val="both"/>
      </w:pPr>
      <w:r>
        <w:rPr>
          <w:rFonts w:ascii="Arial" w:hAnsi="Arial" w:cs="Traditional Arabic" w:eastAsia="Traditional Arabic"/>
          <w:b w:val="0"/>
          <w:i w:val="0"/>
          <w:sz w:val="25"/>
          <w:lang w:val="ar-SA" w:bidi="ar-SA"/>
        </w:rPr>
        <w:t>أثبت كاتس ولازارسفيلد أن الرسالة الإعلامية لا تصل إلى الجمهور كلّه دفعةً واحدة، بل تصل أولاً إلى «قادة الرأي» الذين يقرأون أكثر ويتفاعلون أسرع، ثم يعيدون صياغتها بلغة جماعتهم. الرأي العام إذن يتشكّل عبر وساطة بشرية، لا عبر بثّ مباشر (كاتس ولازارسفيلد، 1955، ص 3؛ عبد الحميد، 2005، ص 177). وهذا هو بالضبط نموذج «العقد المحورية» في الشبكات: حساب واحد ذو وصلات كثيرة قد يوجّه آلاف التفاعلات، وفي الفوج الكشفي يقوم قائد الوحدة بالدور نفسه حين يشرح قراراً إدارياً للأعضاء بلغة يفهمونها. (من ملاحظات الباحث.)</w:t>
      </w:r>
    </w:p>
    <w:p>
      <w:pPr>
        <w:keepNext/>
        <w:bidi/>
        <w:spacing w:before="160" w:after="80" w:line="276" w:lineRule="auto"/>
        <w:jc w:val="right"/>
      </w:pPr>
      <w:r>
        <w:rPr>
          <w:rFonts w:ascii="Arial" w:hAnsi="Arial" w:cs="Traditional Arabic" w:eastAsia="Traditional Arabic"/>
          <w:b/>
          <w:i w:val="0"/>
          <w:color w:val="1F3864"/>
          <w:sz w:val="25"/>
          <w:lang w:val="ar-SA" w:bidi="ar-SA"/>
        </w:rPr>
        <w:t>3. نظرية ترتيب الأولويات (وضع الأجندة)</w:t>
      </w:r>
    </w:p>
    <w:p>
      <w:pPr>
        <w:bidi/>
        <w:spacing w:before="0" w:after="100" w:line="288" w:lineRule="auto"/>
        <w:ind w:firstLine="369"/>
        <w:jc w:val="both"/>
      </w:pPr>
      <w:r>
        <w:rPr>
          <w:rFonts w:ascii="Arial" w:hAnsi="Arial" w:cs="Traditional Arabic" w:eastAsia="Traditional Arabic"/>
          <w:b w:val="0"/>
          <w:i w:val="0"/>
          <w:sz w:val="25"/>
          <w:lang w:val="ar-SA" w:bidi="ar-SA"/>
        </w:rPr>
        <w:t>يرى مكومبس وشو أن وسائل الإعلام لا تملك أن تُملي على الناس «ماذا يفكّرون»، لكنها تملك — وبقوة — أن تُحدّد لهم «فيمَ يفكّرون»؛ فالقضايا التي تُمنح مساحةً وتكراراً وبروزاً في النشر ترتفع إلى أجندة الجمهور (مكومبس وشو، 1972، ص 176–187؛ عبد الحميد، 2005، ص 347). واليوم صارت «الأجندة» تُكتب أيضاً بلغة الخوارزميات: قائمة المواضيع الرائجة، وترتيب نتائج البحث، وسياسات التوصية في المنصات، كلّها تُمارس ترتيب أولويات آليّاً. والفارق الجوهري أن «محرّر الأمس» كان بشراً معروفاً، أمّا «محرّر اليوم» فدالةٌ رياضية في خادم يملكه طرفٌ خاص؛ ولهذا تبرز الحاجة إلى الشفافية الخوارزمية وحقّ المستخدم في فهم سبب ظهور محتوى ما أمامه. (من ملاحظات الباحث.)</w:t>
      </w:r>
    </w:p>
    <w:p>
      <w:pPr>
        <w:keepNext/>
        <w:bidi/>
        <w:spacing w:before="160" w:after="80" w:line="276" w:lineRule="auto"/>
        <w:jc w:val="right"/>
      </w:pPr>
      <w:r>
        <w:rPr>
          <w:rFonts w:ascii="Arial" w:hAnsi="Arial" w:cs="Traditional Arabic" w:eastAsia="Traditional Arabic"/>
          <w:b/>
          <w:i w:val="0"/>
          <w:color w:val="1F3864"/>
          <w:sz w:val="25"/>
          <w:lang w:val="ar-SA" w:bidi="ar-SA"/>
        </w:rPr>
        <w:t>4. نظرية التأطير (Framing)</w:t>
      </w:r>
    </w:p>
    <w:p>
      <w:pPr>
        <w:bidi/>
        <w:spacing w:before="0" w:after="100" w:line="288" w:lineRule="auto"/>
        <w:ind w:firstLine="369"/>
        <w:jc w:val="both"/>
      </w:pPr>
      <w:r>
        <w:rPr>
          <w:rFonts w:ascii="Arial" w:hAnsi="Arial" w:cs="Traditional Arabic" w:eastAsia="Traditional Arabic"/>
          <w:b w:val="0"/>
          <w:i w:val="0"/>
          <w:sz w:val="25"/>
          <w:lang w:val="ar-SA" w:bidi="ar-SA"/>
        </w:rPr>
        <w:t>يُكمل روبرت أنتمان الفكرة بالقول إن طريقة عرض القضية لا تقلّ أهمية عن اختيارها؛ فالإطار يُبرز بعض جوانب الواقع ويُهمّش أخرى، فيحدّد كيف يفهم الجمهور المشكلة ومن يتحمّل مسؤوليتها وما الحلّ الممكن (أنتمان، 1993، ص 51–58). فارتفاعُ سعر سلعة يمكن تأطيره بوصفه «تصحيحاً اقتصادياً ضرورياً» أو بوصفه «إهمالاً لحقوق المستهلك»؛ والرأي العام في الحالتين مختلف، مع أن الرقم واحد. وفي تقنية المعلومات نسمّي هذا «طريقة عرض البيانات» على لوحة القياس: المخطط نفسه قد يوحي بالاستقرار أو بالانهيار بحسب تدريج المحور والفترة المختارة. (من ملاحظات الباحث.)</w:t>
      </w:r>
    </w:p>
    <w:p>
      <w:pPr>
        <w:keepNext/>
        <w:bidi/>
        <w:spacing w:before="160" w:after="80" w:line="276" w:lineRule="auto"/>
        <w:jc w:val="right"/>
      </w:pPr>
      <w:r>
        <w:rPr>
          <w:rFonts w:ascii="Arial" w:hAnsi="Arial" w:cs="Traditional Arabic" w:eastAsia="Traditional Arabic"/>
          <w:b/>
          <w:i w:val="0"/>
          <w:color w:val="1F3864"/>
          <w:sz w:val="25"/>
          <w:lang w:val="ar-SA" w:bidi="ar-SA"/>
        </w:rPr>
        <w:t>5. نظرية لولب الصمت</w:t>
      </w:r>
    </w:p>
    <w:p>
      <w:pPr>
        <w:bidi/>
        <w:spacing w:before="0" w:after="100" w:line="288" w:lineRule="auto"/>
        <w:ind w:firstLine="369"/>
        <w:jc w:val="both"/>
      </w:pPr>
      <w:r>
        <w:rPr>
          <w:rFonts w:ascii="Arial" w:hAnsi="Arial" w:cs="Traditional Arabic" w:eastAsia="Traditional Arabic"/>
          <w:b w:val="0"/>
          <w:i w:val="0"/>
          <w:sz w:val="25"/>
          <w:lang w:val="ar-SA" w:bidi="ar-SA"/>
        </w:rPr>
        <w:t>تُفسّر إليزابيث نويل-نيومان لماذا يصمت أصحابُ الرأي الأقلّي: لأن الإنسان يخشى العزلة، فيراقب «مناخ الرأي» السائد، فإن أحسّ أن رأيه في تراجع آثر الصمت، فيزداد صوت الأغلبية ظهوراً، فيتعمّق الصمت في حلقة لولبية (نويل نيومان، 1974، ص 43–51). وقد اختبر زرن وبخاش هذه النظرية في البيئة الاتصالية الجديدة على عيّنة من 438 مبحوثاً في السياق اليمني، فوجدَا أن البيئة الرقمية تُخفّض الشعور بالخوف من العزلة وتُضعف فكرة «الاتجاه السائد»، لكنها لا تُلغي الرقابة الذاتية؛ أي أن اللولب يبقى، وإن تغيّرت سرعته (زرن وبخاش، 2023، ص 247–315). ويدعم ذلك أن 76% من مستخدمي التواصل في الاستطلاع السوري يرون أن بمقدورهم نشر محتوى ينتقد الحكومة من دون خوف، مقابل وعي واسع بانتشار الأخبار الزائفة والخطاب الطائفي (المركز العربي، 2025، قسم «التفاعل في المجال الافتراضي»).</w:t>
      </w:r>
    </w:p>
    <w:p>
      <w:pPr>
        <w:keepNext/>
        <w:bidi/>
        <w:spacing w:before="160" w:after="80" w:line="276" w:lineRule="auto"/>
        <w:jc w:val="right"/>
      </w:pPr>
      <w:r>
        <w:rPr>
          <w:rFonts w:ascii="Arial" w:hAnsi="Arial" w:cs="Traditional Arabic" w:eastAsia="Traditional Arabic"/>
          <w:b/>
          <w:i w:val="0"/>
          <w:color w:val="1F3864"/>
          <w:sz w:val="25"/>
          <w:lang w:val="ar-SA" w:bidi="ar-SA"/>
        </w:rPr>
        <w:t>6. نظرية الاعتماد على وسائل الإعلام</w:t>
      </w:r>
    </w:p>
    <w:p>
      <w:pPr>
        <w:bidi/>
        <w:spacing w:before="0" w:after="100" w:line="288" w:lineRule="auto"/>
        <w:ind w:firstLine="369"/>
        <w:jc w:val="both"/>
      </w:pPr>
      <w:r>
        <w:rPr>
          <w:rFonts w:ascii="Arial" w:hAnsi="Arial" w:cs="Traditional Arabic" w:eastAsia="Traditional Arabic"/>
          <w:b w:val="0"/>
          <w:i w:val="0"/>
          <w:sz w:val="25"/>
          <w:lang w:val="ar-SA" w:bidi="ar-SA"/>
        </w:rPr>
        <w:t>تقوم نظرية الاعتماد على فكرة العلاقة التبادلية بين ثلاثة أطراف: الجمهور، ووسائل الإعلام، والنظام الاجتماعي؛ ويزداد اعتماد الفرد على الوسيلة حين تزيد حاجته إلى المعلومات وتقلّ مصادره البديلة، ولا سيما في أوقات الأزمات والغموض وعدم الاستقرار (بال روكيش، 1976، ص 3–21؛ عبد الحميد، 2005، ص 307). ولهذا تتحوّل لحظة انقطاع الشبكة أو غموض قرار اقتصادي إلى لحظة ذروة في استهلاك الأخبار؛ وإذا غابت المعلومة الرسمية الموثوقة حلّت محلّها الشائعة. (من ملاحظات الباحث، مع (التهامي، 1979، ص 114).)</w:t>
      </w:r>
    </w:p>
    <w:p>
      <w:pPr>
        <w:keepNext/>
        <w:bidi/>
        <w:spacing w:before="160" w:after="80" w:line="276" w:lineRule="auto"/>
        <w:jc w:val="right"/>
      </w:pPr>
      <w:r>
        <w:rPr>
          <w:rFonts w:ascii="Arial" w:hAnsi="Arial" w:cs="Traditional Arabic" w:eastAsia="Traditional Arabic"/>
          <w:b/>
          <w:i w:val="0"/>
          <w:color w:val="1F3864"/>
          <w:sz w:val="25"/>
          <w:lang w:val="ar-SA" w:bidi="ar-SA"/>
        </w:rPr>
        <w:t>7. الغرس الثقافي والاستخدامات والإشباعات والمجال العام</w:t>
      </w:r>
    </w:p>
    <w:p>
      <w:pPr>
        <w:bidi/>
        <w:spacing w:before="0" w:after="100" w:line="288" w:lineRule="auto"/>
        <w:ind w:firstLine="369"/>
        <w:jc w:val="both"/>
      </w:pPr>
      <w:r>
        <w:rPr>
          <w:rFonts w:ascii="Arial" w:hAnsi="Arial" w:cs="Traditional Arabic" w:eastAsia="Traditional Arabic"/>
          <w:b w:val="0"/>
          <w:i w:val="0"/>
          <w:sz w:val="25"/>
          <w:lang w:val="ar-SA" w:bidi="ar-SA"/>
        </w:rPr>
        <w:t>تُذكّرنا نظرية الغرس الثقافي بأن التعرّض الطويل والمتراكم للمضامين الإعلامية يغرس في الجمهور تصوّرات عن الواقع قد تُخالف إحصاءاته الحقيقية؛ وفي المقابل تُعيد نظرية الاستخدامات والإشباعات النظرَ إلى الجمهور بوصفه فاعلاً يختار الوسيلة لتحقيق حاجاته لا مجرد متلقٍّ سلبيّ (غيربنر وغروس، 1976، ص 173–194؛ كاتس وآخرون، 1973، ص 509–523). أمّا هابرماس فيضع الشرط المعياري: أن يجري النقاش في مجال عام تتاح فيه المشاركة المتكافئة والحجّة العقلانية لا الإكراه ولا المال (هابرماس، 1989، ص 27–31). وحين ننقل هذا إلى المنصات الرقمية، يصبح السؤال: هل يُدار «المجال العام الجديد» بقواعد شفافة تُتيح النقاش، أم بمنطق التفاعل التجاري الذي يكافئ الانفعال والاستقطاب؟ إن الجودة التقنية للمنصة — من إشراف على المحتوى إلى حماية البيانات — هي في جوهرها قرارٌ سياسيّ واجتماعيّ.</w:t>
      </w:r>
    </w:p>
    <w:p>
      <w:pPr>
        <w:keepNext/>
        <w:bidi/>
        <w:spacing w:before="120" w:after="80" w:line="288" w:lineRule="auto"/>
        <w:jc w:val="center"/>
      </w:pPr>
      <w:r>
        <w:rPr>
          <w:rFonts w:ascii="Arial" w:hAnsi="Arial" w:cs="Traditional Arabic" w:eastAsia="Traditional Arabic"/>
          <w:b/>
          <w:i w:val="0"/>
          <w:color w:val="1F4E79"/>
          <w:sz w:val="21"/>
          <w:lang w:val="ar-SA" w:bidi="ar-SA"/>
        </w:rPr>
        <w:t>جدول (2): نظريات تشكّل الرأي العام ومقابلاتها الرقمية — إعداد الباحث</w:t>
      </w:r>
    </w:p>
    <w:tbl>
      <w:tblPr>
        <w:tblStyle w:val="TableGrid"/>
        <w:bidiVisual/>
        <w:tblW w:type="auto" w:w="0"/>
        <w:jc w:val="center"/>
        <w:tblLayout w:type="fixed"/>
        <w:tblLook w:firstColumn="1" w:firstRow="1" w:lastColumn="0" w:lastRow="0" w:noHBand="0" w:noVBand="1" w:val="04A0"/>
      </w:tblPr>
      <w:tblGrid>
        <w:gridCol w:w="3099"/>
        <w:gridCol w:w="3099"/>
        <w:gridCol w:w="3099"/>
      </w:tblGrid>
      <w:tr>
        <w:tc>
          <w:tcPr>
            <w:tcW w:type="dxa" w:w="2231"/>
            <w:shd w:val="clear" w:color="auto" w:fill="DCE6F1"/>
          </w:tcPr>
          <w:p>
            <w:pPr>
              <w:bidi/>
              <w:spacing w:after="40" w:before="40"/>
              <w:jc w:val="center"/>
            </w:pPr>
            <w:r>
              <w:rPr>
                <w:rFonts w:ascii="Arial" w:hAnsi="Arial" w:cs="Traditional Arabic" w:eastAsia="Traditional Arabic"/>
                <w:b/>
                <w:i w:val="0"/>
                <w:color w:val="1F4E79"/>
                <w:sz w:val="20"/>
                <w:lang w:val="ar-SA" w:bidi="ar-SA"/>
              </w:rPr>
              <w:t>النظرية</w:t>
            </w:r>
          </w:p>
        </w:tc>
        <w:tc>
          <w:tcPr>
            <w:tcW w:type="dxa" w:w="3533"/>
            <w:shd w:val="clear" w:color="auto" w:fill="DCE6F1"/>
          </w:tcPr>
          <w:p>
            <w:pPr>
              <w:bidi/>
              <w:spacing w:after="40" w:before="40"/>
              <w:jc w:val="center"/>
            </w:pPr>
            <w:r>
              <w:rPr>
                <w:rFonts w:ascii="Arial" w:hAnsi="Arial" w:cs="Traditional Arabic" w:eastAsia="Traditional Arabic"/>
                <w:b/>
                <w:i w:val="0"/>
                <w:color w:val="1F4E79"/>
                <w:sz w:val="20"/>
                <w:lang w:val="ar-SA" w:bidi="ar-SA"/>
              </w:rPr>
              <w:t>آلية تشكّل الرأي</w:t>
            </w:r>
          </w:p>
        </w:tc>
        <w:tc>
          <w:tcPr>
            <w:tcW w:type="dxa" w:w="3533"/>
            <w:shd w:val="clear" w:color="auto" w:fill="DCE6F1"/>
          </w:tcPr>
          <w:p>
            <w:pPr>
              <w:bidi/>
              <w:spacing w:after="40" w:before="40"/>
              <w:jc w:val="center"/>
            </w:pPr>
            <w:r>
              <w:rPr>
                <w:rFonts w:ascii="Arial" w:hAnsi="Arial" w:cs="Traditional Arabic" w:eastAsia="Traditional Arabic"/>
                <w:b/>
                <w:i w:val="0"/>
                <w:color w:val="1F4E79"/>
                <w:sz w:val="20"/>
                <w:lang w:val="ar-SA" w:bidi="ar-SA"/>
              </w:rPr>
              <w:t>ما يقابلها في الفضاء الرقمي</w:t>
            </w:r>
          </w:p>
        </w:tc>
      </w:tr>
      <w:tr>
        <w:tc>
          <w:tcPr>
            <w:tcW w:type="dxa" w:w="2231"/>
          </w:tcPr>
          <w:p>
            <w:pPr>
              <w:bidi/>
              <w:spacing w:after="20" w:before="20" w:line="264" w:lineRule="auto"/>
              <w:jc w:val="right"/>
            </w:pPr>
            <w:r>
              <w:rPr>
                <w:rFonts w:ascii="Arial" w:hAnsi="Arial" w:cs="Traditional Arabic" w:eastAsia="Traditional Arabic"/>
                <w:b w:val="0"/>
                <w:i w:val="0"/>
                <w:sz w:val="20"/>
                <w:lang w:val="ar-SA" w:bidi="ar-SA"/>
              </w:rPr>
              <w:t>التأثير المباشر</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حقن رسالة في جمهور سلبي</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تنبيهات مصدر واحد في أزمة</w:t>
            </w:r>
          </w:p>
        </w:tc>
      </w:tr>
      <w:tr>
        <w:tc>
          <w:tcPr>
            <w:tcW w:type="dxa" w:w="223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التدفّق على مرحلتين</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وساطة قادة الرأي</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الحسابات المؤثّرة وعقد الشبكة</w:t>
            </w:r>
          </w:p>
        </w:tc>
      </w:tr>
      <w:tr>
        <w:tc>
          <w:tcPr>
            <w:tcW w:type="dxa" w:w="2231"/>
          </w:tcPr>
          <w:p>
            <w:pPr>
              <w:bidi/>
              <w:spacing w:after="20" w:before="20" w:line="264" w:lineRule="auto"/>
              <w:jc w:val="right"/>
            </w:pPr>
            <w:r>
              <w:rPr>
                <w:rFonts w:ascii="Arial" w:hAnsi="Arial" w:cs="Traditional Arabic" w:eastAsia="Traditional Arabic"/>
                <w:b w:val="0"/>
                <w:i w:val="0"/>
                <w:sz w:val="20"/>
                <w:lang w:val="ar-SA" w:bidi="ar-SA"/>
              </w:rPr>
              <w:t>ترتيب الأولويات</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بروز قضايا دون غيرها</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الخوارزمية وقائمة الرائج</w:t>
            </w:r>
          </w:p>
        </w:tc>
      </w:tr>
      <w:tr>
        <w:tc>
          <w:tcPr>
            <w:tcW w:type="dxa" w:w="223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التأطير</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عرض القضية بزاوية محدّدة</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طريقة عرض البيانات ولوحات القياس</w:t>
            </w:r>
          </w:p>
        </w:tc>
      </w:tr>
      <w:tr>
        <w:tc>
          <w:tcPr>
            <w:tcW w:type="dxa" w:w="2231"/>
          </w:tcPr>
          <w:p>
            <w:pPr>
              <w:bidi/>
              <w:spacing w:after="20" w:before="20" w:line="264" w:lineRule="auto"/>
              <w:jc w:val="right"/>
            </w:pPr>
            <w:r>
              <w:rPr>
                <w:rFonts w:ascii="Arial" w:hAnsi="Arial" w:cs="Traditional Arabic" w:eastAsia="Traditional Arabic"/>
                <w:b w:val="0"/>
                <w:i w:val="0"/>
                <w:sz w:val="20"/>
                <w:lang w:val="ar-SA" w:bidi="ar-SA"/>
              </w:rPr>
              <w:t>لولب الصمت</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الخوف من العزلة يُسكت الأقلية</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الإعجاب والصمت والرقابة الذاتية</w:t>
            </w:r>
          </w:p>
        </w:tc>
      </w:tr>
      <w:tr>
        <w:tc>
          <w:tcPr>
            <w:tcW w:type="dxa" w:w="223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الاعتماد على الإعلام</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الحاجة للمعلومة وقت الغموض</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ذروة الاستهلاك عند انقطاع الخدمة</w:t>
            </w:r>
          </w:p>
        </w:tc>
      </w:tr>
      <w:tr>
        <w:tc>
          <w:tcPr>
            <w:tcW w:type="dxa" w:w="2231"/>
          </w:tcPr>
          <w:p>
            <w:pPr>
              <w:bidi/>
              <w:spacing w:after="20" w:before="20" w:line="264" w:lineRule="auto"/>
              <w:jc w:val="right"/>
            </w:pPr>
            <w:r>
              <w:rPr>
                <w:rFonts w:ascii="Arial" w:hAnsi="Arial" w:cs="Traditional Arabic" w:eastAsia="Traditional Arabic"/>
                <w:b w:val="0"/>
                <w:i w:val="0"/>
                <w:sz w:val="20"/>
                <w:lang w:val="ar-SA" w:bidi="ar-SA"/>
              </w:rPr>
              <w:t>الغرس الثقافي</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تأثير تراكمي طويل الأمد</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التعرّض اليومي المتكرر للمحتوى</w:t>
            </w:r>
          </w:p>
        </w:tc>
      </w:tr>
      <w:tr>
        <w:tc>
          <w:tcPr>
            <w:tcW w:type="dxa" w:w="223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المجال العام</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نقاش عقلاني متكافئ</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حوكمة المنصات وشفافية القواعد</w:t>
            </w:r>
          </w:p>
        </w:tc>
      </w:tr>
    </w:tbl>
    <w:p>
      <w:pPr>
        <w:spacing w:after="40"/>
      </w:pPr>
    </w:p>
    <w:p>
      <w:pPr>
        <w:bidi/>
        <w:spacing w:before="0" w:after="100" w:line="288" w:lineRule="auto"/>
        <w:ind w:firstLine="369"/>
        <w:jc w:val="both"/>
      </w:pPr>
      <w:r>
        <w:rPr>
          <w:rFonts w:ascii="Arial" w:hAnsi="Arial" w:cs="Traditional Arabic" w:eastAsia="Traditional Arabic"/>
          <w:b w:val="0"/>
          <w:i w:val="0"/>
          <w:sz w:val="25"/>
          <w:lang w:val="ar-SA" w:bidi="ar-SA"/>
        </w:rPr>
        <w:t>خلاصة تحليلية: أتصوّر تشكّل الرأي العام في ست طبقات متتالية: (1) بنية تحتية من الشبكات والأجهزة؛ (2) خوارزميات تُرتّب الانتباه؛ (3) وسطاء من قادة الرأي؛ (4) مناخٌ نفسيّ يُحدّد من يتكلّم ومن يصمت؛ (5) أطرٌ ثقافية تمنح الأحداث معناها؛ (6) مخرجاتٌ سلوكية وسياسات عامة. ولا تُغني طبقةٌ عن أخرى؛ فمن يدرس الرأي العام من زاوية «الخوارزمية» وحدها يُخطئ كما يخطئ من يدرسه من زاوية «الإعلام التقليدي» وحده. (من ملاحظات الباحث، في ضوء (عبد الحميد، 2005، ص 21؛ هابرماس، 1989، ص 27).)</w:t>
      </w:r>
    </w:p>
    <w:p>
      <w:pPr>
        <w:keepNext/>
        <w:bidi/>
        <w:spacing w:before="200" w:after="120" w:line="276" w:lineRule="auto"/>
        <w:jc w:val="right"/>
      </w:pPr>
      <w:r>
        <w:rPr>
          <w:rFonts w:ascii="Arial" w:hAnsi="Arial" w:cs="Traditional Arabic" w:eastAsia="Traditional Arabic"/>
          <w:b/>
          <w:i w:val="0"/>
          <w:color w:val="2E74B5"/>
          <w:sz w:val="28"/>
          <w:lang w:val="ar-SA" w:bidi="ar-SA"/>
        </w:rPr>
        <w:t>خلاصة القسم الأول</w:t>
      </w:r>
    </w:p>
    <w:p>
      <w:pPr>
        <w:bidi/>
        <w:spacing w:before="0" w:after="100" w:line="288" w:lineRule="auto"/>
        <w:ind w:firstLine="369"/>
        <w:jc w:val="both"/>
      </w:pPr>
      <w:r>
        <w:rPr>
          <w:rFonts w:ascii="Arial" w:hAnsi="Arial" w:cs="Traditional Arabic" w:eastAsia="Traditional Arabic"/>
          <w:b w:val="0"/>
          <w:i w:val="0"/>
          <w:sz w:val="25"/>
          <w:lang w:val="ar-SA" w:bidi="ar-SA"/>
        </w:rPr>
        <w:t>خلصتُ في هذا القسم إلى أن الرأي العام تعبيرٌ جماعيّ ديناميكيّ عن قضية عامة خلافية، وأنه يُفهم لغوياً بوصفه «رؤيةً عقلية شائعة»، واصطلاحاً بوصفه موقفاً جمعياً قابلاً للقياس والتأثير، وعند علماء الاجتماع بوصفه عملية تفاعلية لا حصيلة حسابية. واستعرضتُ عشر خصائص له، من الجماعية والوعي والجدلية إلى الفاعلية والقابلية للقياس، ثم ثماني نظريات تفسّر تشكّله، رابطاً بينها وبين بنية الشبكات الرقمية المعاصرة. وأُسلّم زميلي وديع هيثم سلوم الحديثَ عن الجانب الأقرب إلى الناس: الخلفية الثقافية والنفسية والاجتماعية، ثم أثر كل ذلك في السياسة الاقتصادية للبلد (حلاق، 2020، ص 43؛ عبد الحميد، 2005، ص 347).</w:t>
      </w:r>
    </w:p>
    <w:p>
      <w:r>
        <w:br w:type="page"/>
      </w:r>
    </w:p>
    <w:p>
      <w:pPr>
        <w:keepNext/>
        <w:bidi/>
        <w:spacing w:before="200" w:after="160" w:line="276" w:lineRule="auto"/>
        <w:jc w:val="right"/>
      </w:pPr>
      <w:r>
        <w:rPr>
          <w:rFonts w:ascii="Arial" w:hAnsi="Arial" w:cs="Traditional Arabic" w:eastAsia="Traditional Arabic"/>
          <w:b/>
          <w:i w:val="0"/>
          <w:color w:val="1F4E79"/>
          <w:sz w:val="32"/>
          <w:lang w:val="ar-SA" w:bidi="ar-SA"/>
        </w:rPr>
        <w:t>القسم الثاني</w:t>
      </w:r>
    </w:p>
    <w:p>
      <w:pPr>
        <w:bidi/>
        <w:spacing w:before="0" w:after="120" w:line="276" w:lineRule="auto"/>
        <w:jc w:val="center"/>
      </w:pPr>
      <w:r>
        <w:rPr>
          <w:rFonts w:ascii="Arial" w:hAnsi="Arial" w:cs="Traditional Arabic" w:eastAsia="Traditional Arabic"/>
          <w:b/>
          <w:i w:val="0"/>
          <w:color w:val="1F4E79"/>
          <w:sz w:val="30"/>
          <w:lang w:val="ar-SA" w:bidi="ar-SA"/>
        </w:rPr>
        <w:t>الإجابة عن السؤالين (4، 5) والخاتمة والتوصيات</w:t>
      </w:r>
    </w:p>
    <w:p>
      <w:pPr>
        <w:bidi/>
        <w:spacing w:before="0" w:after="120" w:line="276" w:lineRule="auto"/>
        <w:jc w:val="center"/>
      </w:pPr>
      <w:r>
        <w:rPr>
          <w:rFonts w:ascii="Arial" w:hAnsi="Arial" w:cs="Traditional Arabic" w:eastAsia="Traditional Arabic"/>
          <w:b/>
          <w:i w:val="0"/>
          <w:sz w:val="24"/>
          <w:lang w:val="ar-SA" w:bidi="ar-SA"/>
        </w:rPr>
        <w:t>من إعداد الطالب: وديع هيثم سلوم — الرقم الجامعي: wadee_440350</w:t>
      </w:r>
    </w:p>
    <w:tbl>
      <w:tblPr>
        <w:tblW w:type="auto" w:w="0"/>
        <w:jc w:val="center"/>
        <w:tblLayout w:type="fixed"/>
        <w:tblLook w:firstColumn="1" w:firstRow="1" w:lastColumn="0" w:lastRow="0" w:noHBand="0" w:noVBand="1" w:val="04A0"/>
      </w:tblPr>
      <w:tblGrid>
        <w:gridCol w:w="9298"/>
      </w:tblGrid>
      <w:tr>
        <w:tc>
          <w:tcPr>
            <w:tcW w:type="dxa" w:w="9298"/>
            <w:tcBorders>
              <w:right w:val="single" w:sz="24" w:color="2E74B5"/>
            </w:tcBorders>
            <w:shd w:val="clear" w:color="auto" w:fill="EAF1F8"/>
          </w:tcPr>
          <w:p>
            <w:pPr>
              <w:bidi/>
              <w:spacing w:after="60"/>
              <w:jc w:val="right"/>
            </w:pPr>
            <w:r>
              <w:rPr>
                <w:rFonts w:ascii="Arial" w:hAnsi="Arial" w:cs="Traditional Arabic" w:eastAsia="Traditional Arabic"/>
                <w:b/>
                <w:i w:val="0"/>
                <w:color w:val="2E74B5"/>
                <w:sz w:val="23"/>
                <w:lang w:val="ar-SA" w:bidi="ar-SA"/>
              </w:rPr>
              <w:t xml:space="preserve">بصمة الباحث : </w:t>
            </w:r>
          </w:p>
          <w:p>
            <w:pPr>
              <w:bidi/>
              <w:spacing w:line="288" w:lineRule="auto" w:after="40"/>
              <w:jc w:val="both"/>
            </w:pPr>
            <w:r>
              <w:rPr>
                <w:rFonts w:ascii="Arial" w:hAnsi="Arial" w:cs="Traditional Arabic" w:eastAsia="Traditional Arabic"/>
                <w:b w:val="0"/>
                <w:i w:val="0"/>
                <w:sz w:val="22"/>
                <w:lang w:val="ar-SA" w:bidi="ar-SA"/>
              </w:rPr>
              <w:t>أكتب هذا القسم من ذاكرة صالة مصرفية مزدحمة: متعاملٌ ينتظر دوره، وشاشةٌ تتباطأ، ورسالةٌ عاجلة من زميل في قسم العمليات، وسؤالٌ يتكرّر: هل سأستطيع سحب راتبي اليوم؟ عملي في تقانة المعلومات المصرفية علّمني أن النظام التقني لا ينهار حين يتعطّل الخادم وحده، بل حين يفقد الناس الثقة به. وسأحاول في الصفحات الآتية أن أقرأ الرأي العام من هذه الزاوية: زاوية الإنسان الذي يقف على الجانب الآخر من الشبّاك.</w:t>
            </w:r>
          </w:p>
        </w:tc>
      </w:tr>
    </w:tbl>
    <w:p>
      <w:pPr>
        <w:spacing w:after="40"/>
      </w:pPr>
    </w:p>
    <w:p>
      <w:pPr>
        <w:keepNext/>
        <w:bidi/>
        <w:spacing w:before="200" w:after="120" w:line="276" w:lineRule="auto"/>
        <w:jc w:val="right"/>
      </w:pPr>
      <w:r>
        <w:rPr>
          <w:rFonts w:ascii="Arial" w:hAnsi="Arial" w:cs="Traditional Arabic" w:eastAsia="Traditional Arabic"/>
          <w:b/>
          <w:i w:val="0"/>
          <w:color w:val="2E74B5"/>
          <w:sz w:val="28"/>
          <w:lang w:val="ar-SA" w:bidi="ar-SA"/>
        </w:rPr>
        <w:t>المبحث الأول: الخلفية الثقافية والنفسية والاجتماعية للرأي العام</w:t>
      </w:r>
    </w:p>
    <w:p>
      <w:pPr>
        <w:bidi/>
        <w:spacing w:before="0" w:after="100" w:line="288" w:lineRule="auto"/>
        <w:ind w:firstLine="369"/>
        <w:jc w:val="both"/>
      </w:pPr>
      <w:r>
        <w:rPr>
          <w:rFonts w:ascii="Arial" w:hAnsi="Arial" w:cs="Traditional Arabic" w:eastAsia="Traditional Arabic"/>
          <w:b w:val="0"/>
          <w:i w:val="0"/>
          <w:sz w:val="25"/>
          <w:lang w:val="ar-SA" w:bidi="ar-SA"/>
        </w:rPr>
        <w:t>لا يولد الرأي العام من فراغ، ولا يهبط على الناس مع خبرٍ عاجل؛ بل هو محصلة ثلاث طبقات متداخلة: طبقة ثقافية تمنح الأشياء معناها، وطبقة نفسية تُحدّد كيف يستقبل الفردُ ذلك المعنى، وطبقة اجتماعية تُنظّم التفاعل بين الأفراد داخل الجماعة. ومن يدرس الرأي العام بوصفه «استطلاعاً» فقط فإنما يرى موجةً على السطح ويغفل التيارات التي تحرّكها في العمق (عبد الحميد، 2005، ص 21؛ العبد، 2006، ص 81).</w:t>
      </w:r>
    </w:p>
    <w:p>
      <w:pPr>
        <w:keepNext/>
        <w:bidi/>
        <w:spacing w:before="160" w:after="80" w:line="276" w:lineRule="auto"/>
        <w:jc w:val="right"/>
      </w:pPr>
      <w:r>
        <w:rPr>
          <w:rFonts w:ascii="Arial" w:hAnsi="Arial" w:cs="Traditional Arabic" w:eastAsia="Traditional Arabic"/>
          <w:b/>
          <w:i w:val="0"/>
          <w:color w:val="1F3864"/>
          <w:sz w:val="25"/>
          <w:lang w:val="ar-SA" w:bidi="ar-SA"/>
        </w:rPr>
        <w:t>أولاً: الخلفية الثقافية — القيم بوصفها «نظام تشغيل» للمعنى</w:t>
      </w:r>
    </w:p>
    <w:p>
      <w:pPr>
        <w:bidi/>
        <w:spacing w:before="0" w:after="100" w:line="288" w:lineRule="auto"/>
        <w:ind w:firstLine="369"/>
        <w:jc w:val="both"/>
      </w:pPr>
      <w:r>
        <w:rPr>
          <w:rFonts w:ascii="Arial" w:hAnsi="Arial" w:cs="Traditional Arabic" w:eastAsia="Traditional Arabic"/>
          <w:b w:val="0"/>
          <w:i w:val="0"/>
          <w:sz w:val="25"/>
          <w:lang w:val="ar-SA" w:bidi="ar-SA"/>
        </w:rPr>
        <w:t>الثقافة هي القالب الذي تُصبّ فيه التفسيرات: اللغة التي نفكّر بها، والقيم التي نُحرّم أو نُحلّل، والعادات التي نُمارسها دون أن نُفكّر فيها، والذاكرة الجماعية التي تُذكّرنا بتجاربَ لم نعشها. وقد شبّه هوفستيد الثقافة بأنماط تفكير جماعية متراكبة تعمل كـ«برمجيات للعقل»؛ أي أن الجماعة تملك إطاراً مسبقاً تُفسّر به كل معلومة جديدة قبل أن تتحوّل إلى رأي (هوفستيد، 2001، ص 9). وبوصفى أعمل في تقانة المعلومات، أجد التشبيه دقيقاً: تغيير «الإعدادات الافتراضية» في وعي الناس أصعب بكثير من تثبيت تطبيق جديد على هواتفهم. (من ملاحظات الباحث.)</w:t>
      </w:r>
    </w:p>
    <w:p>
      <w:pPr>
        <w:bidi/>
        <w:spacing w:before="0" w:after="100" w:line="288" w:lineRule="auto"/>
        <w:ind w:firstLine="369"/>
        <w:jc w:val="both"/>
      </w:pPr>
      <w:r>
        <w:rPr>
          <w:rFonts w:ascii="Arial" w:hAnsi="Arial" w:cs="Traditional Arabic" w:eastAsia="Traditional Arabic"/>
          <w:b w:val="0"/>
          <w:i w:val="0"/>
          <w:sz w:val="25"/>
          <w:lang w:val="ar-SA" w:bidi="ar-SA"/>
        </w:rPr>
        <w:t>ويُسعفنا ابن خلدون هنا بمفهوم «العصبية» الذي يجعل الرابطة الجماعية — لا الفرد المنعزل — هي الوحدة الأساسية في تفسير الظواهر الاجتماعية؛ فالرأي عنده ينشأ داخل جماعة يتشارك أفرادها الانتماء والمصلحة والشعور بالمصير المشترك (ابن خلدون، 1981، ص 123–126). أمّا بورديو فيُضيف أن رأس المال الثقافي و«الهابيتوس» — أي الاستعدادات المكتسبة بالتنشئة — يُحدّدان مسبقاً مَن يملك الجرأة والمفردات للتعبير عن رأيه، ومَن يكتفي بالصمت؛ وهو ما يفسّر لماذا جعل انتشارُ التعليم دراسةَ الرأي العام أكثر إلحاحاً: لأنه رفع عدد القادرين على الكلام (بورديو، 1986، ص 241–258).</w:t>
      </w:r>
    </w:p>
    <w:p>
      <w:pPr>
        <w:bidi/>
        <w:spacing w:before="0" w:after="100" w:line="288" w:lineRule="auto"/>
        <w:ind w:firstLine="369"/>
        <w:jc w:val="both"/>
      </w:pPr>
      <w:r>
        <w:rPr>
          <w:rFonts w:ascii="Arial" w:hAnsi="Arial" w:cs="Traditional Arabic" w:eastAsia="Traditional Arabic"/>
          <w:b w:val="0"/>
          <w:i w:val="0"/>
          <w:sz w:val="25"/>
          <w:lang w:val="ar-SA" w:bidi="ar-SA"/>
        </w:rPr>
        <w:t>وفي السياق السوري، تُظهر نتائج «المؤشر العربي في سورية 2025» أن 19% من المستجيبين يرون «الثقافة السورية المشتركة» أهم عامل يُشكّل الهوية الوطنية، تليها اللغة العربية بنسبة 17%، ثم العيش على الأرض السورية والتنوّع المجتمعي؛ أي أن الثقافة — لا الجغرافيا وحدها — هي الإطار الذي يُقرأ به الرأي العام (المركز العربي، 2025، قسم «قضايا الاندماج المجتمعي والهوية الوطنية»). كما يُذكّر شيلر بأن السرديات الاقتصادية المتوارثة تنتشر بين الناس انتقال الوباء، فتُغيّر قراراتهم قبل أن تتغيّر الأرقام؛ فقصةٌ متداولة عن «الذهب ملاذٌ آمن» أو عن «الودائع غير آمنة» قد تكون أقوى أثراً من نشرة مالية رسمية (شيلر، 2019، ص 3–12).</w:t>
      </w:r>
    </w:p>
    <w:p>
      <w:pPr>
        <w:bidi/>
        <w:spacing w:before="0" w:after="100" w:line="288" w:lineRule="auto"/>
        <w:ind w:firstLine="369"/>
        <w:jc w:val="both"/>
      </w:pPr>
      <w:r>
        <w:rPr>
          <w:rFonts w:ascii="Arial" w:hAnsi="Arial" w:cs="Traditional Arabic" w:eastAsia="Traditional Arabic"/>
          <w:b w:val="0"/>
          <w:i w:val="0"/>
          <w:sz w:val="25"/>
          <w:lang w:val="ar-SA" w:bidi="ar-SA"/>
        </w:rPr>
        <w:t>وقد لمستُ ذلك مراراً على الشبّاك: متعاملون مسنّون يُفضّلون النقد الورقي لا لأنه أسرع، بل لأنه «موجود بين أيديهم»، ولأن ذاكرةً طويلة جعلت من الورقة رمزاً للأمان. وحين نشرح لهم خدمة الدفع الإلكتروني، لا نكون أمام مشكلة تقنية، بل أمام تفاوض ثقافيّ بين جيل وجيل؛ ومهمتي ليست أن أسخر من مخاوفهم، بل أن أترجم لهم التقنية بلغة تحترم تجربتهم. (من ملاحظات الباحث، في ضوء (هوفستيد، 2001، ص 9؛ عبده، 2004، ص 74).)</w:t>
      </w:r>
    </w:p>
    <w:p>
      <w:pPr>
        <w:keepNext/>
        <w:bidi/>
        <w:spacing w:before="160" w:after="80" w:line="276" w:lineRule="auto"/>
        <w:jc w:val="right"/>
      </w:pPr>
      <w:r>
        <w:rPr>
          <w:rFonts w:ascii="Arial" w:hAnsi="Arial" w:cs="Traditional Arabic" w:eastAsia="Traditional Arabic"/>
          <w:b/>
          <w:i w:val="0"/>
          <w:color w:val="1F3864"/>
          <w:sz w:val="25"/>
          <w:lang w:val="ar-SA" w:bidi="ar-SA"/>
        </w:rPr>
        <w:t>ثانياً: الخلفية النفسية — من الانفعال إلى الموقف</w:t>
      </w:r>
    </w:p>
    <w:p>
      <w:pPr>
        <w:bidi/>
        <w:spacing w:before="0" w:after="100" w:line="288" w:lineRule="auto"/>
        <w:ind w:firstLine="369"/>
        <w:jc w:val="both"/>
      </w:pPr>
      <w:r>
        <w:rPr>
          <w:rFonts w:ascii="Arial" w:hAnsi="Arial" w:cs="Traditional Arabic" w:eastAsia="Traditional Arabic"/>
          <w:b w:val="0"/>
          <w:i w:val="0"/>
          <w:sz w:val="25"/>
          <w:lang w:val="ar-SA" w:bidi="ar-SA"/>
        </w:rPr>
        <w:t>إذا كانت الثقافة تُقدّم «المعنى»، فإن علم النفس يُفسّر «الاستقبال». فالاتجاه النفسي — وهو المادة الخام للرأي العام — يتكوّن من ثلاثة مكوّنات: معرفيّ (ما أعرفه عن القضية)، ووجدانيّ (ما أشعر به حيالها)، وسلوكيّ (ما أميل إلى فعله إزاءها)؛ ولا يصير الرأي رأياً عاماً إلا إذا انتقل من المكوّن المعرفي إلى تعبيرٍ اجتماعيّ ظاهر (حجاب، 1998، ص 47–48؛ العبد، 2006، ص 85).</w:t>
      </w:r>
    </w:p>
    <w:p>
      <w:pPr>
        <w:bidi/>
        <w:spacing w:before="0" w:after="100" w:line="288" w:lineRule="auto"/>
        <w:ind w:firstLine="369"/>
        <w:jc w:val="both"/>
      </w:pPr>
      <w:r>
        <w:rPr>
          <w:rFonts w:ascii="Arial" w:hAnsi="Arial" w:cs="Traditional Arabic" w:eastAsia="Traditional Arabic"/>
          <w:b w:val="0"/>
          <w:i w:val="0"/>
          <w:sz w:val="25"/>
          <w:lang w:val="ar-SA" w:bidi="ar-SA"/>
        </w:rPr>
        <w:t>وقد بيّن فيستنغر أن الإنسان حين تصطدم معلومة جديدة بقناعة راسخة يشعر بتوتّرٍ معرفيّ يُسمّى «التنافر»، فيُسارع إلى تخفيفه — لا بتصحيح قناعته غالباً، بل بالتشكيك في مصدر المعلومة؛ ولهذا تفشل أحياناً التصريحات المطمئنة حين تكون مسبوقة بتجربة مريرة (فيستنغر، 1957، ص 3–18). ويُكمل أجزن ذلك بنظرية السلوك المخطَّط: فالاتجاه وحده لا يكفي، بل لا بدّ أن يشعر الفرد بأن الجماعة تُقرّ سلوكه، وأنه يملك قدرةً فعلية على التنفيذ، لتتحوّل النيّة إلى فعل (أجزن، 1991، ص 179–211). أمّا كاهنمان وتفرسكي فيُقدّمان المفتاح الأهم في فهم الأزمات: «النفور من الخسارة»؛ فألم خسارة مبلغٍ ما أشدّ وقعاً على النفس من متعة ربح المبلغ نفسه، ولذلك يُسارع الناس إلى حماية ما يملكونه عند أول شكّ (كاهنمان وتفرسكي، 1979، ص 263–291).</w:t>
      </w:r>
    </w:p>
    <w:p>
      <w:pPr>
        <w:bidi/>
        <w:spacing w:before="0" w:after="100" w:line="288" w:lineRule="auto"/>
        <w:ind w:firstLine="369"/>
        <w:jc w:val="both"/>
      </w:pPr>
      <w:r>
        <w:rPr>
          <w:rFonts w:ascii="Arial" w:hAnsi="Arial" w:cs="Traditional Arabic" w:eastAsia="Traditional Arabic"/>
          <w:b w:val="0"/>
          <w:i w:val="0"/>
          <w:sz w:val="25"/>
          <w:lang w:val="ar-SA" w:bidi="ar-SA"/>
        </w:rPr>
        <w:t>وتجتمع هذه العوامل كلها في نظرية لولب الصمت: فالخوف من العزلة يجعل الفرد يُراقب مناخ الرأي السائد قبل أن يتكلّم، فإذا خالف رأيُه الأغلبية المُتخيّلة آثر الصمت، فيبدو الإجماعُ أكبر مما هو عليه (نويل نيومان، 1974، ص 43–51). أمّا التهامي فيُحذّر من أن الشائعة — وهي خبرٌ لا أساس له أو مبالغة في خبرٍ صحيح — تجد تربتها الخصبة في الغموض والقلق، وأنها أداةٌ من أدوات الحرب النفسية التي تُستعمل لتحويل الانتباه وإثارة الرعب في أوقات الأزمات (التهامي، 1979، ص 103–114).</w:t>
      </w:r>
    </w:p>
    <w:p>
      <w:pPr>
        <w:bidi/>
        <w:spacing w:before="0" w:after="100" w:line="288" w:lineRule="auto"/>
        <w:ind w:firstLine="369"/>
        <w:jc w:val="both"/>
      </w:pPr>
      <w:r>
        <w:rPr>
          <w:rFonts w:ascii="Arial" w:hAnsi="Arial" w:cs="Traditional Arabic" w:eastAsia="Traditional Arabic"/>
          <w:b w:val="0"/>
          <w:i w:val="0"/>
          <w:sz w:val="25"/>
          <w:lang w:val="ar-SA" w:bidi="ar-SA"/>
        </w:rPr>
        <w:t>وتطبيقاً على يومياتي في المصرف: حين ينتظر عشرون متعاملاً دورهم وتنتقل بينهم رسالةٌ مجهولة المصدر تقول إن «الصرّافات ستتوقّف غداً»، فإن أول ما ينهار ليس النظام التقني، بل الشعور بالأمان. حينها تُصبح جملةٌ واحدة صادقة من موظفٍ هادئ — «الخدمة تعمل، وودائعكم محفوظة، وإليكم الرقم الرسمي للتحقّق» — أبلغ من عشرة منشورات تقنية. إن عملي تحت الضغط علّمني أن التواصل ليس ترفاً إدارياً، بل هو خطّ الدفاع الأول عن الثقة. (من ملاحظات الباحث، مستنداً إلى (كاهنمان وتفرسكي، 1979، ص 268؛ كاتس ولازارسفيلد، 1955، ص 3).)</w:t>
      </w:r>
    </w:p>
    <w:p>
      <w:pPr>
        <w:bidi/>
        <w:spacing w:before="0" w:after="100" w:line="288" w:lineRule="auto"/>
        <w:ind w:firstLine="369"/>
        <w:jc w:val="both"/>
      </w:pPr>
      <w:r>
        <w:rPr>
          <w:rFonts w:ascii="Arial" w:hAnsi="Arial" w:cs="Traditional Arabic" w:eastAsia="Traditional Arabic"/>
          <w:b w:val="0"/>
          <w:i w:val="0"/>
          <w:sz w:val="25"/>
          <w:lang w:val="ar-SA" w:bidi="ar-SA"/>
        </w:rPr>
        <w:t>وتؤكّد البيانات الميدانية هذا التحليل؛ ففي الاستطلاع السوري نفسه يوافق نحو 80% من المستجيبين على أن وسائل التواصل «مكانٌ لاختلاق الأخبار الزائفة عن الآخرين»، ويوافق 78% على أنها مكانٌ لترويج الخطاب الطائفي، في حين يراها 79% وسيلةً جيّدة للتعبير عن الرأي. إنها ازدواجيةٌ نفسية دقيقة: الناس يُقدّرون حرية التعبير ويخافون نتائجه في اللحظة ذاتها (المركز العربي، 2025، قسم «التفاعل في المجال الافتراضي»).</w:t>
      </w:r>
    </w:p>
    <w:p>
      <w:pPr>
        <w:keepNext/>
        <w:bidi/>
        <w:spacing w:before="160" w:after="80" w:line="276" w:lineRule="auto"/>
        <w:jc w:val="right"/>
      </w:pPr>
      <w:r>
        <w:rPr>
          <w:rFonts w:ascii="Arial" w:hAnsi="Arial" w:cs="Traditional Arabic" w:eastAsia="Traditional Arabic"/>
          <w:b/>
          <w:i w:val="0"/>
          <w:color w:val="1F3864"/>
          <w:sz w:val="25"/>
          <w:lang w:val="ar-SA" w:bidi="ar-SA"/>
        </w:rPr>
        <w:t>ثالثاً: الخلفية الاجتماعية — الجماعة بوصفها مختبراً للرأي</w:t>
      </w:r>
    </w:p>
    <w:p>
      <w:pPr>
        <w:bidi/>
        <w:spacing w:before="0" w:after="100" w:line="288" w:lineRule="auto"/>
        <w:ind w:firstLine="369"/>
        <w:jc w:val="both"/>
      </w:pPr>
      <w:r>
        <w:rPr>
          <w:rFonts w:ascii="Arial" w:hAnsi="Arial" w:cs="Traditional Arabic" w:eastAsia="Traditional Arabic"/>
          <w:b w:val="0"/>
          <w:i w:val="0"/>
          <w:sz w:val="25"/>
          <w:lang w:val="ar-SA" w:bidi="ar-SA"/>
        </w:rPr>
        <w:t>تتكوّن البنية الاجتماعية للرأي عبر مؤسسات التنشئة المتتابعة: الأسرة، والمدرسة، والجامعة، ودور العبادة، ومكان العمل، وجماعة الأقران، ووسائل الإعلام، ثم الجماعات التطوعية. ويُعرّف بوتنام رأس المال الاجتماعي بأنه شبكات الثقة والمعاملة بالمثل والتطوّع التي تُسهّل التعاون وتُخفض تكلفة الحياة العامة؛ فالمجتمع الغنيّ بهذه الشبكات يُنتج رأياً عاماً أكثر اتزاناً، لأن أفراده اعتادوا الإصغاء لبعضهم قبل أن يتخانقوا (بوتنام، 2000، ص 19–24). وفي المقابل، تُحذّر نظرية الهوية الاجتماعية من أن انتماء الفرد إلى جماعة قد يُنتج تصنيفاً حادّاً بين «نحن» و«هم»، فيتحوّل الخلاف في الرأي إلى خلافٍ في الانتماء (تاجفيل وتيرنر، 1979، ص 33–47).</w:t>
      </w:r>
    </w:p>
    <w:p>
      <w:pPr>
        <w:bidi/>
        <w:spacing w:before="0" w:after="100" w:line="288" w:lineRule="auto"/>
        <w:ind w:firstLine="369"/>
        <w:jc w:val="both"/>
      </w:pPr>
      <w:r>
        <w:rPr>
          <w:rFonts w:ascii="Arial" w:hAnsi="Arial" w:cs="Traditional Arabic" w:eastAsia="Traditional Arabic"/>
          <w:b w:val="0"/>
          <w:i w:val="0"/>
          <w:sz w:val="25"/>
          <w:lang w:val="ar-SA" w:bidi="ar-SA"/>
        </w:rPr>
        <w:t>وهنا تظهر أهمية الحركة الكشفية في تجربتنا المشتركة: فالفوج الكشفي — على صغره — مختبرٌ كامل لديناميكية الرأي. حين نُوزّع مهامّ مخيمٍ صيفي، لا يُتخذ القرار بأمرٍ إداريّ بارد، بل بحلقة نقاشٍ يجلس فيها القائد مع الأعضاء على الأرض، فيُصغي للمتردّد قبل المتحمّس، ويُعيد صياغة الاعتراض ليصير جزءاً من الحلّ. تعلّمتُ من هذه الحلقات أن «القائد لا يصنع الرأي، بل يهيّئ مكاناً يولد فيه»؛ وهي القاعدة نفسها التي أُطبّقها اليوم حين أشرح لزميلٍ في العمليات سبب تعديل إجراءٍ تقنيّ بدل أن أُرسل إليه أمراً عبر البريد الإلكتروني. (من ملاحظات الباحث، في ضوء (كاتس ولازارسفيلد، 1955، ص 3؛ بوتنام، 2000، ص 19).)</w:t>
      </w:r>
    </w:p>
    <w:p>
      <w:pPr>
        <w:bidi/>
        <w:spacing w:before="0" w:after="100" w:line="288" w:lineRule="auto"/>
        <w:ind w:firstLine="369"/>
        <w:jc w:val="both"/>
      </w:pPr>
      <w:r>
        <w:rPr>
          <w:rFonts w:ascii="Arial" w:hAnsi="Arial" w:cs="Traditional Arabic" w:eastAsia="Traditional Arabic"/>
          <w:b w:val="0"/>
          <w:i w:val="0"/>
          <w:sz w:val="25"/>
          <w:lang w:val="ar-SA" w:bidi="ar-SA"/>
        </w:rPr>
        <w:t>أمّا الواقع المعيشي فيُضيف طبقةً حاسمة: فبحسب الاستطلاع نفسه، تُقيّم الأغلبيةُ الوضعَ الاقتصادي بسلبية، ويُفيد 42% من المستجيبين أن أسرهم تعيش في حاجةٍ وعوز، و43% في حالة كفاف، بينما تعتمد 36% من الأسر على تحويلات مالية من الخارج. هذه الأرقام ليست مجرد إحصاءات؛ إنها تُحدّد «مزاج» الرأي العام، وتجعل القضايا المعيشية في مقدّمة أولوياته، وتُفسّر لماذا يتحوّل أيّ تغييرٍ في السعر أو الرسم إلى قضية رأي عام في دقائق (المركز العربي، 2025، قسم «الأوضاع العامة في سورية»).</w:t>
      </w:r>
    </w:p>
    <w:p>
      <w:pPr>
        <w:bidi/>
        <w:spacing w:before="0" w:after="100" w:line="288" w:lineRule="auto"/>
        <w:ind w:firstLine="369"/>
        <w:jc w:val="both"/>
      </w:pPr>
      <w:r>
        <w:rPr>
          <w:rFonts w:ascii="Arial" w:hAnsi="Arial" w:cs="Traditional Arabic" w:eastAsia="Traditional Arabic"/>
          <w:b w:val="0"/>
          <w:i w:val="0"/>
          <w:sz w:val="25"/>
          <w:lang w:val="ar-SA" w:bidi="ar-SA"/>
        </w:rPr>
        <w:t>ويجب أن نُضيف أن البنية الاجتماعية للرأي العام ليست متجانسة رقمياً؛ فمع ارتفاع نسبة استخدام الإنترنت إلى 78%، يبقى نحو خُمس المجتمع خارج الفضاء الرقمي، وهم غالباً من الفئات الأشدّ حاجةً إلى من يسمع صوتها. لذلك لا يكفي «الإنصات للمنصات»، بل لا بدّ من مسوحٍ ميدانية تصل إلى البيوت والقرى، وإلا جاء الرأي العام المقاس منحازاً إلى الأكثر اتصالاً لا إلى الأكثر تضرّراً (المركز العربي، 2025، قسم «التفاعل في المجال الافتراضي»؛ تيشنور، 1970، ص 159–170).</w:t>
      </w:r>
    </w:p>
    <w:p>
      <w:pPr>
        <w:keepNext/>
        <w:bidi/>
        <w:spacing w:before="120" w:after="80" w:line="288" w:lineRule="auto"/>
        <w:jc w:val="center"/>
      </w:pPr>
      <w:r>
        <w:rPr>
          <w:rFonts w:ascii="Arial" w:hAnsi="Arial" w:cs="Traditional Arabic" w:eastAsia="Traditional Arabic"/>
          <w:b/>
          <w:i w:val="0"/>
          <w:color w:val="1F4E79"/>
          <w:sz w:val="21"/>
          <w:lang w:val="ar-SA" w:bidi="ar-SA"/>
        </w:rPr>
        <w:t>جدول (3): طبقات الخلفية المُكوِّنة للرأي العام — إعداد الباحث</w:t>
      </w:r>
    </w:p>
    <w:tbl>
      <w:tblPr>
        <w:tblStyle w:val="TableGrid"/>
        <w:bidiVisual/>
        <w:tblW w:type="auto" w:w="0"/>
        <w:jc w:val="center"/>
        <w:tblLayout w:type="fixed"/>
        <w:tblLook w:firstColumn="1" w:firstRow="1" w:lastColumn="0" w:lastRow="0" w:noHBand="0" w:noVBand="1" w:val="04A0"/>
      </w:tblPr>
      <w:tblGrid>
        <w:gridCol w:w="3099"/>
        <w:gridCol w:w="3099"/>
        <w:gridCol w:w="3099"/>
      </w:tblGrid>
      <w:tr>
        <w:tc>
          <w:tcPr>
            <w:tcW w:type="dxa" w:w="1674"/>
            <w:shd w:val="clear" w:color="auto" w:fill="DCE6F1"/>
          </w:tcPr>
          <w:p>
            <w:pPr>
              <w:bidi/>
              <w:spacing w:after="40" w:before="40"/>
              <w:jc w:val="center"/>
            </w:pPr>
            <w:r>
              <w:rPr>
                <w:rFonts w:ascii="Arial" w:hAnsi="Arial" w:cs="Traditional Arabic" w:eastAsia="Traditional Arabic"/>
                <w:b/>
                <w:i w:val="0"/>
                <w:color w:val="1F4E79"/>
                <w:sz w:val="20"/>
                <w:lang w:val="ar-SA" w:bidi="ar-SA"/>
              </w:rPr>
              <w:t>الطبقة</w:t>
            </w:r>
          </w:p>
        </w:tc>
        <w:tc>
          <w:tcPr>
            <w:tcW w:type="dxa" w:w="3719"/>
            <w:shd w:val="clear" w:color="auto" w:fill="DCE6F1"/>
          </w:tcPr>
          <w:p>
            <w:pPr>
              <w:bidi/>
              <w:spacing w:after="40" w:before="40"/>
              <w:jc w:val="center"/>
            </w:pPr>
            <w:r>
              <w:rPr>
                <w:rFonts w:ascii="Arial" w:hAnsi="Arial" w:cs="Traditional Arabic" w:eastAsia="Traditional Arabic"/>
                <w:b/>
                <w:i w:val="0"/>
                <w:color w:val="1F4E79"/>
                <w:sz w:val="20"/>
                <w:lang w:val="ar-SA" w:bidi="ar-SA"/>
              </w:rPr>
              <w:t>السؤال الذي تُجيب عنه</w:t>
            </w:r>
          </w:p>
        </w:tc>
        <w:tc>
          <w:tcPr>
            <w:tcW w:type="dxa" w:w="3905"/>
            <w:shd w:val="clear" w:color="auto" w:fill="DCE6F1"/>
          </w:tcPr>
          <w:p>
            <w:pPr>
              <w:bidi/>
              <w:spacing w:after="40" w:before="40"/>
              <w:jc w:val="center"/>
            </w:pPr>
            <w:r>
              <w:rPr>
                <w:rFonts w:ascii="Arial" w:hAnsi="Arial" w:cs="Traditional Arabic" w:eastAsia="Traditional Arabic"/>
                <w:b/>
                <w:i w:val="0"/>
                <w:color w:val="1F4E79"/>
                <w:sz w:val="20"/>
                <w:lang w:val="ar-SA" w:bidi="ar-SA"/>
              </w:rPr>
              <w:t>شاهد من الواقع</w:t>
            </w:r>
          </w:p>
        </w:tc>
      </w:tr>
      <w:tr>
        <w:tc>
          <w:tcPr>
            <w:tcW w:type="dxa" w:w="1674"/>
          </w:tcPr>
          <w:p>
            <w:pPr>
              <w:bidi/>
              <w:spacing w:after="20" w:before="20" w:line="264" w:lineRule="auto"/>
              <w:jc w:val="right"/>
            </w:pPr>
            <w:r>
              <w:rPr>
                <w:rFonts w:ascii="Arial" w:hAnsi="Arial" w:cs="Traditional Arabic" w:eastAsia="Traditional Arabic"/>
                <w:b w:val="0"/>
                <w:i w:val="0"/>
                <w:sz w:val="20"/>
                <w:lang w:val="ar-SA" w:bidi="ar-SA"/>
              </w:rPr>
              <w:t>الثقافية</w:t>
            </w:r>
          </w:p>
        </w:tc>
        <w:tc>
          <w:tcPr>
            <w:tcW w:type="dxa" w:w="3719"/>
          </w:tcPr>
          <w:p>
            <w:pPr>
              <w:bidi/>
              <w:spacing w:after="20" w:before="20" w:line="264" w:lineRule="auto"/>
              <w:jc w:val="right"/>
            </w:pPr>
            <w:r>
              <w:rPr>
                <w:rFonts w:ascii="Arial" w:hAnsi="Arial" w:cs="Traditional Arabic" w:eastAsia="Traditional Arabic"/>
                <w:b w:val="0"/>
                <w:i w:val="0"/>
                <w:sz w:val="20"/>
                <w:lang w:val="ar-SA" w:bidi="ar-SA"/>
              </w:rPr>
              <w:t>ماذا تعني لنا هذه القضية أصلاً؟</w:t>
            </w:r>
          </w:p>
        </w:tc>
        <w:tc>
          <w:tcPr>
            <w:tcW w:type="dxa" w:w="3905"/>
          </w:tcPr>
          <w:p>
            <w:pPr>
              <w:bidi/>
              <w:spacing w:after="20" w:before="20" w:line="264" w:lineRule="auto"/>
              <w:jc w:val="right"/>
            </w:pPr>
            <w:r>
              <w:rPr>
                <w:rFonts w:ascii="Arial" w:hAnsi="Arial" w:cs="Traditional Arabic" w:eastAsia="Traditional Arabic"/>
                <w:b w:val="0"/>
                <w:i w:val="0"/>
                <w:sz w:val="20"/>
                <w:lang w:val="ar-SA" w:bidi="ar-SA"/>
              </w:rPr>
              <w:t>تمسّك جيلٍ بالنقد الورقي بوصفه رمز أمان</w:t>
            </w:r>
          </w:p>
        </w:tc>
      </w:tr>
      <w:tr>
        <w:tc>
          <w:tcPr>
            <w:tcW w:type="dxa" w:w="167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النفسية</w:t>
            </w:r>
          </w:p>
        </w:tc>
        <w:tc>
          <w:tcPr>
            <w:tcW w:type="dxa" w:w="3719"/>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كيف نستقبل المعلومة ونُحوّلها موقفاً؟</w:t>
            </w:r>
          </w:p>
        </w:tc>
        <w:tc>
          <w:tcPr>
            <w:tcW w:type="dxa" w:w="390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شائعةٌ عن توقّف الصرّافات تُحدث طابور سحب</w:t>
            </w:r>
          </w:p>
        </w:tc>
      </w:tr>
      <w:tr>
        <w:tc>
          <w:tcPr>
            <w:tcW w:type="dxa" w:w="1674"/>
          </w:tcPr>
          <w:p>
            <w:pPr>
              <w:bidi/>
              <w:spacing w:after="20" w:before="20" w:line="264" w:lineRule="auto"/>
              <w:jc w:val="right"/>
            </w:pPr>
            <w:r>
              <w:rPr>
                <w:rFonts w:ascii="Arial" w:hAnsi="Arial" w:cs="Traditional Arabic" w:eastAsia="Traditional Arabic"/>
                <w:b w:val="0"/>
                <w:i w:val="0"/>
                <w:sz w:val="20"/>
                <w:lang w:val="ar-SA" w:bidi="ar-SA"/>
              </w:rPr>
              <w:t>الاجتماعية</w:t>
            </w:r>
          </w:p>
        </w:tc>
        <w:tc>
          <w:tcPr>
            <w:tcW w:type="dxa" w:w="3719"/>
          </w:tcPr>
          <w:p>
            <w:pPr>
              <w:bidi/>
              <w:spacing w:after="20" w:before="20" w:line="264" w:lineRule="auto"/>
              <w:jc w:val="right"/>
            </w:pPr>
            <w:r>
              <w:rPr>
                <w:rFonts w:ascii="Arial" w:hAnsi="Arial" w:cs="Traditional Arabic" w:eastAsia="Traditional Arabic"/>
                <w:b w:val="0"/>
                <w:i w:val="0"/>
                <w:sz w:val="20"/>
                <w:lang w:val="ar-SA" w:bidi="ar-SA"/>
              </w:rPr>
              <w:t>مَن يتكلّم، ومَن يصمت، ولماذا؟</w:t>
            </w:r>
          </w:p>
        </w:tc>
        <w:tc>
          <w:tcPr>
            <w:tcW w:type="dxa" w:w="3905"/>
          </w:tcPr>
          <w:p>
            <w:pPr>
              <w:bidi/>
              <w:spacing w:after="20" w:before="20" w:line="264" w:lineRule="auto"/>
              <w:jc w:val="right"/>
            </w:pPr>
            <w:r>
              <w:rPr>
                <w:rFonts w:ascii="Arial" w:hAnsi="Arial" w:cs="Traditional Arabic" w:eastAsia="Traditional Arabic"/>
                <w:b w:val="0"/>
                <w:i w:val="0"/>
                <w:sz w:val="20"/>
                <w:lang w:val="ar-SA" w:bidi="ar-SA"/>
              </w:rPr>
              <w:t>حلقة النقاش الكشفية تُشرك المتردّد</w:t>
            </w:r>
          </w:p>
        </w:tc>
      </w:tr>
      <w:tr>
        <w:tc>
          <w:tcPr>
            <w:tcW w:type="dxa" w:w="167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الاقتصادية</w:t>
            </w:r>
          </w:p>
        </w:tc>
        <w:tc>
          <w:tcPr>
            <w:tcW w:type="dxa" w:w="3719"/>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ما الذي يُحدّد الأولويات المعيشية؟</w:t>
            </w:r>
          </w:p>
        </w:tc>
        <w:tc>
          <w:tcPr>
            <w:tcW w:type="dxa" w:w="390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42% عوز و43% كفاف و36% تحويلات</w:t>
            </w:r>
          </w:p>
        </w:tc>
      </w:tr>
    </w:tbl>
    <w:p>
      <w:pPr>
        <w:spacing w:after="40"/>
      </w:pPr>
    </w:p>
    <w:p>
      <w:pPr>
        <w:bidi/>
        <w:spacing w:before="0" w:after="100" w:line="288" w:lineRule="auto"/>
        <w:ind w:firstLine="369"/>
        <w:jc w:val="both"/>
      </w:pPr>
      <w:r>
        <w:rPr>
          <w:rFonts w:ascii="Arial" w:hAnsi="Arial" w:cs="Traditional Arabic" w:eastAsia="Traditional Arabic"/>
          <w:b w:val="0"/>
          <w:i w:val="0"/>
          <w:sz w:val="25"/>
          <w:lang w:val="ar-SA" w:bidi="ar-SA"/>
        </w:rPr>
        <w:t>خلاصة المبحث: الرأي العام لا يُصنع في لحظة النشر، بل يُطهى على نارٍ هادئة: ثقافةٌ تُعطي المعنى، ونفسٌ تُلوّنه بالخوف أو الأمل، وجماعةٌ تُقرّر مَن يُسمع صوته. فإذا أردنا أن نفهم رأي الناس في سياسةٍ اقتصادية، فعلينا أن نفهم أوّلاً حكاياتهم ومخاوفهم وروابطهم، لا أن نكتفي بسؤالهم: هل تؤيّد؟ (من ملاحظات الباحث، في ضوء (عبد الحميد، 2005، ص 21؛ شيلر، 2019، ص 12).)</w:t>
      </w:r>
    </w:p>
    <w:p>
      <w:pPr>
        <w:keepNext/>
        <w:bidi/>
        <w:spacing w:before="200" w:after="120" w:line="276" w:lineRule="auto"/>
        <w:jc w:val="right"/>
      </w:pPr>
      <w:r>
        <w:rPr>
          <w:rFonts w:ascii="Arial" w:hAnsi="Arial" w:cs="Traditional Arabic" w:eastAsia="Traditional Arabic"/>
          <w:b/>
          <w:i w:val="0"/>
          <w:color w:val="2E74B5"/>
          <w:sz w:val="28"/>
          <w:lang w:val="ar-SA" w:bidi="ar-SA"/>
        </w:rPr>
        <w:t>المبحث الثاني: رأيي في الرأي العام وعلاقته بالسياسة الاقتصادية للبلد</w:t>
      </w:r>
    </w:p>
    <w:p>
      <w:pPr>
        <w:bidi/>
        <w:spacing w:before="0" w:after="100" w:line="288" w:lineRule="auto"/>
        <w:ind w:firstLine="369"/>
        <w:jc w:val="both"/>
      </w:pPr>
      <w:r>
        <w:rPr>
          <w:rFonts w:ascii="Arial" w:hAnsi="Arial" w:cs="Traditional Arabic" w:eastAsia="Traditional Arabic"/>
          <w:b w:val="0"/>
          <w:i w:val="0"/>
          <w:sz w:val="25"/>
          <w:lang w:val="ar-SA" w:bidi="ar-SA"/>
        </w:rPr>
        <w:t>تقول مشكلة البحث إن التغيّرات الاقتصادية جعلت دراسات الرأي العام ضروريةً لتوسيع الإنتاج والتخطيط الاقتصادي. وأنا أُوافق على ذلك، لكنني أُضيف إليه توضيحاً منهجياً: الرأي العام ليس «نتيجة» للسياسة الاقتصادية يُقاس بعد تنفيذها فحسب، بل هو «مُدخل» فيها، ومؤشّرٌ سابقٌ على ما ستؤول إليه الأسواق. فالتوقّعات — لا الأرقام وحدها — تُحرّك الاقتصاد، كما أشار كينز حين تحدّث عن «الأرواح الحيوانية» التي تدفع المستثمر إلى الإقدام أو الإحجام قبل أن تكتمل حساباته (كينز، 1936، ص 161–162؛ أكرلوف وشيلر، 2009، ص 5).</w:t>
      </w:r>
    </w:p>
    <w:p>
      <w:pPr>
        <w:keepNext/>
        <w:bidi/>
        <w:spacing w:before="160" w:after="80" w:line="276" w:lineRule="auto"/>
        <w:jc w:val="right"/>
      </w:pPr>
      <w:r>
        <w:rPr>
          <w:rFonts w:ascii="Arial" w:hAnsi="Arial" w:cs="Traditional Arabic" w:eastAsia="Traditional Arabic"/>
          <w:b/>
          <w:i w:val="0"/>
          <w:color w:val="1F3864"/>
          <w:sz w:val="25"/>
          <w:lang w:val="ar-SA" w:bidi="ar-SA"/>
        </w:rPr>
        <w:t>1. الثقة: أصلٌ اقتصاديّ لا يُسجَّل في الميزانية</w:t>
      </w:r>
    </w:p>
    <w:p>
      <w:pPr>
        <w:bidi/>
        <w:spacing w:before="0" w:after="100" w:line="288" w:lineRule="auto"/>
        <w:ind w:firstLine="369"/>
        <w:jc w:val="both"/>
      </w:pPr>
      <w:r>
        <w:rPr>
          <w:rFonts w:ascii="Arial" w:hAnsi="Arial" w:cs="Traditional Arabic" w:eastAsia="Traditional Arabic"/>
          <w:b w:val="0"/>
          <w:i w:val="0"/>
          <w:sz w:val="25"/>
          <w:lang w:val="ar-SA" w:bidi="ar-SA"/>
        </w:rPr>
        <w:t>يُبيّن فوكوياما أن المجتمعات عالية الثقة تُنجز معاملاتها بتكلفةٍ أقلّ؛ لأن الثقة تُغني عن عقودٍ طويلة ومراقبةٍ مكثّفة وإجراءاتٍ مُعقّدة، فتُوفّر الوقت والمال معاً لصالح الإنتاج (فوكوياما، 1995، ص 7–12). وأرى — من واقع عملي — أن الثقة في القطاع المالي تُقاس بأمورٍ صغيرة قبل الكبيرة: بزمن استجابة التطبيق، بوضوح جدول الرسوم، باحترام خصوصية بيانات المتعامل، وبطريقة اعتذار الموظف عن خطأٍ تقنيّ. فكلّ خللٍ بسيط يُسجّل في ذاكرة الناس بوصفه «دليلاً»، وكلّ تجربةٍ إيجابية تُسجّل بوصفها «استثناءً»؛ وهذا هو النفور من الخسارة بعينه (كاهنمان وتفرسكي، 1979، ص 268).</w:t>
      </w:r>
    </w:p>
    <w:p>
      <w:pPr>
        <w:bidi/>
        <w:spacing w:before="0" w:after="100" w:line="288" w:lineRule="auto"/>
        <w:ind w:firstLine="369"/>
        <w:jc w:val="both"/>
      </w:pPr>
      <w:r>
        <w:rPr>
          <w:rFonts w:ascii="Arial" w:hAnsi="Arial" w:cs="Traditional Arabic" w:eastAsia="Traditional Arabic"/>
          <w:b w:val="0"/>
          <w:i w:val="0"/>
          <w:sz w:val="25"/>
          <w:lang w:val="ar-SA" w:bidi="ar-SA"/>
        </w:rPr>
        <w:t>وليس هذا الكلام تأمّلاً نظرياً؛ ففي آب/أغسطس 2026 أقرّ البنك الدولي منحةً بقيمة 100 مليون دولار لتحديث القطاع المالي السوري، واصفاً القطاع بأنه صغير، يتركّز حول البنوك، وشديد الاعتماد على النقد، مع بنية تحتية رقمية قديمة. ويستهدف المشروع تمكين 15 مليون عملية دفع إلكتروني بالتجزئة سنوياً، وإدخال 500 ألف فرد ومنشأة — منهم 150 ألف امرأة — إلى استخدام المدفوعات الرقمية، مع تطوير نظام البنك المركزي الأساسي، والأمن السيبراني، ومراجعات مستقلة لجودة أصول الجهاز المصرفي بأكمله (البنك الدولي 2026، 2026، الفقرة 2–5). إن قراءة هذا الخبر من زاوية علم الاجتماع تُظهر أن المشروع ليس مشروع «أجهزة» فقط، بل مشروع «ثقة»: فالمدفوعات الرقمية لن تُستعمل ما لم يقتنع الناس بأن أموالهم محفوظة وأن النظام يعمل حين يحتاجونه.</w:t>
      </w:r>
    </w:p>
    <w:p>
      <w:pPr>
        <w:keepNext/>
        <w:bidi/>
        <w:spacing w:before="160" w:after="80" w:line="276" w:lineRule="auto"/>
        <w:jc w:val="right"/>
      </w:pPr>
      <w:r>
        <w:rPr>
          <w:rFonts w:ascii="Arial" w:hAnsi="Arial" w:cs="Traditional Arabic" w:eastAsia="Traditional Arabic"/>
          <w:b/>
          <w:i w:val="0"/>
          <w:color w:val="1F3864"/>
          <w:sz w:val="25"/>
          <w:lang w:val="ar-SA" w:bidi="ar-SA"/>
        </w:rPr>
        <w:t>2. من الرأي إلى السلوك الاقتصادي: سلسلة التأثير</w:t>
      </w:r>
    </w:p>
    <w:p>
      <w:pPr>
        <w:bidi/>
        <w:spacing w:before="0" w:after="100" w:line="288" w:lineRule="auto"/>
        <w:ind w:firstLine="369"/>
        <w:jc w:val="both"/>
      </w:pPr>
      <w:r>
        <w:rPr>
          <w:rFonts w:ascii="Arial" w:hAnsi="Arial" w:cs="Traditional Arabic" w:eastAsia="Traditional Arabic"/>
          <w:b w:val="0"/>
          <w:i w:val="0"/>
          <w:sz w:val="25"/>
          <w:lang w:val="ar-SA" w:bidi="ar-SA"/>
        </w:rPr>
        <w:t>تتحوّل الآراء إلى وقائع اقتصادية عبر سلسلةٍ متصلة: توقّع ← قرار ← سلوك ← مؤشر ← سياسة. فإذا توقّع الناس ارتفاع الأسعار، أسرعوا إلى الشراء، فيرتفع الطلب فعلاً ويتحقّق التوقّع؛ وإذا شكّوا في سلامة مصرفٍ ما، سحبوا ودائعهم، فتضيق السيولة ويصبح الشكّ أزمةً حقيقية؛ وإذا آمنوا بالقنوات الرسمية، بقيت مدّخراتهم داخل الجهاز المصرفي فتحوّلت إلى قروضٍ للإنتاج وفرص عمل. إن الرأي العام هنا يعمل كـ«نبوءةٍ ذاتية التحقّق»، وهو ما يشرحه شيلر تحت مفهوم «الاقتصاد السردي»: قصّةٌ قصيرة متداولة تُغيّر سلوك ملايين الأشخاص قبل أن يتغيّر أيّ متغيّر مالي (شيلر، 2019، ص 3–12؛ كاهنمان وتفرسكي، 1979، ص 263).</w:t>
      </w:r>
    </w:p>
    <w:p>
      <w:pPr>
        <w:bidi/>
        <w:spacing w:before="0" w:after="100" w:line="288" w:lineRule="auto"/>
        <w:ind w:firstLine="369"/>
        <w:jc w:val="both"/>
      </w:pPr>
      <w:r>
        <w:rPr>
          <w:rFonts w:ascii="Arial" w:hAnsi="Arial" w:cs="Traditional Arabic" w:eastAsia="Traditional Arabic"/>
          <w:b w:val="0"/>
          <w:i w:val="0"/>
          <w:sz w:val="25"/>
          <w:lang w:val="ar-SA" w:bidi="ar-SA"/>
        </w:rPr>
        <w:t>وتُظهر بيانات الاستطلاع السوري صورةً مركّبة تستحقّ التأمّل: فمن جهة، يرى 59% من المستجيبين أن السياسات الاقتصادية للحكومة تُعبّر عن تطلّعاتهم، ويُفيد 56% أن الأمور تسير في الاتجاه الصحيح؛ ومن جهةٍ أخرى، تُقيّم الأغلبيةُ الوضعَ الاقتصادي بسلبية، ويرى 89% أن الفساد المالي والإداري منتشر، وإن كان 56% يعتقدون أنه أقلّ انتشاراً ممّا كان عليه سابقاً. كما تعتمد 36% من الأسر على تحويلات من الخارج. هذه ليست متناقضات، بل هي «رأي عام انتقالي»: أملٌ سياسيّ يقابله قلقٌ معيشيّ، وثقةٌ بالمستقبل تقابلها حاجةٌ مُلحّة باليوم (المركز العربي، 2025، قسم «الأوضاع العامة في سورية» وقسم «تقييم مؤسسات الدولة»).</w:t>
      </w:r>
    </w:p>
    <w:p>
      <w:pPr>
        <w:bidi/>
        <w:spacing w:before="0" w:after="100" w:line="288" w:lineRule="auto"/>
        <w:ind w:firstLine="369"/>
        <w:jc w:val="both"/>
      </w:pPr>
      <w:r>
        <w:rPr>
          <w:rFonts w:ascii="Arial" w:hAnsi="Arial" w:cs="Traditional Arabic" w:eastAsia="Traditional Arabic"/>
          <w:b w:val="0"/>
          <w:i w:val="0"/>
          <w:sz w:val="25"/>
          <w:lang w:val="ar-SA" w:bidi="ar-SA"/>
        </w:rPr>
        <w:t>وفي رأيي، فإن أخطر ما في هذه المرحلة هو «فجوة التوقّعات»: فإن رُفعت سقوف الأمل بخطابٍ إعلاميّ متفائل من دون ترجمةٍ ملموسة على أرض الواقع، تحوّل الأمل إلى إحباط، والإحباط إلى رأي عام غاضب، والغضب إلى سلوكٍ اقتصاديّ دفاعيّ: اكتناز، وهجرة، وعزوف عن الاستثمار. ولذلك فإن الصدق في الخطاب الاقتصادي — بما في ذلك الاعتراف بالصعوبات — هو سياسةٌ اقتصادية بحدّ ذاته (أكرلوف وشيلر، 2009، ص 5؛ أجزن، 1991، ص 179).</w:t>
      </w:r>
    </w:p>
    <w:p>
      <w:pPr>
        <w:keepNext/>
        <w:bidi/>
        <w:spacing w:before="120" w:after="80" w:line="288" w:lineRule="auto"/>
        <w:jc w:val="center"/>
      </w:pPr>
      <w:r>
        <w:rPr>
          <w:rFonts w:ascii="Arial" w:hAnsi="Arial" w:cs="Traditional Arabic" w:eastAsia="Traditional Arabic"/>
          <w:b/>
          <w:i w:val="0"/>
          <w:color w:val="1F4E79"/>
          <w:sz w:val="21"/>
          <w:lang w:val="ar-SA" w:bidi="ar-SA"/>
        </w:rPr>
        <w:t>جدول (4): سلسلة انتقال أثر الرأي العام إلى الاقتصاد — إعداد الباحث</w:t>
      </w:r>
    </w:p>
    <w:tbl>
      <w:tblPr>
        <w:tblStyle w:val="TableGrid"/>
        <w:bidiVisual/>
        <w:tblW w:type="auto" w:w="0"/>
        <w:jc w:val="center"/>
        <w:tblLayout w:type="fixed"/>
        <w:tblLook w:firstColumn="1" w:firstRow="1" w:lastColumn="0" w:lastRow="0" w:noHBand="0" w:noVBand="1" w:val="04A0"/>
      </w:tblPr>
      <w:tblGrid>
        <w:gridCol w:w="3099"/>
        <w:gridCol w:w="3099"/>
        <w:gridCol w:w="3099"/>
      </w:tblGrid>
      <w:tr>
        <w:tc>
          <w:tcPr>
            <w:tcW w:type="dxa" w:w="1674"/>
            <w:shd w:val="clear" w:color="auto" w:fill="DCE6F1"/>
          </w:tcPr>
          <w:p>
            <w:pPr>
              <w:bidi/>
              <w:spacing w:after="40" w:before="40"/>
              <w:jc w:val="center"/>
            </w:pPr>
            <w:r>
              <w:rPr>
                <w:rFonts w:ascii="Arial" w:hAnsi="Arial" w:cs="Traditional Arabic" w:eastAsia="Traditional Arabic"/>
                <w:b/>
                <w:i w:val="0"/>
                <w:color w:val="1F4E79"/>
                <w:sz w:val="20"/>
                <w:lang w:val="ar-SA" w:bidi="ar-SA"/>
              </w:rPr>
              <w:t>الحلقة</w:t>
            </w:r>
          </w:p>
        </w:tc>
        <w:tc>
          <w:tcPr>
            <w:tcW w:type="dxa" w:w="4091"/>
            <w:shd w:val="clear" w:color="auto" w:fill="DCE6F1"/>
          </w:tcPr>
          <w:p>
            <w:pPr>
              <w:bidi/>
              <w:spacing w:after="40" w:before="40"/>
              <w:jc w:val="center"/>
            </w:pPr>
            <w:r>
              <w:rPr>
                <w:rFonts w:ascii="Arial" w:hAnsi="Arial" w:cs="Traditional Arabic" w:eastAsia="Traditional Arabic"/>
                <w:b/>
                <w:i w:val="0"/>
                <w:color w:val="1F4E79"/>
                <w:sz w:val="20"/>
                <w:lang w:val="ar-SA" w:bidi="ar-SA"/>
              </w:rPr>
              <w:t>مثالها اليومي</w:t>
            </w:r>
          </w:p>
        </w:tc>
        <w:tc>
          <w:tcPr>
            <w:tcW w:type="dxa" w:w="3533"/>
            <w:shd w:val="clear" w:color="auto" w:fill="DCE6F1"/>
          </w:tcPr>
          <w:p>
            <w:pPr>
              <w:bidi/>
              <w:spacing w:after="40" w:before="40"/>
              <w:jc w:val="center"/>
            </w:pPr>
            <w:r>
              <w:rPr>
                <w:rFonts w:ascii="Arial" w:hAnsi="Arial" w:cs="Traditional Arabic" w:eastAsia="Traditional Arabic"/>
                <w:b/>
                <w:i w:val="0"/>
                <w:color w:val="1F4E79"/>
                <w:sz w:val="20"/>
                <w:lang w:val="ar-SA" w:bidi="ar-SA"/>
              </w:rPr>
              <w:t>المؤشر المتأثّر</w:t>
            </w:r>
          </w:p>
        </w:tc>
      </w:tr>
      <w:tr>
        <w:tc>
          <w:tcPr>
            <w:tcW w:type="dxa" w:w="1674"/>
          </w:tcPr>
          <w:p>
            <w:pPr>
              <w:bidi/>
              <w:spacing w:after="20" w:before="20" w:line="264" w:lineRule="auto"/>
              <w:jc w:val="right"/>
            </w:pPr>
            <w:r>
              <w:rPr>
                <w:rFonts w:ascii="Arial" w:hAnsi="Arial" w:cs="Traditional Arabic" w:eastAsia="Traditional Arabic"/>
                <w:b w:val="0"/>
                <w:i w:val="0"/>
                <w:sz w:val="20"/>
                <w:lang w:val="ar-SA" w:bidi="ar-SA"/>
              </w:rPr>
              <w:t>توقّع</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شائعة ارتفاع سعر مادّة أساسية</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توقّعات التضخّم</w:t>
            </w:r>
          </w:p>
        </w:tc>
      </w:tr>
      <w:tr>
        <w:tc>
          <w:tcPr>
            <w:tcW w:type="dxa" w:w="167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قرار</w:t>
            </w:r>
          </w:p>
        </w:tc>
        <w:tc>
          <w:tcPr>
            <w:tcW w:type="dxa" w:w="409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شراء كمّيات إضافية «احتياطاً»</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الطلب الاستهلاكي</w:t>
            </w:r>
          </w:p>
        </w:tc>
      </w:tr>
      <w:tr>
        <w:tc>
          <w:tcPr>
            <w:tcW w:type="dxa" w:w="1674"/>
          </w:tcPr>
          <w:p>
            <w:pPr>
              <w:bidi/>
              <w:spacing w:after="20" w:before="20" w:line="264" w:lineRule="auto"/>
              <w:jc w:val="right"/>
            </w:pPr>
            <w:r>
              <w:rPr>
                <w:rFonts w:ascii="Arial" w:hAnsi="Arial" w:cs="Traditional Arabic" w:eastAsia="Traditional Arabic"/>
                <w:b w:val="0"/>
                <w:i w:val="0"/>
                <w:sz w:val="20"/>
                <w:lang w:val="ar-SA" w:bidi="ar-SA"/>
              </w:rPr>
              <w:t>سلوك</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سحب الودائع أو إبقاؤها</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السيولة المصرفية</w:t>
            </w:r>
          </w:p>
        </w:tc>
      </w:tr>
      <w:tr>
        <w:tc>
          <w:tcPr>
            <w:tcW w:type="dxa" w:w="167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مؤشر</w:t>
            </w:r>
          </w:p>
        </w:tc>
        <w:tc>
          <w:tcPr>
            <w:tcW w:type="dxa" w:w="409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حركة الإيداع والتحويلات</w:t>
            </w:r>
          </w:p>
        </w:tc>
        <w:tc>
          <w:tcPr>
            <w:tcW w:type="dxa" w:w="353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الادّخار والاستثمار</w:t>
            </w:r>
          </w:p>
        </w:tc>
      </w:tr>
      <w:tr>
        <w:tc>
          <w:tcPr>
            <w:tcW w:type="dxa" w:w="1674"/>
          </w:tcPr>
          <w:p>
            <w:pPr>
              <w:bidi/>
              <w:spacing w:after="20" w:before="20" w:line="264" w:lineRule="auto"/>
              <w:jc w:val="right"/>
            </w:pPr>
            <w:r>
              <w:rPr>
                <w:rFonts w:ascii="Arial" w:hAnsi="Arial" w:cs="Traditional Arabic" w:eastAsia="Traditional Arabic"/>
                <w:b w:val="0"/>
                <w:i w:val="0"/>
                <w:sz w:val="20"/>
                <w:lang w:val="ar-SA" w:bidi="ar-SA"/>
              </w:rPr>
              <w:t>سياسة</w:t>
            </w:r>
          </w:p>
        </w:tc>
        <w:tc>
          <w:tcPr>
            <w:tcW w:type="dxa" w:w="4091"/>
          </w:tcPr>
          <w:p>
            <w:pPr>
              <w:bidi/>
              <w:spacing w:after="20" w:before="20" w:line="264" w:lineRule="auto"/>
              <w:jc w:val="right"/>
            </w:pPr>
            <w:r>
              <w:rPr>
                <w:rFonts w:ascii="Arial" w:hAnsi="Arial" w:cs="Traditional Arabic" w:eastAsia="Traditional Arabic"/>
                <w:b w:val="0"/>
                <w:i w:val="0"/>
                <w:sz w:val="20"/>
                <w:lang w:val="ar-SA" w:bidi="ar-SA"/>
              </w:rPr>
              <w:t>تعديل الرسوم أو دعم الفئات الأشدّ حاجة</w:t>
            </w:r>
          </w:p>
        </w:tc>
        <w:tc>
          <w:tcPr>
            <w:tcW w:type="dxa" w:w="3533"/>
          </w:tcPr>
          <w:p>
            <w:pPr>
              <w:bidi/>
              <w:spacing w:after="20" w:before="20" w:line="264" w:lineRule="auto"/>
              <w:jc w:val="right"/>
            </w:pPr>
            <w:r>
              <w:rPr>
                <w:rFonts w:ascii="Arial" w:hAnsi="Arial" w:cs="Traditional Arabic" w:eastAsia="Traditional Arabic"/>
                <w:b w:val="0"/>
                <w:i w:val="0"/>
                <w:sz w:val="20"/>
                <w:lang w:val="ar-SA" w:bidi="ar-SA"/>
              </w:rPr>
              <w:t>الإنتاج والتشغيل</w:t>
            </w:r>
          </w:p>
        </w:tc>
      </w:tr>
    </w:tbl>
    <w:p>
      <w:pPr>
        <w:spacing w:after="40"/>
      </w:pPr>
    </w:p>
    <w:p>
      <w:pPr>
        <w:keepNext/>
        <w:bidi/>
        <w:spacing w:before="160" w:after="80" w:line="276" w:lineRule="auto"/>
        <w:jc w:val="right"/>
      </w:pPr>
      <w:r>
        <w:rPr>
          <w:rFonts w:ascii="Arial" w:hAnsi="Arial" w:cs="Traditional Arabic" w:eastAsia="Traditional Arabic"/>
          <w:b/>
          <w:i w:val="0"/>
          <w:color w:val="1F3864"/>
          <w:sz w:val="25"/>
          <w:lang w:val="ar-SA" w:bidi="ar-SA"/>
        </w:rPr>
        <w:t>3. حين تُصاغ السياسة الاقتصادية بمعزل عن الرأي العام</w:t>
      </w:r>
    </w:p>
    <w:p>
      <w:pPr>
        <w:bidi/>
        <w:spacing w:before="0" w:after="100" w:line="288" w:lineRule="auto"/>
        <w:ind w:firstLine="369"/>
        <w:jc w:val="both"/>
      </w:pPr>
      <w:r>
        <w:rPr>
          <w:rFonts w:ascii="Arial" w:hAnsi="Arial" w:cs="Traditional Arabic" w:eastAsia="Traditional Arabic"/>
          <w:b w:val="0"/>
          <w:i w:val="0"/>
          <w:sz w:val="25"/>
          <w:lang w:val="ar-SA" w:bidi="ar-SA"/>
        </w:rPr>
        <w:t>حين تُعَدّ سياسةٌ اقتصادية خلف الأبواب المغلقة ثم تُعلن فجأةً — سواءٌ تعلّقت بتعديل رسمٍ مصرفيّ، أو بضريبة، أو بإعادة هيكلة دعم، أو بتغيير آلية الدفع — فإن الناس لا يستقبلونها بوصفها أرقاماً، بل بوصفها «مفاجأةً تهدّد استقرارهم». ووفق نظرية السلوك المخطَّط، حين يشعر الفرد أنّه لا يملك سيطرةً على القرار، تضعف ثقته بجدوى أيّ جهدٍ يقوم به، فيتراجع التفاعل الإيجابي مع السياسة حتى لو كانت سليمةً تقنياً (أجزن، 1991، ص 182–188).</w:t>
      </w:r>
    </w:p>
    <w:p>
      <w:pPr>
        <w:bidi/>
        <w:spacing w:before="0" w:after="100" w:line="288" w:lineRule="auto"/>
        <w:ind w:firstLine="369"/>
        <w:jc w:val="both"/>
      </w:pPr>
      <w:r>
        <w:rPr>
          <w:rFonts w:ascii="Arial" w:hAnsi="Arial" w:cs="Traditional Arabic" w:eastAsia="Traditional Arabic"/>
          <w:b w:val="0"/>
          <w:i w:val="0"/>
          <w:sz w:val="25"/>
          <w:lang w:val="ar-SA" w:bidi="ar-SA"/>
        </w:rPr>
        <w:t>ولدينا في البيانات المحلّية ما يدعو إلى التفاؤل الحذر: فنحو 80% من السوريين يُبدون اهتماماً بالشؤون السياسية، وتتراوح نسبة الواثقين بمؤسسات الدولة الرسمية بين 54% و57%، بينما يرى 59% أن السياسات الاقتصادية تُعبّر عن تطلّعاتهم. هذه الأرقام تمثّل «رصيد إنصات» ثميناً؛ فالجمهور مستعدّ لأن يسمع ويُشارك، لكنّ هذا الرصيد يتبدّد سريعاً إن شعر أن رأيه يُستطلع للتجميل لا للتخطيط (المركز العربي، 2025، قسم «تقييم مؤسسات الدولة وأداء الحكومات»؛ حلاق، 2020، ص 38).</w:t>
      </w:r>
    </w:p>
    <w:p>
      <w:pPr>
        <w:bidi/>
        <w:spacing w:before="0" w:after="100" w:line="288" w:lineRule="auto"/>
        <w:ind w:firstLine="369"/>
        <w:jc w:val="both"/>
      </w:pPr>
      <w:r>
        <w:rPr>
          <w:rFonts w:ascii="Arial" w:hAnsi="Arial" w:cs="Traditional Arabic" w:eastAsia="Traditional Arabic"/>
          <w:b w:val="0"/>
          <w:i w:val="0"/>
          <w:sz w:val="25"/>
          <w:lang w:val="ar-SA" w:bidi="ar-SA"/>
        </w:rPr>
        <w:t>ولذلك أرى أن السياسة الاقتصادية الرشيدة تمرّ بثلاث مراحل متوالية: (أ) تشخيصٌ تشاركيّ يُستمع فيه إلى أصحاب المصلحة قبل صياغة القرار؛ (ب) إعلانٌ مُفسَّر يشرح الأسباب والبدائل والتكلفة المتوقّعة بلغةٍ بسيطة؛ (ج) مراجعةٌ معلنة تُقيّم الأثر بعد التنفيذ وتُصحّح المسار. وحين يُطبَّق ذلك، يتحوّل الرأي العام من «خصمٍ مُحتمَل» إلى «شريكٍ في الإنتاج»؛ أمّا حين يُهمَل، فتتحوّل الشائعة إلى مستشارٍ غير رسميّ يملأ الفراغ (بال روكيش، 1976، ص 3–21؛ التهامي، 1979، ص 114).</w:t>
      </w:r>
    </w:p>
    <w:p>
      <w:pPr>
        <w:keepNext/>
        <w:bidi/>
        <w:spacing w:before="160" w:after="80" w:line="276" w:lineRule="auto"/>
        <w:jc w:val="right"/>
      </w:pPr>
      <w:r>
        <w:rPr>
          <w:rFonts w:ascii="Arial" w:hAnsi="Arial" w:cs="Traditional Arabic" w:eastAsia="Traditional Arabic"/>
          <w:b/>
          <w:i w:val="0"/>
          <w:color w:val="1F3864"/>
          <w:sz w:val="25"/>
          <w:lang w:val="ar-SA" w:bidi="ar-SA"/>
        </w:rPr>
        <w:t>4. القطاع المصرفي والتحول الرقمي: الثقة تُصمَّم أيضاً</w:t>
      </w:r>
    </w:p>
    <w:p>
      <w:pPr>
        <w:bidi/>
        <w:spacing w:before="0" w:after="100" w:line="288" w:lineRule="auto"/>
        <w:ind w:firstLine="369"/>
        <w:jc w:val="both"/>
      </w:pPr>
      <w:r>
        <w:rPr>
          <w:rFonts w:ascii="Arial" w:hAnsi="Arial" w:cs="Traditional Arabic" w:eastAsia="Traditional Arabic"/>
          <w:b w:val="0"/>
          <w:i w:val="0"/>
          <w:sz w:val="25"/>
          <w:lang w:val="ar-SA" w:bidi="ar-SA"/>
        </w:rPr>
        <w:t>أعمل في بيئةٍ مصرفية حسّاسة، حيث يُقاس أيّ خطأ تقنيّ بعدد المتعاملين الذين تأثّروا به لا بعدد الأسطر البرمجية التي سقطت. وأستطيع أن أقول إن كلّ عملية ناجحة هي «صوت ثقة» يُدلي به المتعامل، وكلّ طلب شكوى هو «رأي عام مُصغَّر» يستحقّ أن يُقرأ لا أن يُغلق. فحين يتكرّر سؤالٌ واحد في مئات المكالمات — لماذا تأخّرت الحوالة؟ — فهذا ليس إزعاجاً تشغيلياً، بل بياناتٍ مجّانية عن مناخ الرأي تجاه الخدمة، يمكن تحويلها إلى لوحة قياس تُغذّي قرار الإدارة (مجاهد، 2010، ص 14؛ العبد، 2006، ص 200).</w:t>
      </w:r>
    </w:p>
    <w:p>
      <w:pPr>
        <w:bidi/>
        <w:spacing w:before="0" w:after="100" w:line="288" w:lineRule="auto"/>
        <w:ind w:firstLine="369"/>
        <w:jc w:val="both"/>
      </w:pPr>
      <w:r>
        <w:rPr>
          <w:rFonts w:ascii="Arial" w:hAnsi="Arial" w:cs="Traditional Arabic" w:eastAsia="Traditional Arabic"/>
          <w:b w:val="0"/>
          <w:i w:val="0"/>
          <w:sz w:val="25"/>
          <w:lang w:val="ar-SA" w:bidi="ar-SA"/>
        </w:rPr>
        <w:t>ومن هنا فإن مشروع تحديث القطاع المالي الذي أقرّه البنك الدولي عام 2026 — بتطوير المدفوعات الآنية، ونظام البنك المركزي الأساسي، والبنية الائتمانية، والأمن السيبراني، ومكافحة غسل الأموال، ومراجعة جودة الأصول — يجب أن يُرافقه «تصميمٌ للثقة» لا يقلّ أهميةً عن تصميم الشفرة: واجهةٌ واضحة بلغةٍ يفهمها الجميع، وإشعارٌ فوريّ عند أيّ انقطاع، ورقمٌ مجّاني للتحقّق، وسياسةُ خصوصيةٍ تُقرأ لا تُخبَّأ، وبرنامجُ تثقيفٍ ماليّ يستهدف كبار السنّ والنساء والفئات الأقلّ حظّاً في الوصول الرقمي (البنك الدولي 2026، 2026، الفقرة 3–5؛ عبد الحميد، 2005، ص 307).</w:t>
      </w:r>
    </w:p>
    <w:p>
      <w:pPr>
        <w:bidi/>
        <w:spacing w:before="0" w:after="100" w:line="288" w:lineRule="auto"/>
        <w:ind w:firstLine="369"/>
        <w:jc w:val="both"/>
      </w:pPr>
      <w:r>
        <w:rPr>
          <w:rFonts w:ascii="Arial" w:hAnsi="Arial" w:cs="Traditional Arabic" w:eastAsia="Traditional Arabic"/>
          <w:b w:val="0"/>
          <w:i w:val="0"/>
          <w:sz w:val="25"/>
          <w:lang w:val="ar-SA" w:bidi="ar-SA"/>
        </w:rPr>
        <w:t>وقد لمستُ مرّةً — ونحن نُعالج بطئاً في خدمةٍ إلكترونية — أنّ الرسالة التي أرسلناها للمتعاملين بعد عشر دقائق كانت أهمّ من الإصلاح نفسه؛ فالناس لا يغضبون من العطل بقدر ما يغضبون من الصمت. إن زمنَ الاستجابة في العمل المصرفي ليس مؤشراً تقنياً فقط، بل هو مؤشرٌ اجتماعيّ على احترام الوقت والقلق؛ وهو تماماً ما تُفسّره نظرية الاعتماد على وسائل الإعلام: في لحظة الغموض، يشتدّ طلب الناس على معلومةٍ موثوقة، فإن لم يجدوها صنعوا لأنفسهم واحدة (بال روكيش، 1976، ص 3–21). (من ملاحظات الباحث.)</w:t>
      </w:r>
    </w:p>
    <w:p>
      <w:pPr>
        <w:keepNext/>
        <w:bidi/>
        <w:spacing w:before="160" w:after="80" w:line="276" w:lineRule="auto"/>
        <w:jc w:val="right"/>
      </w:pPr>
      <w:r>
        <w:rPr>
          <w:rFonts w:ascii="Arial" w:hAnsi="Arial" w:cs="Traditional Arabic" w:eastAsia="Traditional Arabic"/>
          <w:b/>
          <w:i w:val="0"/>
          <w:color w:val="1F3864"/>
          <w:sz w:val="25"/>
          <w:lang w:val="ar-SA" w:bidi="ar-SA"/>
        </w:rPr>
        <w:t>5. قياس الرأي العام كأداة تخطيطٍ اقتصاديّ</w:t>
      </w:r>
    </w:p>
    <w:p>
      <w:pPr>
        <w:bidi/>
        <w:spacing w:before="0" w:after="100" w:line="288" w:lineRule="auto"/>
        <w:ind w:firstLine="369"/>
        <w:jc w:val="both"/>
      </w:pPr>
      <w:r>
        <w:rPr>
          <w:rFonts w:ascii="Arial" w:hAnsi="Arial" w:cs="Traditional Arabic" w:eastAsia="Traditional Arabic"/>
          <w:b w:val="0"/>
          <w:i w:val="0"/>
          <w:sz w:val="25"/>
          <w:lang w:val="ar-SA" w:bidi="ar-SA"/>
        </w:rPr>
        <w:t>حتى تُترجم هذه الأفكار إلى سياسات، لا بدّ من «جهاز إنصاتٍ مؤسسيّ» دائم، لا استطلاعٍ موسميّ يُجرى عند الأزمات فقط. وأقترح أربع أدوات متكاملة: (1) استطلاعٌ دوريّ لثقة المستهلك والأعمال بعيّنةٍ ممثَّلة؛ (2) تحليلٌ منهجيّ لبيانات الشكاوى والبلاغات في المؤسسات، ولا سيما المصارف والمرافق العامة؛ (3) رصدٌ أخلاقيّ للمحتوى الرقميّ مع التمييز بين الرأي العضويّ والحملات المُنسَّقة؛ (4) جلساتُ إنصاتٍ ميدانية في المحافظات والمناطق الأقلّ اتصالاً. وتكفي الإشارة إلى أنّ استطلاع «المؤشر العربي في سورية 2025» اعتمد عيّنةً طبقية عنقودية من 3690 مستجيباً بمستوى ثقة 98% وهامش خطأٍ يتراوح بين ±2% و±3%، ليكون نموذجاً يُحتذى في الدقّة (المركز العربي، 2025، قسم «الأوضاع العامة في سورية»؛ مجاهد، 2010، ص 14).</w:t>
      </w:r>
    </w:p>
    <w:p>
      <w:pPr>
        <w:bidi/>
        <w:spacing w:before="0" w:after="100" w:line="288" w:lineRule="auto"/>
        <w:ind w:firstLine="369"/>
        <w:jc w:val="both"/>
      </w:pPr>
      <w:r>
        <w:rPr>
          <w:rFonts w:ascii="Arial" w:hAnsi="Arial" w:cs="Traditional Arabic" w:eastAsia="Traditional Arabic"/>
          <w:b w:val="0"/>
          <w:i w:val="0"/>
          <w:sz w:val="25"/>
          <w:lang w:val="ar-SA" w:bidi="ar-SA"/>
        </w:rPr>
        <w:t>لكنّ القياس مسؤوليةٌ أخلاقية أيضاً: فالسؤال المُوجِّه يُنتج الجواب الذي يريده صاحبه، والعينات غير الممثّلة تُنتج سياساتٍ ظالمة، وتسريبُ بيانات المستجيبين يُدمّر الثقة التي نحاول قياسها. كما أنّ الاكتفاء بالبيانات الرقمية يُقصي نحو خُمس غير المتصلين بالإنترنت، وهو ما يتطلّب «تثليثاً» بين المسح الميداني والمقابلات المعمّقة والتحليل الرقمي (العبد، 2006، ص 200؛ تيشنور، 1970، ص 159–170). أمّا على مستوى التخطيط الكليّ، فإن مؤشرات الثقة هذه تُقرأ إلى جانب المؤشرات الصلبة؛ فتوقّعات البنك الدولي — بانكماشٍ بنحو 1.5% في عام 2024 ونموٍّ محدودٍ قريبٍ من 1% في عام 2025 — تكتسب معناها الحقيقي حين نعرف كيف يراها الناس على أرض الواقع (البنك الدولي 2025، 2025، الفقرة 1–2).</w:t>
      </w:r>
    </w:p>
    <w:p>
      <w:pPr>
        <w:keepNext/>
        <w:bidi/>
        <w:spacing w:before="160" w:after="80" w:line="276" w:lineRule="auto"/>
        <w:jc w:val="right"/>
      </w:pPr>
      <w:r>
        <w:rPr>
          <w:rFonts w:ascii="Arial" w:hAnsi="Arial" w:cs="Traditional Arabic" w:eastAsia="Traditional Arabic"/>
          <w:b/>
          <w:i w:val="0"/>
          <w:color w:val="1F3864"/>
          <w:sz w:val="25"/>
          <w:lang w:val="ar-SA" w:bidi="ar-SA"/>
        </w:rPr>
        <w:t>6. رأيي الشخصي: الرأي العام بنيةٌ تحتية للثقة</w:t>
      </w:r>
    </w:p>
    <w:p>
      <w:pPr>
        <w:bidi/>
        <w:spacing w:before="0" w:after="100" w:line="288" w:lineRule="auto"/>
        <w:ind w:firstLine="369"/>
        <w:jc w:val="both"/>
      </w:pPr>
      <w:r>
        <w:rPr>
          <w:rFonts w:ascii="Arial" w:hAnsi="Arial" w:cs="Traditional Arabic" w:eastAsia="Traditional Arabic"/>
          <w:b w:val="0"/>
          <w:i w:val="0"/>
          <w:sz w:val="25"/>
          <w:lang w:val="ar-SA" w:bidi="ar-SA"/>
        </w:rPr>
        <w:t>أقولها بوضوح، وبعد أن قرأتُ ما كتبه زميلي جان عن الشبكات والنظريات: أرى أن الرأي العام يجب أن يُعامَل بوصفه «بنيةً تحتية للثقة»، لا بوصفه استطلاعاً يُعلَّق على الحائط ولا أداةَ ترويجٍ تُستدعى عند الحاجة. فكما أن الطريق والكهرباء والإنترنت شروطٌ للإنتاج، فإن الثقة شرطٌ لها جميعاً؛ لأنها تُحدّد هل يُودع الناسُ مدّخراتهم أم يُخبئونها، وهل يشتري التاجرُ بضاعةً جديدة أم ينتظر، وهل يعمل الشابّ في بلده أم يُفكّر في الرحيل. وحين يفقد الناس الثقة، تُصبح السياسة الاقتصادية الجيّدة عاجزةً عن التنفّس (فوكوياما، 1995، ص 7؛ أكرلوف وشيلر، 2009، ص 5).</w:t>
      </w:r>
    </w:p>
    <w:p>
      <w:pPr>
        <w:bidi/>
        <w:spacing w:before="0" w:after="100" w:line="288" w:lineRule="auto"/>
        <w:ind w:firstLine="369"/>
        <w:jc w:val="both"/>
      </w:pPr>
      <w:r>
        <w:rPr>
          <w:rFonts w:ascii="Arial" w:hAnsi="Arial" w:cs="Traditional Arabic" w:eastAsia="Traditional Arabic"/>
          <w:b w:val="0"/>
          <w:i w:val="0"/>
          <w:sz w:val="25"/>
          <w:lang w:val="ar-SA" w:bidi="ar-SA"/>
        </w:rPr>
        <w:t>وعليه، فإنني أُؤمن بثلاث ركائز للسياسة الاقتصادية حين تُبنى على رأيٍ عامٍّ مستنير: الشفافية (أن تُقال الأرقام كما هي، ومعها أسبابها)، والمشاركة (أن يُسأل الناس قبل القرار لا بعده)، والعدالة (أن تُقاس نتائج السياسة بأثرها على الفئات الأشدّ حاجةً قبل متوسط الأرقام). وأُحذّر في المقابل من ثلاثة مخاطر: تحويل الاستطلاعات إلى أداة تجميل، واستغلال الانفعال الشعبيّ في تمرير قراراتٍ غير مدروسة، وإغراق الناس بمصطلحاتٍ تقنية تُقصيهم من النقاش. إنّ التثقيف الماليّ والإعلاميّ — وهو دورٌ تستطيع الجامعة والمدارس والجمعيات الكشفية أن تضطلع به — هو اللقاح الضروريّ ضدّ الشائعة والخطاب الشعبويّ (عبده، 2004، ص 74؛ المركز العربي، 2025، قسم «الموقف من الديمقراطية»).</w:t>
      </w:r>
    </w:p>
    <w:p>
      <w:pPr>
        <w:bidi/>
        <w:spacing w:before="0" w:after="100" w:line="288" w:lineRule="auto"/>
        <w:ind w:firstLine="369"/>
        <w:jc w:val="both"/>
      </w:pPr>
      <w:r>
        <w:rPr>
          <w:rFonts w:ascii="Arial" w:hAnsi="Arial" w:cs="Traditional Arabic" w:eastAsia="Traditional Arabic"/>
          <w:b w:val="0"/>
          <w:i w:val="0"/>
          <w:sz w:val="25"/>
          <w:lang w:val="ar-SA" w:bidi="ar-SA"/>
        </w:rPr>
        <w:t>وقد علّمتني الحركة الكشفية — كما علّمت زميلي جان — أنّ القائد الميدانيّ لا يُقاس بقدرته على إصدار الأوامر، بل بقدرته على الإصغاء قبل الأمر، وعلى شرح القرار لمن سيُكلَّف بتنفيذه. وأحسب أن هذه القاعدة البسيطة تصلح لأن تُكتب في مقدّمة أيّ خطةٍ اقتصادية: «لا تُخطّط للناس من دون أن تسمعهم، ولا تُقنعهم بما لا تفهمه أنت أولاً». فالرأي العام، حين يُحترم، لا يُعيق التنمية، بل يُصبح أرخصَ وأصدقَ أدواتها. (من ملاحظات الباحث، في ضوء (حلاق، 2020، ص 38؛ هابرماس، 1989، ص 27).)</w:t>
      </w:r>
    </w:p>
    <w:p>
      <w:pPr>
        <w:keepNext/>
        <w:bidi/>
        <w:spacing w:before="200" w:after="120" w:line="276" w:lineRule="auto"/>
        <w:jc w:val="right"/>
      </w:pPr>
      <w:r>
        <w:rPr>
          <w:rFonts w:ascii="Arial" w:hAnsi="Arial" w:cs="Traditional Arabic" w:eastAsia="Traditional Arabic"/>
          <w:b/>
          <w:i w:val="0"/>
          <w:color w:val="2E74B5"/>
          <w:sz w:val="28"/>
          <w:lang w:val="ar-SA" w:bidi="ar-SA"/>
        </w:rPr>
        <w:t>الخاتمة: أهم النتائج والتوصيات المشتركة</w:t>
      </w:r>
    </w:p>
    <w:p>
      <w:pPr>
        <w:bidi/>
        <w:spacing w:before="0" w:after="120" w:line="276" w:lineRule="auto"/>
        <w:jc w:val="center"/>
      </w:pPr>
      <w:r>
        <w:rPr>
          <w:rFonts w:ascii="Arial" w:hAnsi="Arial" w:cs="Traditional Arabic" w:eastAsia="Traditional Arabic"/>
          <w:b/>
          <w:i w:val="0"/>
          <w:color w:val="1F4E79"/>
          <w:sz w:val="24"/>
          <w:lang w:val="ar-SA" w:bidi="ar-SA"/>
        </w:rPr>
        <w:t>بقلم الطالبين معاً: جان شادي عبود ووديع هيثم سلوم</w:t>
      </w:r>
    </w:p>
    <w:p>
      <w:pPr>
        <w:bidi/>
        <w:spacing w:before="0" w:after="100" w:line="288" w:lineRule="auto"/>
        <w:ind w:firstLine="369"/>
        <w:jc w:val="both"/>
      </w:pPr>
      <w:r>
        <w:rPr>
          <w:rFonts w:ascii="Arial" w:hAnsi="Arial" w:cs="Traditional Arabic" w:eastAsia="Traditional Arabic"/>
          <w:b w:val="0"/>
          <w:i w:val="0"/>
          <w:sz w:val="25"/>
          <w:lang w:val="ar-SA" w:bidi="ar-SA"/>
        </w:rPr>
        <w:t>بعد هذه الرحلة التي بدأت من تعريفٍ لغويّ وانتهت عند أبواب المصرف وخيمة الفوج الكشفي، نخلص إلى أنّ الرأي العام لم يعد ترفاً بحثياً ولا شعاراً إعلامياً، بل هو متغيّرٌ بنيويّ في معادلة التنمية. فارتفاعُ مستوى التعليم خلق جمهوراً قادراً على السؤال، وتطوّرُ وسائل الاتصال منح هذا الجمهور منصّة، والتحوّلاتُ الاقتصادية جعلت من إجاباته مادّةً للتخطيط. وفي ما يلي نُثبت أبرز النتائج التي توصّلنا إليها (حلاق، 2020، ص 178؛ المركز العربي، 2025، قسم «الأوضاع العامة في سورية»).</w:t>
      </w:r>
    </w:p>
    <w:p>
      <w:pPr>
        <w:keepNext/>
        <w:bidi/>
        <w:spacing w:before="160" w:after="80" w:line="276" w:lineRule="auto"/>
        <w:jc w:val="right"/>
      </w:pPr>
      <w:r>
        <w:rPr>
          <w:rFonts w:ascii="Arial" w:hAnsi="Arial" w:cs="Traditional Arabic" w:eastAsia="Traditional Arabic"/>
          <w:b/>
          <w:i w:val="0"/>
          <w:color w:val="1F3864"/>
          <w:sz w:val="25"/>
          <w:lang w:val="ar-SA" w:bidi="ar-SA"/>
        </w:rPr>
        <w:t>أولاً: أهم النتائج</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١.  </w:t>
      </w:r>
      <w:r>
        <w:rPr>
          <w:rFonts w:ascii="Arial" w:hAnsi="Arial" w:cs="Traditional Arabic" w:eastAsia="Traditional Arabic"/>
          <w:b w:val="0"/>
          <w:i w:val="0"/>
          <w:sz w:val="24"/>
          <w:lang w:val="ar-SA" w:bidi="ar-SA"/>
        </w:rPr>
        <w:t>الرأي العام تعبيرٌ جمعيّ ديناميكيّ عن قضيةٍ عامة خلافية، وهو عمليةٌ تفاعلية تُبنى بالنقاش لا حصيلةُ جمعٍ حسابيّ لآراء الأفراد (بلومر، 1948، ص 542–549).</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٢.  </w:t>
      </w:r>
      <w:r>
        <w:rPr>
          <w:rFonts w:ascii="Arial" w:hAnsi="Arial" w:cs="Traditional Arabic" w:eastAsia="Traditional Arabic"/>
          <w:b w:val="0"/>
          <w:i w:val="0"/>
          <w:sz w:val="24"/>
          <w:lang w:val="ar-SA" w:bidi="ar-SA"/>
        </w:rPr>
        <w:t>خصائصه العشر — من الجماعية والوعي والجدلية إلى الفاعلية والقابلية للقياس — تُفسّر لماذا يصعب التعامل معه بوصفه رقماً ثابتاً، ولماذا يحتاج إلى قياسٍ منهجيّ متكرّر (حلاق، 2020، ص 43).</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٣.  </w:t>
      </w:r>
      <w:r>
        <w:rPr>
          <w:rFonts w:ascii="Arial" w:hAnsi="Arial" w:cs="Traditional Arabic" w:eastAsia="Traditional Arabic"/>
          <w:b w:val="0"/>
          <w:i w:val="0"/>
          <w:sz w:val="24"/>
          <w:lang w:val="ar-SA" w:bidi="ar-SA"/>
        </w:rPr>
        <w:t>لا توجد نظريةٌ واحدة تفسّر تشكّله؛ بل طبقاتٌ متكاملة تبدأ بالبنية الاتصالية والخوارزمية، وتمرّ بقادة الرأي ومناخ الصمت والأطر الثقافية، وتنتهي بسلوكٍ سياسيّ واقتصاديّ (مكومبس وشو، 1972، ص 176؛ أنتمان، 1993، ص 51).</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٤.  </w:t>
      </w:r>
      <w:r>
        <w:rPr>
          <w:rFonts w:ascii="Arial" w:hAnsi="Arial" w:cs="Traditional Arabic" w:eastAsia="Traditional Arabic"/>
          <w:b w:val="0"/>
          <w:i w:val="0"/>
          <w:sz w:val="24"/>
          <w:lang w:val="ar-SA" w:bidi="ar-SA"/>
        </w:rPr>
        <w:t>الخلفية الثقافية والنفسية والاجتماعية تُشكّل «التربة» التي ينبت فيها الرأي: فالقيم تُعطي المعنى، والدوافع تُحدّد الاستقبال، والجماعة تُقرّر مَن يُسمع صوته (هوفستيد، 2001، ص 9؛ فيستنغر، 1957، ص 3؛ بوتنام، 2000، ص 19).</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٥.  </w:t>
      </w:r>
      <w:r>
        <w:rPr>
          <w:rFonts w:ascii="Arial" w:hAnsi="Arial" w:cs="Traditional Arabic" w:eastAsia="Traditional Arabic"/>
          <w:b w:val="0"/>
          <w:i w:val="0"/>
          <w:sz w:val="24"/>
          <w:lang w:val="ar-SA" w:bidi="ar-SA"/>
        </w:rPr>
        <w:t>في البيئة الرقمية، تُخفّض المنصاتُ كلفةَ التعبير لكنها تُضخّم الشائعة والاستقطاب أيضاً؛ فالبيانات السورية تُظهر استخداماً واسعاً للإنترنت (78%) يقابله وعيٌ عالٍ بانتشار الأخبار الزائفة (80%) (المركز العربي، 2025، قسم «التفاعل في المجال الافتراضي»).</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٦.  </w:t>
      </w:r>
      <w:r>
        <w:rPr>
          <w:rFonts w:ascii="Arial" w:hAnsi="Arial" w:cs="Traditional Arabic" w:eastAsia="Traditional Arabic"/>
          <w:b w:val="0"/>
          <w:i w:val="0"/>
          <w:sz w:val="24"/>
          <w:lang w:val="ar-SA" w:bidi="ar-SA"/>
        </w:rPr>
        <w:t>الرأي العام يسبق المؤشرات الاقتصادية ولا يتبعها فقط: فالتوقّعات تُحوّل نفسها إلى سلوك، والسلوك إلى أسعار وسيولة وقرارات استثمار، عملاً بمنطق النفور من الخسارة والاقتصاد السردي (كاهنمان وتفرسكي، 1979، ص 263؛ شيلر، 2019، ص 3).</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٧.  </w:t>
      </w:r>
      <w:r>
        <w:rPr>
          <w:rFonts w:ascii="Arial" w:hAnsi="Arial" w:cs="Traditional Arabic" w:eastAsia="Traditional Arabic"/>
          <w:b w:val="0"/>
          <w:i w:val="0"/>
          <w:sz w:val="24"/>
          <w:lang w:val="ar-SA" w:bidi="ar-SA"/>
        </w:rPr>
        <w:t>مشروع تحديث القطاع المالي السوري (2026) هو في جوهره مشروعُ ثقةٍ بقدر ما هو مشروعُ بنيةٍ تقنية؛ فالتحول الرقمي لا ينجح بأجهزةٍ بلا جمهورٍ مطمئنّ (البنك الدولي 2026، 2026، الفقرة 2–5).</w:t>
      </w:r>
    </w:p>
    <w:p>
      <w:pPr>
        <w:keepNext/>
        <w:bidi/>
        <w:spacing w:before="160" w:after="80" w:line="276" w:lineRule="auto"/>
        <w:jc w:val="right"/>
      </w:pPr>
      <w:r>
        <w:rPr>
          <w:rFonts w:ascii="Arial" w:hAnsi="Arial" w:cs="Traditional Arabic" w:eastAsia="Traditional Arabic"/>
          <w:b/>
          <w:i w:val="0"/>
          <w:color w:val="1F3864"/>
          <w:sz w:val="25"/>
          <w:lang w:val="ar-SA" w:bidi="ar-SA"/>
        </w:rPr>
        <w:t>ثانياً: التوصيات</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١.  </w:t>
      </w:r>
      <w:r>
        <w:rPr>
          <w:rFonts w:ascii="Arial" w:hAnsi="Arial" w:cs="Traditional Arabic" w:eastAsia="Traditional Arabic"/>
          <w:b w:val="0"/>
          <w:i w:val="0"/>
          <w:sz w:val="24"/>
          <w:lang w:val="ar-SA" w:bidi="ar-SA"/>
        </w:rPr>
        <w:t>إلى الجامعة الافتراضية السورية: إدراج وحدةٍ تطبيقية في «مخبر قياس الرأي» تُدرِّب الطلبة على تصميم الاستطلاعات وتحليلها، وربطها بمقررات تقانات المعلومات عبر تحليل البيانات الضخمة أخلاقياً (مجاهد، 2010، ص 14).</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٢.  </w:t>
      </w:r>
      <w:r>
        <w:rPr>
          <w:rFonts w:ascii="Arial" w:hAnsi="Arial" w:cs="Traditional Arabic" w:eastAsia="Traditional Arabic"/>
          <w:b w:val="0"/>
          <w:i w:val="0"/>
          <w:sz w:val="24"/>
          <w:lang w:val="ar-SA" w:bidi="ar-SA"/>
        </w:rPr>
        <w:t>إلى صنّاع القرار الاقتصادي: اعتماد «مؤشر ثقةٍ وطنيّ» دوريّ يُنجَز بعيّنةٍ ممثَّلة، ويُنشر مع منهجيته كاملة، ويُقرأ إلى جانب مؤشرات الناتج والأسعار قبل إقرار السياسات (المركز العربي، 2025، قسم «الأوضاع العامة في سورية»).</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٣.  </w:t>
      </w:r>
      <w:r>
        <w:rPr>
          <w:rFonts w:ascii="Arial" w:hAnsi="Arial" w:cs="Traditional Arabic" w:eastAsia="Traditional Arabic"/>
          <w:b w:val="0"/>
          <w:i w:val="0"/>
          <w:sz w:val="24"/>
          <w:lang w:val="ar-SA" w:bidi="ar-SA"/>
        </w:rPr>
        <w:t>إلى المؤسسات المصرفية: اعتبار بيانات الشكاوى والبلاغات «رأياً عاماً مُصغَّراً» يُغذّي لوحات القياس، وتطوير بروتوكول تواصلٍ أثناء الأعطال ينصّ على إشعارٍ فوريّ ورسالةٍ صادقة ورقم تحقّقٍ موحّد (بال روكيش، 1976، ص 3–21).</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٤.  </w:t>
      </w:r>
      <w:r>
        <w:rPr>
          <w:rFonts w:ascii="Arial" w:hAnsi="Arial" w:cs="Traditional Arabic" w:eastAsia="Traditional Arabic"/>
          <w:b w:val="0"/>
          <w:i w:val="0"/>
          <w:sz w:val="24"/>
          <w:lang w:val="ar-SA" w:bidi="ar-SA"/>
        </w:rPr>
        <w:t>إلى القائمين على التحول الرقمي: تصميم خدمات الدفع بلغةٍ بسيطة، مع حمايةٍ صارمة للبيانات وبرامج تثقيفٍ ماليّ تستهدف النساء وكبار السنّ وسكان المناطق الأقلّ اتصالاً (البنك الدولي 2026، 2026، الفقرة 5).</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٥.  </w:t>
      </w:r>
      <w:r>
        <w:rPr>
          <w:rFonts w:ascii="Arial" w:hAnsi="Arial" w:cs="Traditional Arabic" w:eastAsia="Traditional Arabic"/>
          <w:b w:val="0"/>
          <w:i w:val="0"/>
          <w:sz w:val="24"/>
          <w:lang w:val="ar-SA" w:bidi="ar-SA"/>
        </w:rPr>
        <w:t>إلى وسائل الإعلام والمنصات: الكشف عن معايير ترتيب المحتوى، ووضع سياساتٍ واضحة لمكافحة الحسابات الآلية والشائعات، مع حفظ حقّ التعبير وتعدّد الآراء (مكومبس وشو، 1972، ص 176؛ زرن وبخاش، 2023، ص 247).</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٦.  </w:t>
      </w:r>
      <w:r>
        <w:rPr>
          <w:rFonts w:ascii="Arial" w:hAnsi="Arial" w:cs="Traditional Arabic" w:eastAsia="Traditional Arabic"/>
          <w:b w:val="0"/>
          <w:i w:val="0"/>
          <w:sz w:val="24"/>
          <w:lang w:val="ar-SA" w:bidi="ar-SA"/>
        </w:rPr>
        <w:t>إلى منظمات المجتمع المدني والحركة الكشفية: تحويل حلقات النقاش الكشفية إلى مساحاتِ حوارٍ مجتمعيّ تُدرِّب الشباب على الإصغاء للرأي المخالف ومحاربة خطاب الكراهية (بوتنام، 2000، ص 19؛ المركز العربي، 2025، قسم «قضايا الاندماج المجتمعي»).</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٧.  </w:t>
      </w:r>
      <w:r>
        <w:rPr>
          <w:rFonts w:ascii="Arial" w:hAnsi="Arial" w:cs="Traditional Arabic" w:eastAsia="Traditional Arabic"/>
          <w:b w:val="0"/>
          <w:i w:val="0"/>
          <w:sz w:val="24"/>
          <w:lang w:val="ar-SA" w:bidi="ar-SA"/>
        </w:rPr>
        <w:t>إلى الباحثين: التثليث بين المسح الميداني والمقابلة المعمّقة والتحليل الرقمي، وعدم الاكتفاء ببيانات المنصات التي تُقصي غير المتصلين (تيشنور، 1970، ص 159–170؛ العبد، 2006، ص 200).</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٨.  </w:t>
      </w:r>
      <w:r>
        <w:rPr>
          <w:rFonts w:ascii="Arial" w:hAnsi="Arial" w:cs="Traditional Arabic" w:eastAsia="Traditional Arabic"/>
          <w:b w:val="0"/>
          <w:i w:val="0"/>
          <w:sz w:val="24"/>
          <w:lang w:val="ar-SA" w:bidi="ar-SA"/>
        </w:rPr>
        <w:t>إلى الأسرة والمدرسة: تنشئةٌ إعلامية ومالية مبكرة تُعلّم الطفل أن يسأل عن مصدر الخبر قبل أن يُعيد نشره، وأن يفهم قيمة الادّخار قبل أن يخاف منه (عبده، 2004، ص 74؛ شيلر، 2019، ص 12).</w:t>
      </w:r>
    </w:p>
    <w:p>
      <w:pPr>
        <w:bidi/>
        <w:spacing w:before="0" w:after="100" w:line="288" w:lineRule="auto"/>
        <w:ind w:firstLine="369"/>
        <w:jc w:val="both"/>
      </w:pPr>
      <w:r>
        <w:rPr>
          <w:rFonts w:ascii="Arial" w:hAnsi="Arial" w:cs="Traditional Arabic" w:eastAsia="Traditional Arabic"/>
          <w:b w:val="0"/>
          <w:i w:val="0"/>
          <w:sz w:val="25"/>
          <w:lang w:val="ar-SA" w:bidi="ar-SA"/>
        </w:rPr>
        <w:t>كلمةٌ أخيرة: لقد تشاركنا في هذا البحث كما نتشارك في إعداد مخيمٍ كشفيّ؛ أحدُنا يهتمّ بالخريطة والأجهزة، والآخرُ يهتمّ بالناس وهمومهم، وكلاهما يعلم أنّ الرحلة لا تنجح إلّا بهما معاً. فإن وُفّقنا في شيءٍ فبفضل ما تعلّمناه في رحاب الجامعة الافتراضية السورية، وإن كانت ثمّة هناتٌ فهي منّا، ونرحب بملاحظات أساتذتنا الكرام. والله وليّ التوفيق. (حلاق، 2020، ص 178).</w:t>
      </w:r>
    </w:p>
    <w:p>
      <w:r>
        <w:br w:type="page"/>
      </w:r>
    </w:p>
    <w:p>
      <w:pPr>
        <w:keepNext/>
        <w:bidi/>
        <w:spacing w:before="200" w:after="160" w:line="276" w:lineRule="auto"/>
        <w:jc w:val="right"/>
      </w:pPr>
      <w:r>
        <w:rPr>
          <w:rFonts w:ascii="Arial" w:hAnsi="Arial" w:cs="Traditional Arabic" w:eastAsia="Traditional Arabic"/>
          <w:b/>
          <w:i w:val="0"/>
          <w:color w:val="1F4E79"/>
          <w:sz w:val="32"/>
          <w:lang w:val="ar-SA" w:bidi="ar-SA"/>
        </w:rPr>
        <w:t>قائمة المصادر والمراجع</w:t>
      </w:r>
    </w:p>
    <w:p>
      <w:pPr>
        <w:bidi/>
        <w:spacing w:before="0" w:after="100" w:line="288" w:lineRule="auto"/>
        <w:jc w:val="both"/>
      </w:pPr>
      <w:r>
        <w:rPr>
          <w:rFonts w:ascii="Arial" w:hAnsi="Arial" w:cs="Traditional Arabic" w:eastAsia="Traditional Arabic"/>
          <w:b w:val="0"/>
          <w:i w:val="0"/>
          <w:sz w:val="25"/>
          <w:lang w:val="ar-SA" w:bidi="ar-SA"/>
        </w:rPr>
        <w:t>رُتّبت المراجع العربية أبجدياً بحسب اسم المؤلف أو العنوان، ثم أُتبعت بالمراجع الأجنبية مُرتّبةً بحسب اسم المؤلف وفق نظام APA. وقد أُثبتت روابط المصادر الإلكترونية كما استُرجعت بتاريخ 20 / 10 / 2026.</w:t>
      </w:r>
    </w:p>
    <w:p>
      <w:pPr>
        <w:keepNext/>
        <w:bidi/>
        <w:spacing w:before="160" w:after="120" w:line="288" w:lineRule="auto"/>
        <w:jc w:val="right"/>
      </w:pPr>
      <w:r>
        <w:rPr>
          <w:rFonts w:ascii="Arial" w:hAnsi="Arial" w:cs="Traditional Arabic" w:eastAsia="Traditional Arabic"/>
          <w:b/>
          <w:i w:val="0"/>
          <w:color w:val="2E74B5"/>
          <w:sz w:val="25"/>
          <w:lang w:val="ar-SA" w:bidi="ar-SA"/>
        </w:rPr>
        <w:t>أولاً: المصادر والمراجع العربية</w:t>
      </w:r>
    </w:p>
    <w:p>
      <w:pPr>
        <w:bidi/>
        <w:spacing w:after="100" w:line="276" w:lineRule="auto"/>
        <w:ind w:left="482" w:hanging="482"/>
        <w:jc w:val="right"/>
      </w:pPr>
      <w:r>
        <w:rPr>
          <w:rFonts w:ascii="Arial" w:hAnsi="Arial" w:cs="Traditional Arabic" w:eastAsia="Traditional Arabic"/>
          <w:b w:val="0"/>
          <w:i w:val="0"/>
          <w:sz w:val="21"/>
          <w:lang w:val="ar-SA" w:bidi="ar-SA"/>
        </w:rPr>
        <w:t>ابن خلدون، عبد الرحمن بن محمد. (1981). المقدمة. بيروت: دار الفكر.</w:t>
      </w:r>
    </w:p>
    <w:p>
      <w:pPr>
        <w:bidi/>
        <w:spacing w:after="100" w:line="276" w:lineRule="auto"/>
        <w:ind w:left="482" w:hanging="482"/>
        <w:jc w:val="right"/>
      </w:pPr>
      <w:r>
        <w:rPr>
          <w:rFonts w:ascii="Arial" w:hAnsi="Arial" w:cs="Traditional Arabic" w:eastAsia="Traditional Arabic"/>
          <w:b w:val="0"/>
          <w:i w:val="0"/>
          <w:sz w:val="21"/>
          <w:lang w:val="ar-SA" w:bidi="ar-SA"/>
        </w:rPr>
        <w:t>أبو إصبع، صالح. (1995). الاتصال والإعلام في المجتمعات المعاصرة. عمّان: دار آرام.</w:t>
      </w:r>
    </w:p>
    <w:p>
      <w:pPr>
        <w:bidi/>
        <w:spacing w:after="100" w:line="276" w:lineRule="auto"/>
        <w:ind w:left="482" w:hanging="482"/>
        <w:jc w:val="right"/>
      </w:pPr>
      <w:r>
        <w:rPr>
          <w:rFonts w:ascii="Arial" w:hAnsi="Arial" w:cs="Traditional Arabic" w:eastAsia="Traditional Arabic"/>
          <w:b w:val="0"/>
          <w:i w:val="0"/>
          <w:sz w:val="21"/>
          <w:lang w:val="ar-SA" w:bidi="ar-SA"/>
        </w:rPr>
        <w:t>البنك الدولي. (2025). المرصد الاقتصادي السوري: تحديات الاقتصاد وآفاق التعافي لعام 2025 [بيان صحفي بتاريخ 7 تموز/يوليو 2025]. واشنطن: البنك الدولي. استُرجع من https://www.worldbank.org/en/news/press-release/2025/07/07/new-world-bank-report-highlights-syria-s-economic-challenges-and-recovery-prospects-for-2025</w:t>
      </w:r>
    </w:p>
    <w:p>
      <w:pPr>
        <w:bidi/>
        <w:spacing w:after="100" w:line="276" w:lineRule="auto"/>
        <w:ind w:left="482" w:hanging="482"/>
        <w:jc w:val="right"/>
      </w:pPr>
      <w:r>
        <w:rPr>
          <w:rFonts w:ascii="Arial" w:hAnsi="Arial" w:cs="Traditional Arabic" w:eastAsia="Traditional Arabic"/>
          <w:b w:val="0"/>
          <w:i w:val="0"/>
          <w:sz w:val="21"/>
          <w:lang w:val="ar-SA" w:bidi="ar-SA"/>
        </w:rPr>
        <w:t>البنك الدولي. (2026). سورية: البنك الدولي يوافق على منحة بقيمة 100 مليون دولار لتحديث القطاع المالي [بيان صحفي بتاريخ 7 آب/أغسطس 2026]. واشنطن: البنك الدولي. استُرجع من https://www.worldbank.org/en/news/press-release/2026/08/07/syria-world-bank-approves-us-100-million-grant-for-financial-sector-modernization</w:t>
      </w:r>
    </w:p>
    <w:p>
      <w:pPr>
        <w:bidi/>
        <w:spacing w:after="100" w:line="276" w:lineRule="auto"/>
        <w:ind w:left="482" w:hanging="482"/>
        <w:jc w:val="right"/>
      </w:pPr>
      <w:r>
        <w:rPr>
          <w:rFonts w:ascii="Arial" w:hAnsi="Arial" w:cs="Traditional Arabic" w:eastAsia="Traditional Arabic"/>
          <w:b w:val="0"/>
          <w:i w:val="0"/>
          <w:sz w:val="21"/>
          <w:lang w:val="ar-SA" w:bidi="ar-SA"/>
        </w:rPr>
        <w:t>التهامي، مختار. (1979). الرأي العام والحرب النفسية (الطبعة الرابعة، الجزء الأول). القاهرة: دار المعارف.</w:t>
      </w:r>
    </w:p>
    <w:p>
      <w:pPr>
        <w:bidi/>
        <w:spacing w:after="100" w:line="276" w:lineRule="auto"/>
        <w:ind w:left="482" w:hanging="482"/>
        <w:jc w:val="right"/>
      </w:pPr>
      <w:r>
        <w:rPr>
          <w:rFonts w:ascii="Arial" w:hAnsi="Arial" w:cs="Traditional Arabic" w:eastAsia="Traditional Arabic"/>
          <w:b w:val="0"/>
          <w:i w:val="0"/>
          <w:sz w:val="21"/>
          <w:lang w:val="ar-SA" w:bidi="ar-SA"/>
        </w:rPr>
        <w:t>حجاب، محمد منير. (1998). أساسيات الرأي العام (الطبعة الأولى). القاهرة: دار الفجر للنشر والتوزيع. (181 صفحة).</w:t>
      </w:r>
    </w:p>
    <w:p>
      <w:pPr>
        <w:bidi/>
        <w:spacing w:after="100" w:line="276" w:lineRule="auto"/>
        <w:ind w:left="482" w:hanging="482"/>
        <w:jc w:val="right"/>
      </w:pPr>
      <w:r>
        <w:rPr>
          <w:rFonts w:ascii="Arial" w:hAnsi="Arial" w:cs="Traditional Arabic" w:eastAsia="Traditional Arabic"/>
          <w:b w:val="0"/>
          <w:i w:val="0"/>
          <w:sz w:val="21"/>
          <w:lang w:val="ar-SA" w:bidi="ar-SA"/>
        </w:rPr>
        <w:t>حلاق، بطرس. (2020). الرأي العام وطرق قياسه [Public Opinion and its Assessment]. منشورات الجامعة الافتراضية السورية، الجمهورية العربية السورية. ISSN: 2617-989X. استُرجع من https://pedia.svuonline.org/pluginfile.php/2858/mod_resource/content/30/</w:t>
      </w:r>
    </w:p>
    <w:p>
      <w:pPr>
        <w:bidi/>
        <w:spacing w:after="100" w:line="276" w:lineRule="auto"/>
        <w:ind w:left="482" w:hanging="482"/>
        <w:jc w:val="right"/>
      </w:pPr>
      <w:r>
        <w:rPr>
          <w:rFonts w:ascii="Arial" w:hAnsi="Arial" w:cs="Traditional Arabic" w:eastAsia="Traditional Arabic"/>
          <w:b w:val="0"/>
          <w:i w:val="0"/>
          <w:sz w:val="21"/>
          <w:lang w:val="ar-SA" w:bidi="ar-SA"/>
        </w:rPr>
        <w:t>الرضا، هاني، وعمار، رامز. (1998). الرأي العام والإعلام والدعاية (الطبعة الأولى). بيروت: المؤسسة الجامعية للدراسات والنشر.</w:t>
      </w:r>
    </w:p>
    <w:p>
      <w:pPr>
        <w:bidi/>
        <w:spacing w:after="100" w:line="276" w:lineRule="auto"/>
        <w:ind w:left="482" w:hanging="482"/>
        <w:jc w:val="right"/>
      </w:pPr>
      <w:r>
        <w:rPr>
          <w:rFonts w:ascii="Arial" w:hAnsi="Arial" w:cs="Traditional Arabic" w:eastAsia="Traditional Arabic"/>
          <w:b w:val="0"/>
          <w:i w:val="0"/>
          <w:sz w:val="21"/>
          <w:lang w:val="ar-SA" w:bidi="ar-SA"/>
        </w:rPr>
        <w:t>زرن، جمال، وبخاش، عبد الله. (2023). دوامة الصمت في سياقات البيئة الاتصالية الجديدة: دراسة في تشكّل الرأي العام نحو الأزمة السياسية في اليمن. مجلة الجزيرة لدراسات الاتصال والإعلام، العدد (2)، 247–315. استُرجع من https://aljazeerajournal.aljazeera.net/</w:t>
      </w:r>
    </w:p>
    <w:p>
      <w:pPr>
        <w:bidi/>
        <w:spacing w:after="100" w:line="276" w:lineRule="auto"/>
        <w:ind w:left="482" w:hanging="482"/>
        <w:jc w:val="right"/>
      </w:pPr>
      <w:r>
        <w:rPr>
          <w:rFonts w:ascii="Arial" w:hAnsi="Arial" w:cs="Traditional Arabic" w:eastAsia="Traditional Arabic"/>
          <w:b w:val="0"/>
          <w:i w:val="0"/>
          <w:sz w:val="21"/>
          <w:lang w:val="ar-SA" w:bidi="ar-SA"/>
        </w:rPr>
        <w:t>سراج، سعيد. (1986). الرأي العام ومقوماته وأثره في النظم السياسية المعاصرة. القاهرة: الهيئة المصرية العامة للكتاب.</w:t>
      </w:r>
    </w:p>
    <w:p>
      <w:pPr>
        <w:bidi/>
        <w:spacing w:after="100" w:line="276" w:lineRule="auto"/>
        <w:ind w:left="482" w:hanging="482"/>
        <w:jc w:val="right"/>
      </w:pPr>
      <w:r>
        <w:rPr>
          <w:rFonts w:ascii="Arial" w:hAnsi="Arial" w:cs="Traditional Arabic" w:eastAsia="Traditional Arabic"/>
          <w:b w:val="0"/>
          <w:i w:val="0"/>
          <w:sz w:val="21"/>
          <w:lang w:val="ar-SA" w:bidi="ar-SA"/>
        </w:rPr>
        <w:t>العبد، عاطف عدلي. (2006). الرأي العام وطرق قياسه. القاهرة: دار الفكر العربي للطبع والنشر. (336 صفحة).</w:t>
      </w:r>
    </w:p>
    <w:p>
      <w:pPr>
        <w:bidi/>
        <w:spacing w:after="100" w:line="276" w:lineRule="auto"/>
        <w:ind w:left="482" w:hanging="482"/>
        <w:jc w:val="right"/>
      </w:pPr>
      <w:r>
        <w:rPr>
          <w:rFonts w:ascii="Arial" w:hAnsi="Arial" w:cs="Traditional Arabic" w:eastAsia="Traditional Arabic"/>
          <w:b w:val="0"/>
          <w:i w:val="0"/>
          <w:sz w:val="21"/>
          <w:lang w:val="ar-SA" w:bidi="ar-SA"/>
        </w:rPr>
        <w:t>عبد الحميد، محمد. (2005). نظريات الإعلام واتجاهات التأثير (الطبعة الثالثة). القاهرة: عالم الكتب. (490 صفحة).</w:t>
      </w:r>
    </w:p>
    <w:p>
      <w:pPr>
        <w:bidi/>
        <w:spacing w:after="100" w:line="276" w:lineRule="auto"/>
        <w:ind w:left="482" w:hanging="482"/>
        <w:jc w:val="right"/>
      </w:pPr>
      <w:r>
        <w:rPr>
          <w:rFonts w:ascii="Arial" w:hAnsi="Arial" w:cs="Traditional Arabic" w:eastAsia="Traditional Arabic"/>
          <w:b w:val="0"/>
          <w:i w:val="0"/>
          <w:sz w:val="21"/>
          <w:lang w:val="ar-SA" w:bidi="ar-SA"/>
        </w:rPr>
        <w:t>عبده، عزيزة. (2004). الإعلام السياسي والرأي العام. القاهرة: دار الفجر للنشر والتوزيع.</w:t>
      </w:r>
    </w:p>
    <w:p>
      <w:pPr>
        <w:bidi/>
        <w:spacing w:after="100" w:line="276" w:lineRule="auto"/>
        <w:ind w:left="482" w:hanging="482"/>
        <w:jc w:val="right"/>
      </w:pPr>
      <w:r>
        <w:rPr>
          <w:rFonts w:ascii="Arial" w:hAnsi="Arial" w:cs="Traditional Arabic" w:eastAsia="Traditional Arabic"/>
          <w:b w:val="0"/>
          <w:i w:val="0"/>
          <w:sz w:val="21"/>
          <w:lang w:val="ar-SA" w:bidi="ar-SA"/>
        </w:rPr>
        <w:t>مجاهد، جمال. (2010). الرأي العام وقياسه. الإسكندرية: دار المعرفة الجامعية.</w:t>
      </w:r>
    </w:p>
    <w:p>
      <w:pPr>
        <w:bidi/>
        <w:spacing w:after="100" w:line="276" w:lineRule="auto"/>
        <w:ind w:left="482" w:hanging="482"/>
        <w:jc w:val="right"/>
      </w:pPr>
      <w:r>
        <w:rPr>
          <w:rFonts w:ascii="Arial" w:hAnsi="Arial" w:cs="Traditional Arabic" w:eastAsia="Traditional Arabic"/>
          <w:b w:val="0"/>
          <w:i w:val="0"/>
          <w:sz w:val="21"/>
          <w:lang w:val="ar-SA" w:bidi="ar-SA"/>
        </w:rPr>
        <w:t>المركز العربي للأبحاث ودراسات السياسات. (2025). المركز العربي يعلن نتائج استطلاع «المؤشر العربي في سورية»: النتائج الرئيسة والأولية لعيّنة من 3690 مستجيباً [بيان بنتائج، 31 آب/أغسطس 2025]. بيروت: المركز العربي للأبحاث ودراسات السياسات. استُرجع من https://www.dohainstitute.org/ar/News/Pages/the-acrps-announces-the-results-of-the-syrian-arab-opinion-index-2025.aspx</w:t>
      </w:r>
    </w:p>
    <w:p>
      <w:pPr>
        <w:keepNext/>
        <w:bidi/>
        <w:spacing w:before="200" w:after="120" w:line="288" w:lineRule="auto"/>
        <w:jc w:val="right"/>
      </w:pPr>
      <w:r>
        <w:rPr>
          <w:rFonts w:ascii="Arial" w:hAnsi="Arial" w:cs="Traditional Arabic" w:eastAsia="Traditional Arabic"/>
          <w:b/>
          <w:i w:val="0"/>
          <w:color w:val="2E74B5"/>
          <w:sz w:val="25"/>
          <w:lang w:val="ar-SA" w:bidi="ar-SA"/>
        </w:rPr>
        <w:t>ثانياً: المراجع الأجنبية</w:t>
      </w:r>
    </w:p>
    <w:p>
      <w:pPr>
        <w:bidi/>
        <w:spacing w:after="100" w:line="276" w:lineRule="auto"/>
        <w:ind w:left="482" w:hanging="482"/>
        <w:jc w:val="right"/>
      </w:pPr>
      <w:r>
        <w:rPr>
          <w:rFonts w:ascii="Arial" w:hAnsi="Arial" w:cs="Arial" w:eastAsia="Arial"/>
          <w:b w:val="0"/>
          <w:i w:val="0"/>
          <w:sz w:val="21"/>
          <w:lang w:val="ar-SA" w:bidi="ar-SA"/>
        </w:rPr>
        <w:t>Ajzen, I. (1991). The theory of planned behavior. Organizational Behavior and Human Decision Processes, 50(2), 179–211. https://doi.org/10.1016/0749-5978(91)90020-T</w:t>
      </w:r>
    </w:p>
    <w:p>
      <w:pPr>
        <w:bidi/>
        <w:spacing w:after="100" w:line="276" w:lineRule="auto"/>
        <w:ind w:left="482" w:hanging="482"/>
        <w:jc w:val="right"/>
      </w:pPr>
      <w:r>
        <w:rPr>
          <w:rFonts w:ascii="Arial" w:hAnsi="Arial" w:cs="Arial" w:eastAsia="Arial"/>
          <w:b w:val="0"/>
          <w:i w:val="0"/>
          <w:sz w:val="21"/>
          <w:lang w:val="ar-SA" w:bidi="ar-SA"/>
        </w:rPr>
        <w:t>Akerlof, G. A., &amp; Shiller, R. J. (2009). Animal Spirits: How Human Psychology Drives the Economy, and Why It Matters for Global Capitalism. Princeton, NJ: Princeton University Press.</w:t>
      </w:r>
    </w:p>
    <w:p>
      <w:pPr>
        <w:bidi/>
        <w:spacing w:after="100" w:line="276" w:lineRule="auto"/>
        <w:ind w:left="482" w:hanging="482"/>
        <w:jc w:val="right"/>
      </w:pPr>
      <w:r>
        <w:rPr>
          <w:rFonts w:ascii="Arial" w:hAnsi="Arial" w:cs="Arial" w:eastAsia="Arial"/>
          <w:b w:val="0"/>
          <w:i w:val="0"/>
          <w:sz w:val="21"/>
          <w:lang w:val="ar-SA" w:bidi="ar-SA"/>
        </w:rPr>
        <w:t>Allport, F. H. (1937). Toward a science of public opinion. Public Opinion Quarterly, 1(1), 7–23. https://doi.org/10.1086/265032</w:t>
      </w:r>
    </w:p>
    <w:p>
      <w:pPr>
        <w:bidi/>
        <w:spacing w:after="100" w:line="276" w:lineRule="auto"/>
        <w:ind w:left="482" w:hanging="482"/>
        <w:jc w:val="right"/>
      </w:pPr>
      <w:r>
        <w:rPr>
          <w:rFonts w:ascii="Arial" w:hAnsi="Arial" w:cs="Arial" w:eastAsia="Arial"/>
          <w:b w:val="0"/>
          <w:i w:val="0"/>
          <w:sz w:val="21"/>
          <w:lang w:val="ar-SA" w:bidi="ar-SA"/>
        </w:rPr>
        <w:t>Ball-Rokeach, S. J., &amp; DeFleur, M. L. (1976). A dependency model of mass-media effects. Communication Research, 3(1), 3–21. https://doi.org/10.1177/009365027600300101</w:t>
      </w:r>
    </w:p>
    <w:p>
      <w:pPr>
        <w:bidi/>
        <w:spacing w:after="100" w:line="276" w:lineRule="auto"/>
        <w:ind w:left="482" w:hanging="482"/>
        <w:jc w:val="right"/>
      </w:pPr>
      <w:r>
        <w:rPr>
          <w:rFonts w:ascii="Arial" w:hAnsi="Arial" w:cs="Arial" w:eastAsia="Arial"/>
          <w:b w:val="0"/>
          <w:i w:val="0"/>
          <w:sz w:val="21"/>
          <w:lang w:val="ar-SA" w:bidi="ar-SA"/>
        </w:rPr>
        <w:t>Blumer, H. (1948). Public opinion and public opinion polling. American Sociological Review, 13(5), 542–549. https://doi.org/10.2307/2087136</w:t>
      </w:r>
    </w:p>
    <w:p>
      <w:pPr>
        <w:bidi/>
        <w:spacing w:after="100" w:line="276" w:lineRule="auto"/>
        <w:ind w:left="482" w:hanging="482"/>
        <w:jc w:val="right"/>
      </w:pPr>
      <w:r>
        <w:rPr>
          <w:rFonts w:ascii="Arial" w:hAnsi="Arial" w:cs="Arial" w:eastAsia="Arial"/>
          <w:b w:val="0"/>
          <w:i w:val="0"/>
          <w:sz w:val="21"/>
          <w:lang w:val="ar-SA" w:bidi="ar-SA"/>
        </w:rPr>
        <w:t>Bourdieu, P. (1986). The forms of capital. In J. G. Richardson (Ed.), Handbook of Theory and Research for the Sociology of Education (pp. 241–258). New York, NY: Greenwood.</w:t>
      </w:r>
    </w:p>
    <w:p>
      <w:pPr>
        <w:bidi/>
        <w:spacing w:after="100" w:line="276" w:lineRule="auto"/>
        <w:ind w:left="482" w:hanging="482"/>
        <w:jc w:val="right"/>
      </w:pPr>
      <w:r>
        <w:rPr>
          <w:rFonts w:ascii="Arial" w:hAnsi="Arial" w:cs="Arial" w:eastAsia="Arial"/>
          <w:b w:val="0"/>
          <w:i w:val="0"/>
          <w:sz w:val="21"/>
          <w:lang w:val="ar-SA" w:bidi="ar-SA"/>
        </w:rPr>
        <w:t>Entman, R. M. (1993). Framing: Toward clarification of a fractured paradigm. Journal of Communication, 43(4), 51–58. https://doi.org/10.1111/j.1460-2466.1993.tb01304.x</w:t>
      </w:r>
    </w:p>
    <w:p>
      <w:pPr>
        <w:bidi/>
        <w:spacing w:after="100" w:line="276" w:lineRule="auto"/>
        <w:ind w:left="482" w:hanging="482"/>
        <w:jc w:val="right"/>
      </w:pPr>
      <w:r>
        <w:rPr>
          <w:rFonts w:ascii="Arial" w:hAnsi="Arial" w:cs="Arial" w:eastAsia="Arial"/>
          <w:b w:val="0"/>
          <w:i w:val="0"/>
          <w:sz w:val="21"/>
          <w:lang w:val="ar-SA" w:bidi="ar-SA"/>
        </w:rPr>
        <w:t>Festinger, L. (1957). A Theory of Cognitive Dissonance. Stanford, CA: Stanford University Press.</w:t>
      </w:r>
    </w:p>
    <w:p>
      <w:pPr>
        <w:bidi/>
        <w:spacing w:after="100" w:line="276" w:lineRule="auto"/>
        <w:ind w:left="482" w:hanging="482"/>
        <w:jc w:val="right"/>
      </w:pPr>
      <w:r>
        <w:rPr>
          <w:rFonts w:ascii="Arial" w:hAnsi="Arial" w:cs="Arial" w:eastAsia="Arial"/>
          <w:b w:val="0"/>
          <w:i w:val="0"/>
          <w:sz w:val="21"/>
          <w:lang w:val="ar-SA" w:bidi="ar-SA"/>
        </w:rPr>
        <w:t>Fukuyama, F. (1995). Trust: The Social Virtues and the Creation of Prosperity. New York, NY: Free Press.</w:t>
      </w:r>
    </w:p>
    <w:p>
      <w:pPr>
        <w:bidi/>
        <w:spacing w:after="100" w:line="276" w:lineRule="auto"/>
        <w:ind w:left="482" w:hanging="482"/>
        <w:jc w:val="right"/>
      </w:pPr>
      <w:r>
        <w:rPr>
          <w:rFonts w:ascii="Arial" w:hAnsi="Arial" w:cs="Arial" w:eastAsia="Arial"/>
          <w:b w:val="0"/>
          <w:i w:val="0"/>
          <w:sz w:val="21"/>
          <w:lang w:val="ar-SA" w:bidi="ar-SA"/>
        </w:rPr>
        <w:t>Gerbner, G., &amp; Gross, L. (1976). Living with television: The dynamics of the cultivation process. Journal of Communication, 26(2), 172–194. https://doi.org/10.1111/j.1460-2466.1976.tb01397.x</w:t>
      </w:r>
    </w:p>
    <w:p>
      <w:pPr>
        <w:bidi/>
        <w:spacing w:after="100" w:line="276" w:lineRule="auto"/>
        <w:ind w:left="482" w:hanging="482"/>
        <w:jc w:val="right"/>
      </w:pPr>
      <w:r>
        <w:rPr>
          <w:rFonts w:ascii="Arial" w:hAnsi="Arial" w:cs="Arial" w:eastAsia="Arial"/>
          <w:b w:val="0"/>
          <w:i w:val="0"/>
          <w:sz w:val="21"/>
          <w:lang w:val="ar-SA" w:bidi="ar-SA"/>
        </w:rPr>
        <w:t>Habermas, J. (1989). The Structural Transformation of the Public Sphere: An Inquiry into a Category of Bourgeois Society (T. Burger, Trans.). Cambridge, MA: MIT Press. (Original work published 1962).</w:t>
      </w:r>
    </w:p>
    <w:p>
      <w:pPr>
        <w:bidi/>
        <w:spacing w:after="100" w:line="276" w:lineRule="auto"/>
        <w:ind w:left="482" w:hanging="482"/>
        <w:jc w:val="right"/>
      </w:pPr>
      <w:r>
        <w:rPr>
          <w:rFonts w:ascii="Arial" w:hAnsi="Arial" w:cs="Arial" w:eastAsia="Arial"/>
          <w:b w:val="0"/>
          <w:i w:val="0"/>
          <w:sz w:val="21"/>
          <w:lang w:val="ar-SA" w:bidi="ar-SA"/>
        </w:rPr>
        <w:t>Hofstede, G. (2001). Culture's Consequences: Comparing Values, Behaviors, Institutions, and Organizations Across Nations (2nd ed.). Thousand Oaks, CA: Sage.</w:t>
      </w:r>
    </w:p>
    <w:p>
      <w:pPr>
        <w:bidi/>
        <w:spacing w:after="100" w:line="276" w:lineRule="auto"/>
        <w:ind w:left="482" w:hanging="482"/>
        <w:jc w:val="right"/>
      </w:pPr>
      <w:r>
        <w:rPr>
          <w:rFonts w:ascii="Arial" w:hAnsi="Arial" w:cs="Arial" w:eastAsia="Arial"/>
          <w:b w:val="0"/>
          <w:i w:val="0"/>
          <w:sz w:val="21"/>
          <w:lang w:val="ar-SA" w:bidi="ar-SA"/>
        </w:rPr>
        <w:t>Kahneman, D., &amp; Tversky, A. (1979). Prospect theory: An analysis of decision under risk. Econometrica, 47(2), 263–291. https://doi.org/10.2307/1914185</w:t>
      </w:r>
    </w:p>
    <w:p>
      <w:pPr>
        <w:bidi/>
        <w:spacing w:after="100" w:line="276" w:lineRule="auto"/>
        <w:ind w:left="482" w:hanging="482"/>
        <w:jc w:val="right"/>
      </w:pPr>
      <w:r>
        <w:rPr>
          <w:rFonts w:ascii="Arial" w:hAnsi="Arial" w:cs="Arial" w:eastAsia="Arial"/>
          <w:b w:val="0"/>
          <w:i w:val="0"/>
          <w:sz w:val="21"/>
          <w:lang w:val="ar-SA" w:bidi="ar-SA"/>
        </w:rPr>
        <w:t>Katz, E., &amp; Lazarsfeld, P. F. (1955). Personal Influence: The Part Played by People in the Flow of Mass Communications. Glencoe, IL: Free Press.</w:t>
      </w:r>
    </w:p>
    <w:p>
      <w:pPr>
        <w:bidi/>
        <w:spacing w:after="100" w:line="276" w:lineRule="auto"/>
        <w:ind w:left="482" w:hanging="482"/>
        <w:jc w:val="right"/>
      </w:pPr>
      <w:r>
        <w:rPr>
          <w:rFonts w:ascii="Arial" w:hAnsi="Arial" w:cs="Arial" w:eastAsia="Arial"/>
          <w:b w:val="0"/>
          <w:i w:val="0"/>
          <w:sz w:val="21"/>
          <w:lang w:val="ar-SA" w:bidi="ar-SA"/>
        </w:rPr>
        <w:t>Katz, E., Blumler, J. G., &amp; Gurevitch, M. (1973). Uses and gratifications research. Public Opinion Quarterly, 37(4), 509–523. https://doi.org/10.1086/268109</w:t>
      </w:r>
    </w:p>
    <w:p>
      <w:pPr>
        <w:bidi/>
        <w:spacing w:after="100" w:line="276" w:lineRule="auto"/>
        <w:ind w:left="482" w:hanging="482"/>
        <w:jc w:val="right"/>
      </w:pPr>
      <w:r>
        <w:rPr>
          <w:rFonts w:ascii="Arial" w:hAnsi="Arial" w:cs="Arial" w:eastAsia="Arial"/>
          <w:b w:val="0"/>
          <w:i w:val="0"/>
          <w:sz w:val="21"/>
          <w:lang w:val="ar-SA" w:bidi="ar-SA"/>
        </w:rPr>
        <w:t>Keynes, J. M. (1936). The General Theory of Employment, Interest and Money. London, UK: Macmillan.</w:t>
      </w:r>
    </w:p>
    <w:p>
      <w:pPr>
        <w:bidi/>
        <w:spacing w:after="100" w:line="276" w:lineRule="auto"/>
        <w:ind w:left="482" w:hanging="482"/>
        <w:jc w:val="right"/>
      </w:pPr>
      <w:r>
        <w:rPr>
          <w:rFonts w:ascii="Arial" w:hAnsi="Arial" w:cs="Arial" w:eastAsia="Arial"/>
          <w:b w:val="0"/>
          <w:i w:val="0"/>
          <w:sz w:val="21"/>
          <w:lang w:val="ar-SA" w:bidi="ar-SA"/>
        </w:rPr>
        <w:t>Lippmann, W. (1922). Public Opinion. New York, NY: Harcourt, Brace and Company.</w:t>
      </w:r>
    </w:p>
    <w:p>
      <w:pPr>
        <w:bidi/>
        <w:spacing w:after="100" w:line="276" w:lineRule="auto"/>
        <w:ind w:left="482" w:hanging="482"/>
        <w:jc w:val="right"/>
      </w:pPr>
      <w:r>
        <w:rPr>
          <w:rFonts w:ascii="Arial" w:hAnsi="Arial" w:cs="Arial" w:eastAsia="Arial"/>
          <w:b w:val="0"/>
          <w:i w:val="0"/>
          <w:sz w:val="21"/>
          <w:lang w:val="ar-SA" w:bidi="ar-SA"/>
        </w:rPr>
        <w:t>McCombs, M. E., &amp; Shaw, D. L. (1972). The agenda-setting function of mass media. Public Opinion Quarterly, 36(2), 176–187. https://doi.org/10.1086/267990</w:t>
      </w:r>
    </w:p>
    <w:p>
      <w:pPr>
        <w:bidi/>
        <w:spacing w:after="100" w:line="276" w:lineRule="auto"/>
        <w:ind w:left="482" w:hanging="482"/>
        <w:jc w:val="right"/>
      </w:pPr>
      <w:r>
        <w:rPr>
          <w:rFonts w:ascii="Arial" w:hAnsi="Arial" w:cs="Arial" w:eastAsia="Arial"/>
          <w:b w:val="0"/>
          <w:i w:val="0"/>
          <w:sz w:val="21"/>
          <w:lang w:val="ar-SA" w:bidi="ar-SA"/>
        </w:rPr>
        <w:t>Noelle-Neumann, E. (1974). The spiral of silence: A theory of public opinion. Journal of Communication, 24(2), 43–51. https://doi.org/10.1111/j.1460-2466.1974.tb00367.x</w:t>
      </w:r>
    </w:p>
    <w:p>
      <w:pPr>
        <w:bidi/>
        <w:spacing w:after="100" w:line="276" w:lineRule="auto"/>
        <w:ind w:left="482" w:hanging="482"/>
        <w:jc w:val="right"/>
      </w:pPr>
      <w:r>
        <w:rPr>
          <w:rFonts w:ascii="Arial" w:hAnsi="Arial" w:cs="Arial" w:eastAsia="Arial"/>
          <w:b w:val="0"/>
          <w:i w:val="0"/>
          <w:sz w:val="21"/>
          <w:lang w:val="ar-SA" w:bidi="ar-SA"/>
        </w:rPr>
        <w:t>Putnam, R. D. (2000). Bowling Alone: The Collapse and Revival of American Community. New York, NY: Simon &amp; Schuster.</w:t>
      </w:r>
    </w:p>
    <w:p>
      <w:pPr>
        <w:bidi/>
        <w:spacing w:after="100" w:line="276" w:lineRule="auto"/>
        <w:ind w:left="482" w:hanging="482"/>
        <w:jc w:val="right"/>
      </w:pPr>
      <w:r>
        <w:rPr>
          <w:rFonts w:ascii="Arial" w:hAnsi="Arial" w:cs="Arial" w:eastAsia="Arial"/>
          <w:b w:val="0"/>
          <w:i w:val="0"/>
          <w:sz w:val="21"/>
          <w:lang w:val="ar-SA" w:bidi="ar-SA"/>
        </w:rPr>
        <w:t>Shiller, R. J. (2019). Narrative Economics: How Stories Go Viral and Drive Major Economic Events. Princeton, NJ: Princeton University Press.</w:t>
      </w:r>
    </w:p>
    <w:p>
      <w:pPr>
        <w:bidi/>
        <w:spacing w:after="100" w:line="276" w:lineRule="auto"/>
        <w:ind w:left="482" w:hanging="482"/>
        <w:jc w:val="right"/>
      </w:pPr>
      <w:r>
        <w:rPr>
          <w:rFonts w:ascii="Arial" w:hAnsi="Arial" w:cs="Arial" w:eastAsia="Arial"/>
          <w:b w:val="0"/>
          <w:i w:val="0"/>
          <w:sz w:val="21"/>
          <w:lang w:val="ar-SA" w:bidi="ar-SA"/>
        </w:rPr>
        <w:t>Tajfel, H., &amp; Turner, J. C. (1979). An integrative theory of intergroup conflict. In W. G. Austin &amp; S. Worchel (Eds.), The Social Psychology of Intergroup Relations (pp. 33–47). Monterey, CA: Brooks/Cole.</w:t>
      </w:r>
    </w:p>
    <w:p>
      <w:pPr>
        <w:bidi/>
        <w:spacing w:after="100" w:line="276" w:lineRule="auto"/>
        <w:ind w:left="482" w:hanging="482"/>
        <w:jc w:val="right"/>
      </w:pPr>
      <w:r>
        <w:rPr>
          <w:rFonts w:ascii="Arial" w:hAnsi="Arial" w:cs="Arial" w:eastAsia="Arial"/>
          <w:b w:val="0"/>
          <w:i w:val="0"/>
          <w:sz w:val="21"/>
          <w:lang w:val="ar-SA" w:bidi="ar-SA"/>
        </w:rPr>
        <w:t>Tichenor, P. J., Donohue, G. A., &amp; Olien, C. N. (1970). Mass media flow and differential growth in knowledge. Public Opinion Quarterly, 34(2), 159–170. https://doi.org/10.1086/267786</w:t>
      </w:r>
    </w:p>
    <w:p>
      <w:r>
        <w:br w:type="page"/>
      </w:r>
    </w:p>
    <w:p>
      <w:pPr>
        <w:keepNext/>
        <w:bidi/>
        <w:spacing w:before="200" w:after="160" w:line="276" w:lineRule="auto"/>
        <w:jc w:val="right"/>
      </w:pPr>
      <w:r>
        <w:rPr>
          <w:rFonts w:ascii="Arial" w:hAnsi="Arial" w:cs="Traditional Arabic" w:eastAsia="Traditional Arabic"/>
          <w:b/>
          <w:i w:val="0"/>
          <w:color w:val="1F4E79"/>
          <w:sz w:val="32"/>
          <w:lang w:val="ar-SA" w:bidi="ar-SA"/>
        </w:rPr>
        <w:t>الملاحق</w:t>
      </w:r>
    </w:p>
    <w:p>
      <w:pPr>
        <w:keepNext/>
        <w:bidi/>
        <w:spacing w:before="200" w:after="120" w:line="276" w:lineRule="auto"/>
        <w:jc w:val="right"/>
      </w:pPr>
      <w:r>
        <w:rPr>
          <w:rFonts w:ascii="Arial" w:hAnsi="Arial" w:cs="Traditional Arabic" w:eastAsia="Traditional Arabic"/>
          <w:b/>
          <w:i w:val="0"/>
          <w:color w:val="2E74B5"/>
          <w:sz w:val="28"/>
          <w:lang w:val="ar-SA" w:bidi="ar-SA"/>
        </w:rPr>
        <w:t>ملحق (1): توزيع المهام والجهد البحثي</w:t>
      </w:r>
    </w:p>
    <w:p>
      <w:pPr>
        <w:bidi/>
        <w:spacing w:before="0" w:after="100" w:line="288" w:lineRule="auto"/>
        <w:jc w:val="both"/>
      </w:pPr>
      <w:r>
        <w:rPr>
          <w:rFonts w:ascii="Arial" w:hAnsi="Arial" w:cs="Traditional Arabic" w:eastAsia="Traditional Arabic"/>
          <w:b w:val="0"/>
          <w:i w:val="0"/>
          <w:sz w:val="25"/>
          <w:lang w:val="ar-SA" w:bidi="ar-SA"/>
        </w:rPr>
        <w:t>يُثبت هذا الملحق نصيب كل طالب من العمل، ويُبيّن أنّ القسمين متكاملان في الحجم والعمق، تحقيقاً لشرط ظهور جهد الباحثين.</w:t>
      </w:r>
    </w:p>
    <w:p>
      <w:pPr>
        <w:keepNext/>
        <w:bidi/>
        <w:spacing w:before="120" w:after="80" w:line="288" w:lineRule="auto"/>
        <w:jc w:val="center"/>
      </w:pPr>
      <w:r>
        <w:rPr>
          <w:rFonts w:ascii="Arial" w:hAnsi="Arial" w:cs="Traditional Arabic" w:eastAsia="Traditional Arabic"/>
          <w:b/>
          <w:i w:val="0"/>
          <w:color w:val="1F4E79"/>
          <w:sz w:val="21"/>
          <w:lang w:val="ar-SA" w:bidi="ar-SA"/>
        </w:rPr>
        <w:t>جدول (6): توزيع المهام والجهد البحثي — إعداد الباحثين</w:t>
      </w:r>
    </w:p>
    <w:tbl>
      <w:tblPr>
        <w:tblStyle w:val="TableGrid"/>
        <w:bidiVisual/>
        <w:tblW w:type="auto" w:w="0"/>
        <w:jc w:val="center"/>
        <w:tblLayout w:type="fixed"/>
        <w:tblLook w:firstColumn="1" w:firstRow="1" w:lastColumn="0" w:lastRow="0" w:noHBand="0" w:noVBand="1" w:val="04A0"/>
      </w:tblPr>
      <w:tblGrid>
        <w:gridCol w:w="1860"/>
        <w:gridCol w:w="1860"/>
        <w:gridCol w:w="1860"/>
        <w:gridCol w:w="1860"/>
        <w:gridCol w:w="1860"/>
      </w:tblGrid>
      <w:tr>
        <w:tc>
          <w:tcPr>
            <w:tcW w:type="dxa" w:w="1953"/>
            <w:shd w:val="clear" w:color="auto" w:fill="DCE6F1"/>
          </w:tcPr>
          <w:p>
            <w:pPr>
              <w:bidi/>
              <w:spacing w:after="40" w:before="40"/>
              <w:jc w:val="center"/>
            </w:pPr>
            <w:r>
              <w:rPr>
                <w:rFonts w:ascii="Arial" w:hAnsi="Arial" w:cs="Traditional Arabic" w:eastAsia="Traditional Arabic"/>
                <w:b/>
                <w:i w:val="0"/>
                <w:color w:val="1F4E79"/>
                <w:sz w:val="20"/>
                <w:lang w:val="ar-SA" w:bidi="ar-SA"/>
              </w:rPr>
              <w:t>الطالب</w:t>
            </w:r>
          </w:p>
        </w:tc>
        <w:tc>
          <w:tcPr>
            <w:tcW w:type="dxa" w:w="1674"/>
            <w:shd w:val="clear" w:color="auto" w:fill="DCE6F1"/>
          </w:tcPr>
          <w:p>
            <w:pPr>
              <w:bidi/>
              <w:spacing w:after="40" w:before="40"/>
              <w:jc w:val="center"/>
            </w:pPr>
            <w:r>
              <w:rPr>
                <w:rFonts w:ascii="Arial" w:hAnsi="Arial" w:cs="Traditional Arabic" w:eastAsia="Traditional Arabic"/>
                <w:b/>
                <w:i w:val="0"/>
                <w:color w:val="1F4E79"/>
                <w:sz w:val="20"/>
                <w:lang w:val="ar-SA" w:bidi="ar-SA"/>
              </w:rPr>
              <w:t>الرقم الجامعي</w:t>
            </w:r>
          </w:p>
        </w:tc>
        <w:tc>
          <w:tcPr>
            <w:tcW w:type="dxa" w:w="2696"/>
            <w:shd w:val="clear" w:color="auto" w:fill="DCE6F1"/>
          </w:tcPr>
          <w:p>
            <w:pPr>
              <w:bidi/>
              <w:spacing w:after="40" w:before="40"/>
              <w:jc w:val="center"/>
            </w:pPr>
            <w:r>
              <w:rPr>
                <w:rFonts w:ascii="Arial" w:hAnsi="Arial" w:cs="Traditional Arabic" w:eastAsia="Traditional Arabic"/>
                <w:b/>
                <w:i w:val="0"/>
                <w:color w:val="1F4E79"/>
                <w:sz w:val="20"/>
                <w:lang w:val="ar-SA" w:bidi="ar-SA"/>
              </w:rPr>
              <w:t>المهام المسندة</w:t>
            </w:r>
          </w:p>
        </w:tc>
        <w:tc>
          <w:tcPr>
            <w:tcW w:type="dxa" w:w="1581"/>
            <w:shd w:val="clear" w:color="auto" w:fill="DCE6F1"/>
          </w:tcPr>
          <w:p>
            <w:pPr>
              <w:bidi/>
              <w:spacing w:after="40" w:before="40"/>
              <w:jc w:val="center"/>
            </w:pPr>
            <w:r>
              <w:rPr>
                <w:rFonts w:ascii="Arial" w:hAnsi="Arial" w:cs="Traditional Arabic" w:eastAsia="Traditional Arabic"/>
                <w:b/>
                <w:i w:val="0"/>
                <w:color w:val="1F4E79"/>
                <w:sz w:val="20"/>
                <w:lang w:val="ar-SA" w:bidi="ar-SA"/>
              </w:rPr>
              <w:t>الكلمات التقريبية</w:t>
            </w:r>
          </w:p>
        </w:tc>
        <w:tc>
          <w:tcPr>
            <w:tcW w:type="dxa" w:w="1395"/>
            <w:shd w:val="clear" w:color="auto" w:fill="DCE6F1"/>
          </w:tcPr>
          <w:p>
            <w:pPr>
              <w:bidi/>
              <w:spacing w:after="40" w:before="40"/>
              <w:jc w:val="center"/>
            </w:pPr>
            <w:r>
              <w:rPr>
                <w:rFonts w:ascii="Arial" w:hAnsi="Arial" w:cs="Traditional Arabic" w:eastAsia="Traditional Arabic"/>
                <w:b/>
                <w:i w:val="0"/>
                <w:color w:val="1F4E79"/>
                <w:sz w:val="20"/>
                <w:lang w:val="ar-SA" w:bidi="ar-SA"/>
              </w:rPr>
              <w:t>الحجم</w:t>
            </w:r>
          </w:p>
        </w:tc>
      </w:tr>
      <w:tr>
        <w:tc>
          <w:tcPr>
            <w:tcW w:type="dxa" w:w="1953"/>
          </w:tcPr>
          <w:p>
            <w:pPr>
              <w:bidi/>
              <w:spacing w:after="20" w:before="20" w:line="264" w:lineRule="auto"/>
              <w:jc w:val="right"/>
            </w:pPr>
            <w:r>
              <w:rPr>
                <w:rFonts w:ascii="Arial" w:hAnsi="Arial" w:cs="Traditional Arabic" w:eastAsia="Traditional Arabic"/>
                <w:b w:val="0"/>
                <w:i w:val="0"/>
                <w:sz w:val="20"/>
                <w:lang w:val="ar-SA" w:bidi="ar-SA"/>
              </w:rPr>
              <w:t>جان شادي عبود</w:t>
            </w:r>
          </w:p>
        </w:tc>
        <w:tc>
          <w:tcPr>
            <w:tcW w:type="dxa" w:w="1674"/>
          </w:tcPr>
          <w:p>
            <w:pPr>
              <w:bidi/>
              <w:spacing w:after="20" w:before="20" w:line="264" w:lineRule="auto"/>
              <w:jc w:val="right"/>
            </w:pPr>
            <w:r>
              <w:rPr>
                <w:rFonts w:ascii="Arial" w:hAnsi="Arial" w:cs="Traditional Arabic" w:eastAsia="Traditional Arabic"/>
                <w:b w:val="0"/>
                <w:i w:val="0"/>
                <w:sz w:val="20"/>
                <w:lang w:val="ar-SA" w:bidi="ar-SA"/>
              </w:rPr>
              <w:t>jan_436439</w:t>
            </w:r>
          </w:p>
        </w:tc>
        <w:tc>
          <w:tcPr>
            <w:tcW w:type="dxa" w:w="2696"/>
          </w:tcPr>
          <w:p>
            <w:pPr>
              <w:bidi/>
              <w:spacing w:after="20" w:before="20" w:line="264" w:lineRule="auto"/>
              <w:jc w:val="right"/>
            </w:pPr>
            <w:r>
              <w:rPr>
                <w:rFonts w:ascii="Arial" w:hAnsi="Arial" w:cs="Traditional Arabic" w:eastAsia="Traditional Arabic"/>
                <w:b w:val="0"/>
                <w:i w:val="0"/>
                <w:sz w:val="20"/>
                <w:lang w:val="ar-SA" w:bidi="ar-SA"/>
              </w:rPr>
              <w:t>المقدمة + الأسئلة (1–3)</w:t>
            </w:r>
          </w:p>
        </w:tc>
        <w:tc>
          <w:tcPr>
            <w:tcW w:type="dxa" w:w="1581"/>
          </w:tcPr>
          <w:p>
            <w:pPr>
              <w:bidi/>
              <w:spacing w:after="20" w:before="20" w:line="264" w:lineRule="auto"/>
              <w:jc w:val="right"/>
            </w:pPr>
            <w:r>
              <w:rPr>
                <w:rFonts w:ascii="Arial" w:hAnsi="Arial" w:cs="Traditional Arabic" w:eastAsia="Traditional Arabic"/>
                <w:b w:val="0"/>
                <w:i w:val="0"/>
                <w:sz w:val="20"/>
                <w:lang w:val="ar-SA" w:bidi="ar-SA"/>
              </w:rPr>
              <w:t>1,729 (2,665 مع الجداول)</w:t>
            </w:r>
          </w:p>
        </w:tc>
        <w:tc>
          <w:tcPr>
            <w:tcW w:type="dxa" w:w="1395"/>
          </w:tcPr>
          <w:p>
            <w:pPr>
              <w:bidi/>
              <w:spacing w:after="20" w:before="20" w:line="264" w:lineRule="auto"/>
              <w:jc w:val="right"/>
            </w:pPr>
            <w:r>
              <w:rPr>
                <w:rFonts w:ascii="Arial" w:hAnsi="Arial" w:cs="Traditional Arabic" w:eastAsia="Traditional Arabic"/>
                <w:b w:val="0"/>
                <w:i w:val="0"/>
                <w:sz w:val="20"/>
                <w:lang w:val="ar-SA" w:bidi="ar-SA"/>
              </w:rPr>
              <w:t>≈ 5 صفحات</w:t>
            </w:r>
          </w:p>
        </w:tc>
      </w:tr>
      <w:tr>
        <w:tc>
          <w:tcPr>
            <w:tcW w:type="dxa" w:w="1953"/>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وديع هيثم سلوم</w:t>
            </w:r>
          </w:p>
        </w:tc>
        <w:tc>
          <w:tcPr>
            <w:tcW w:type="dxa" w:w="1674"/>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wadee_440350</w:t>
            </w:r>
          </w:p>
        </w:tc>
        <w:tc>
          <w:tcPr>
            <w:tcW w:type="dxa" w:w="2696"/>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السؤالان (4–5) + الخاتمة</w:t>
            </w:r>
          </w:p>
        </w:tc>
        <w:tc>
          <w:tcPr>
            <w:tcW w:type="dxa" w:w="158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2,517 (3,177 مع الجداول)</w:t>
            </w:r>
          </w:p>
        </w:tc>
        <w:tc>
          <w:tcPr>
            <w:tcW w:type="dxa" w:w="139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 5 صفحات</w:t>
            </w:r>
          </w:p>
        </w:tc>
      </w:tr>
      <w:tr>
        <w:tc>
          <w:tcPr>
            <w:tcW w:type="dxa" w:w="1953"/>
          </w:tcPr>
          <w:p>
            <w:pPr>
              <w:bidi/>
              <w:spacing w:after="20" w:before="20" w:line="264" w:lineRule="auto"/>
              <w:jc w:val="right"/>
            </w:pPr>
            <w:r>
              <w:rPr>
                <w:rFonts w:ascii="Arial" w:hAnsi="Arial" w:cs="Traditional Arabic" w:eastAsia="Traditional Arabic"/>
                <w:b w:val="0"/>
                <w:i w:val="0"/>
                <w:sz w:val="20"/>
                <w:lang w:val="ar-SA" w:bidi="ar-SA"/>
              </w:rPr>
              <w:t>المجموع</w:t>
            </w:r>
          </w:p>
        </w:tc>
        <w:tc>
          <w:tcPr>
            <w:tcW w:type="dxa" w:w="1674"/>
          </w:tcPr>
          <w:p>
            <w:pPr>
              <w:bidi/>
              <w:spacing w:after="20" w:before="20" w:line="264" w:lineRule="auto"/>
              <w:jc w:val="right"/>
            </w:pPr>
            <w:r>
              <w:rPr>
                <w:rFonts w:ascii="Arial" w:hAnsi="Arial" w:cs="Traditional Arabic" w:eastAsia="Traditional Arabic"/>
                <w:b w:val="0"/>
                <w:i w:val="0"/>
                <w:sz w:val="20"/>
                <w:lang w:val="ar-SA" w:bidi="ar-SA"/>
              </w:rPr>
              <w:t>—</w:t>
            </w:r>
          </w:p>
        </w:tc>
        <w:tc>
          <w:tcPr>
            <w:tcW w:type="dxa" w:w="2696"/>
          </w:tcPr>
          <w:p>
            <w:pPr>
              <w:bidi/>
              <w:spacing w:after="20" w:before="20" w:line="264" w:lineRule="auto"/>
              <w:jc w:val="right"/>
            </w:pPr>
            <w:r>
              <w:rPr>
                <w:rFonts w:ascii="Arial" w:hAnsi="Arial" w:cs="Traditional Arabic" w:eastAsia="Traditional Arabic"/>
                <w:b w:val="0"/>
                <w:i w:val="0"/>
                <w:sz w:val="20"/>
                <w:lang w:val="ar-SA" w:bidi="ar-SA"/>
              </w:rPr>
              <w:t>متن البحث كاملاً</w:t>
            </w:r>
          </w:p>
        </w:tc>
        <w:tc>
          <w:tcPr>
            <w:tcW w:type="dxa" w:w="1581"/>
          </w:tcPr>
          <w:p>
            <w:pPr>
              <w:bidi/>
              <w:spacing w:after="20" w:before="20" w:line="264" w:lineRule="auto"/>
              <w:jc w:val="right"/>
            </w:pPr>
            <w:r>
              <w:rPr>
                <w:rFonts w:ascii="Arial" w:hAnsi="Arial" w:cs="Traditional Arabic" w:eastAsia="Traditional Arabic"/>
                <w:b w:val="0"/>
                <w:i w:val="0"/>
                <w:sz w:val="20"/>
                <w:lang w:val="ar-SA" w:bidi="ar-SA"/>
              </w:rPr>
              <w:t>4,246 (5,842 مع الجداول)</w:t>
            </w:r>
          </w:p>
        </w:tc>
        <w:tc>
          <w:tcPr>
            <w:tcW w:type="dxa" w:w="1395"/>
          </w:tcPr>
          <w:p>
            <w:pPr>
              <w:bidi/>
              <w:spacing w:after="20" w:before="20" w:line="264" w:lineRule="auto"/>
              <w:jc w:val="right"/>
            </w:pPr>
            <w:r>
              <w:rPr>
                <w:rFonts w:ascii="Arial" w:hAnsi="Arial" w:cs="Traditional Arabic" w:eastAsia="Traditional Arabic"/>
                <w:b w:val="0"/>
                <w:i w:val="0"/>
                <w:sz w:val="20"/>
                <w:lang w:val="ar-SA" w:bidi="ar-SA"/>
              </w:rPr>
              <w:t>≈ 10 صفحات</w:t>
            </w:r>
          </w:p>
        </w:tc>
      </w:tr>
    </w:tbl>
    <w:p>
      <w:pPr>
        <w:spacing w:after="40"/>
      </w:pPr>
    </w:p>
    <w:p>
      <w:pPr>
        <w:keepNext/>
        <w:bidi/>
        <w:spacing w:before="200" w:after="120" w:line="276" w:lineRule="auto"/>
        <w:jc w:val="right"/>
      </w:pPr>
      <w:r>
        <w:rPr>
          <w:rFonts w:ascii="Arial" w:hAnsi="Arial" w:cs="Traditional Arabic" w:eastAsia="Traditional Arabic"/>
          <w:b/>
          <w:i w:val="0"/>
          <w:color w:val="2E74B5"/>
          <w:sz w:val="28"/>
          <w:lang w:val="ar-SA" w:bidi="ar-SA"/>
        </w:rPr>
        <w:t>ملحق (2): مسرد مصطلحات البحث</w:t>
      </w:r>
    </w:p>
    <w:p>
      <w:pPr>
        <w:keepNext/>
        <w:bidi/>
        <w:spacing w:before="120" w:after="80" w:line="288" w:lineRule="auto"/>
        <w:jc w:val="center"/>
      </w:pPr>
      <w:r>
        <w:rPr>
          <w:rFonts w:ascii="Arial" w:hAnsi="Arial" w:cs="Traditional Arabic" w:eastAsia="Traditional Arabic"/>
          <w:b/>
          <w:i w:val="0"/>
          <w:color w:val="1F4E79"/>
          <w:sz w:val="21"/>
          <w:lang w:val="ar-SA" w:bidi="ar-SA"/>
        </w:rPr>
        <w:t>جدول (5): مسرد مصطلحات ثنائي اللغة — إعداد الباحثين</w:t>
      </w:r>
    </w:p>
    <w:tbl>
      <w:tblPr>
        <w:tblStyle w:val="TableGrid"/>
        <w:bidiVisual/>
        <w:tblW w:type="auto" w:w="0"/>
        <w:jc w:val="center"/>
        <w:tblLayout w:type="fixed"/>
        <w:tblLook w:firstColumn="1" w:firstRow="1" w:lastColumn="0" w:lastRow="0" w:noHBand="0" w:noVBand="1" w:val="04A0"/>
      </w:tblPr>
      <w:tblGrid>
        <w:gridCol w:w="3099"/>
        <w:gridCol w:w="3099"/>
        <w:gridCol w:w="3099"/>
      </w:tblGrid>
      <w:tr>
        <w:tc>
          <w:tcPr>
            <w:tcW w:type="dxa" w:w="3161"/>
            <w:shd w:val="clear" w:color="auto" w:fill="DCE6F1"/>
          </w:tcPr>
          <w:p>
            <w:pPr>
              <w:bidi/>
              <w:spacing w:after="40" w:before="40"/>
              <w:jc w:val="center"/>
            </w:pPr>
            <w:r>
              <w:rPr>
                <w:rFonts w:ascii="Arial" w:hAnsi="Arial" w:cs="Traditional Arabic" w:eastAsia="Traditional Arabic"/>
                <w:b/>
                <w:i w:val="0"/>
                <w:color w:val="1F4E79"/>
                <w:sz w:val="20"/>
                <w:lang w:val="ar-SA" w:bidi="ar-SA"/>
              </w:rPr>
              <w:t>المصطلح العربي</w:t>
            </w:r>
          </w:p>
        </w:tc>
        <w:tc>
          <w:tcPr>
            <w:tcW w:type="dxa" w:w="3161"/>
            <w:shd w:val="clear" w:color="auto" w:fill="DCE6F1"/>
          </w:tcPr>
          <w:p>
            <w:pPr>
              <w:bidi/>
              <w:spacing w:after="40" w:before="40"/>
              <w:jc w:val="center"/>
            </w:pPr>
            <w:r>
              <w:rPr>
                <w:rFonts w:ascii="Arial" w:hAnsi="Arial" w:cs="Traditional Arabic" w:eastAsia="Traditional Arabic"/>
                <w:b/>
                <w:i w:val="0"/>
                <w:color w:val="1F4E79"/>
                <w:sz w:val="20"/>
                <w:lang w:val="ar-SA" w:bidi="ar-SA"/>
              </w:rPr>
              <w:t>المقابل الإنكليزي</w:t>
            </w:r>
          </w:p>
        </w:tc>
        <w:tc>
          <w:tcPr>
            <w:tcW w:type="dxa" w:w="2975"/>
            <w:shd w:val="clear" w:color="auto" w:fill="DCE6F1"/>
          </w:tcPr>
          <w:p>
            <w:pPr>
              <w:bidi/>
              <w:spacing w:after="40" w:before="40"/>
              <w:jc w:val="center"/>
            </w:pPr>
            <w:r>
              <w:rPr>
                <w:rFonts w:ascii="Arial" w:hAnsi="Arial" w:cs="Traditional Arabic" w:eastAsia="Traditional Arabic"/>
                <w:b/>
                <w:i w:val="0"/>
                <w:color w:val="1F4E79"/>
                <w:sz w:val="20"/>
                <w:lang w:val="ar-SA" w:bidi="ar-SA"/>
              </w:rPr>
              <w:t>موضع الورود</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الرأي العام</w:t>
            </w:r>
          </w:p>
        </w:tc>
        <w:tc>
          <w:tcPr>
            <w:tcW w:type="dxa" w:w="3161"/>
          </w:tcPr>
          <w:p>
            <w:pPr>
              <w:bidi/>
              <w:spacing w:after="20" w:before="20" w:line="264" w:lineRule="auto"/>
              <w:jc w:val="right"/>
            </w:pPr>
            <w:r>
              <w:rPr>
                <w:rFonts w:ascii="Arial" w:hAnsi="Arial" w:cs="Traditional Arabic" w:eastAsia="Traditional Arabic"/>
                <w:b w:val="0"/>
                <w:i w:val="0"/>
                <w:sz w:val="20"/>
                <w:lang w:val="ar-SA" w:bidi="ar-SA"/>
              </w:rPr>
              <w:t>Public Opinion</w:t>
            </w:r>
          </w:p>
        </w:tc>
        <w:tc>
          <w:tcPr>
            <w:tcW w:type="dxa" w:w="2975"/>
          </w:tcPr>
          <w:p>
            <w:pPr>
              <w:bidi/>
              <w:spacing w:after="20" w:before="20" w:line="264" w:lineRule="auto"/>
              <w:jc w:val="right"/>
            </w:pPr>
            <w:r>
              <w:rPr>
                <w:rFonts w:ascii="Arial" w:hAnsi="Arial" w:cs="Traditional Arabic" w:eastAsia="Traditional Arabic"/>
                <w:b w:val="0"/>
                <w:i w:val="0"/>
                <w:sz w:val="20"/>
                <w:lang w:val="ar-SA" w:bidi="ar-SA"/>
              </w:rPr>
              <w:t>المبحث الأول — القسم الأول</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قادة الرأي</w:t>
            </w:r>
          </w:p>
        </w:tc>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Opinion Leaders</w:t>
            </w:r>
          </w:p>
        </w:tc>
        <w:tc>
          <w:tcPr>
            <w:tcW w:type="dxa" w:w="297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نظرية التدفّق على مرحلتين</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ترتيب الأولويات</w:t>
            </w:r>
          </w:p>
        </w:tc>
        <w:tc>
          <w:tcPr>
            <w:tcW w:type="dxa" w:w="3161"/>
          </w:tcPr>
          <w:p>
            <w:pPr>
              <w:bidi/>
              <w:spacing w:after="20" w:before="20" w:line="264" w:lineRule="auto"/>
              <w:jc w:val="right"/>
            </w:pPr>
            <w:r>
              <w:rPr>
                <w:rFonts w:ascii="Arial" w:hAnsi="Arial" w:cs="Traditional Arabic" w:eastAsia="Traditional Arabic"/>
                <w:b w:val="0"/>
                <w:i w:val="0"/>
                <w:sz w:val="20"/>
                <w:lang w:val="ar-SA" w:bidi="ar-SA"/>
              </w:rPr>
              <w:t>Agenda Setting</w:t>
            </w:r>
          </w:p>
        </w:tc>
        <w:tc>
          <w:tcPr>
            <w:tcW w:type="dxa" w:w="2975"/>
          </w:tcPr>
          <w:p>
            <w:pPr>
              <w:bidi/>
              <w:spacing w:after="20" w:before="20" w:line="264" w:lineRule="auto"/>
              <w:jc w:val="right"/>
            </w:pPr>
            <w:r>
              <w:rPr>
                <w:rFonts w:ascii="Arial" w:hAnsi="Arial" w:cs="Traditional Arabic" w:eastAsia="Traditional Arabic"/>
                <w:b w:val="0"/>
                <w:i w:val="0"/>
                <w:sz w:val="20"/>
                <w:lang w:val="ar-SA" w:bidi="ar-SA"/>
              </w:rPr>
              <w:t>المبحث الثالث — القسم الأول</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لولب الصمت / دوامة الصمت</w:t>
            </w:r>
          </w:p>
        </w:tc>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Spiral of Silence</w:t>
            </w:r>
          </w:p>
        </w:tc>
        <w:tc>
          <w:tcPr>
            <w:tcW w:type="dxa" w:w="297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المبحثان الثاني والثالث</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التأطير</w:t>
            </w:r>
          </w:p>
        </w:tc>
        <w:tc>
          <w:tcPr>
            <w:tcW w:type="dxa" w:w="3161"/>
          </w:tcPr>
          <w:p>
            <w:pPr>
              <w:bidi/>
              <w:spacing w:after="20" w:before="20" w:line="264" w:lineRule="auto"/>
              <w:jc w:val="right"/>
            </w:pPr>
            <w:r>
              <w:rPr>
                <w:rFonts w:ascii="Arial" w:hAnsi="Arial" w:cs="Traditional Arabic" w:eastAsia="Traditional Arabic"/>
                <w:b w:val="0"/>
                <w:i w:val="0"/>
                <w:sz w:val="20"/>
                <w:lang w:val="ar-SA" w:bidi="ar-SA"/>
              </w:rPr>
              <w:t>Framing</w:t>
            </w:r>
          </w:p>
        </w:tc>
        <w:tc>
          <w:tcPr>
            <w:tcW w:type="dxa" w:w="2975"/>
          </w:tcPr>
          <w:p>
            <w:pPr>
              <w:bidi/>
              <w:spacing w:after="20" w:before="20" w:line="264" w:lineRule="auto"/>
              <w:jc w:val="right"/>
            </w:pPr>
            <w:r>
              <w:rPr>
                <w:rFonts w:ascii="Arial" w:hAnsi="Arial" w:cs="Traditional Arabic" w:eastAsia="Traditional Arabic"/>
                <w:b w:val="0"/>
                <w:i w:val="0"/>
                <w:sz w:val="20"/>
                <w:lang w:val="ar-SA" w:bidi="ar-SA"/>
              </w:rPr>
              <w:t>المبحث الثالث — القسم الأول</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الاعتماد على وسائل الإعلام</w:t>
            </w:r>
          </w:p>
        </w:tc>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Media Dependency</w:t>
            </w:r>
          </w:p>
        </w:tc>
        <w:tc>
          <w:tcPr>
            <w:tcW w:type="dxa" w:w="297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 الثاني — القسم الثاني</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المجال العام</w:t>
            </w:r>
          </w:p>
        </w:tc>
        <w:tc>
          <w:tcPr>
            <w:tcW w:type="dxa" w:w="3161"/>
          </w:tcPr>
          <w:p>
            <w:pPr>
              <w:bidi/>
              <w:spacing w:after="20" w:before="20" w:line="264" w:lineRule="auto"/>
              <w:jc w:val="right"/>
            </w:pPr>
            <w:r>
              <w:rPr>
                <w:rFonts w:ascii="Arial" w:hAnsi="Arial" w:cs="Traditional Arabic" w:eastAsia="Traditional Arabic"/>
                <w:b w:val="0"/>
                <w:i w:val="0"/>
                <w:sz w:val="20"/>
                <w:lang w:val="ar-SA" w:bidi="ar-SA"/>
              </w:rPr>
              <w:t>Public Sphere</w:t>
            </w:r>
          </w:p>
        </w:tc>
        <w:tc>
          <w:tcPr>
            <w:tcW w:type="dxa" w:w="2975"/>
          </w:tcPr>
          <w:p>
            <w:pPr>
              <w:bidi/>
              <w:spacing w:after="20" w:before="20" w:line="264" w:lineRule="auto"/>
              <w:jc w:val="right"/>
            </w:pPr>
            <w:r>
              <w:rPr>
                <w:rFonts w:ascii="Arial" w:hAnsi="Arial" w:cs="Traditional Arabic" w:eastAsia="Traditional Arabic"/>
                <w:b w:val="0"/>
                <w:i w:val="0"/>
                <w:sz w:val="20"/>
                <w:lang w:val="ar-SA" w:bidi="ar-SA"/>
              </w:rPr>
              <w:t>المبحث الثالث — القسم الأول</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رأس المال الاجتماعي</w:t>
            </w:r>
          </w:p>
        </w:tc>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Social Capital</w:t>
            </w:r>
          </w:p>
        </w:tc>
        <w:tc>
          <w:tcPr>
            <w:tcW w:type="dxa" w:w="297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 الأول — القسم الثاني</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النفور من الخسارة</w:t>
            </w:r>
          </w:p>
        </w:tc>
        <w:tc>
          <w:tcPr>
            <w:tcW w:type="dxa" w:w="3161"/>
          </w:tcPr>
          <w:p>
            <w:pPr>
              <w:bidi/>
              <w:spacing w:after="20" w:before="20" w:line="264" w:lineRule="auto"/>
              <w:jc w:val="right"/>
            </w:pPr>
            <w:r>
              <w:rPr>
                <w:rFonts w:ascii="Arial" w:hAnsi="Arial" w:cs="Traditional Arabic" w:eastAsia="Traditional Arabic"/>
                <w:b w:val="0"/>
                <w:i w:val="0"/>
                <w:sz w:val="20"/>
                <w:lang w:val="ar-SA" w:bidi="ar-SA"/>
              </w:rPr>
              <w:t>Loss Aversion</w:t>
            </w:r>
          </w:p>
        </w:tc>
        <w:tc>
          <w:tcPr>
            <w:tcW w:type="dxa" w:w="2975"/>
          </w:tcPr>
          <w:p>
            <w:pPr>
              <w:bidi/>
              <w:spacing w:after="20" w:before="20" w:line="264" w:lineRule="auto"/>
              <w:jc w:val="right"/>
            </w:pPr>
            <w:r>
              <w:rPr>
                <w:rFonts w:ascii="Arial" w:hAnsi="Arial" w:cs="Traditional Arabic" w:eastAsia="Traditional Arabic"/>
                <w:b w:val="0"/>
                <w:i w:val="0"/>
                <w:sz w:val="20"/>
                <w:lang w:val="ar-SA" w:bidi="ar-SA"/>
              </w:rPr>
              <w:t>المبحث الثاني — القسم الثاني</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التنافر المعرفي</w:t>
            </w:r>
          </w:p>
        </w:tc>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Cognitive Dissonance</w:t>
            </w:r>
          </w:p>
        </w:tc>
        <w:tc>
          <w:tcPr>
            <w:tcW w:type="dxa" w:w="297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المبحث الأول — القسم الثاني</w:t>
            </w:r>
          </w:p>
        </w:tc>
      </w:tr>
      <w:tr>
        <w:tc>
          <w:tcPr>
            <w:tcW w:type="dxa" w:w="3161"/>
          </w:tcPr>
          <w:p>
            <w:pPr>
              <w:bidi/>
              <w:spacing w:after="20" w:before="20" w:line="264" w:lineRule="auto"/>
              <w:jc w:val="right"/>
            </w:pPr>
            <w:r>
              <w:rPr>
                <w:rFonts w:ascii="Arial" w:hAnsi="Arial" w:cs="Traditional Arabic" w:eastAsia="Traditional Arabic"/>
                <w:b w:val="0"/>
                <w:i w:val="0"/>
                <w:sz w:val="20"/>
                <w:lang w:val="ar-SA" w:bidi="ar-SA"/>
              </w:rPr>
              <w:t>الاقتصاد السردي</w:t>
            </w:r>
          </w:p>
        </w:tc>
        <w:tc>
          <w:tcPr>
            <w:tcW w:type="dxa" w:w="3161"/>
          </w:tcPr>
          <w:p>
            <w:pPr>
              <w:bidi/>
              <w:spacing w:after="20" w:before="20" w:line="264" w:lineRule="auto"/>
              <w:jc w:val="right"/>
            </w:pPr>
            <w:r>
              <w:rPr>
                <w:rFonts w:ascii="Arial" w:hAnsi="Arial" w:cs="Traditional Arabic" w:eastAsia="Traditional Arabic"/>
                <w:b w:val="0"/>
                <w:i w:val="0"/>
                <w:sz w:val="20"/>
                <w:lang w:val="ar-SA" w:bidi="ar-SA"/>
              </w:rPr>
              <w:t>Narrative Economics</w:t>
            </w:r>
          </w:p>
        </w:tc>
        <w:tc>
          <w:tcPr>
            <w:tcW w:type="dxa" w:w="2975"/>
          </w:tcPr>
          <w:p>
            <w:pPr>
              <w:bidi/>
              <w:spacing w:after="20" w:before="20" w:line="264" w:lineRule="auto"/>
              <w:jc w:val="right"/>
            </w:pPr>
            <w:r>
              <w:rPr>
                <w:rFonts w:ascii="Arial" w:hAnsi="Arial" w:cs="Traditional Arabic" w:eastAsia="Traditional Arabic"/>
                <w:b w:val="0"/>
                <w:i w:val="0"/>
                <w:sz w:val="20"/>
                <w:lang w:val="ar-SA" w:bidi="ar-SA"/>
              </w:rPr>
              <w:t>المبحث الثاني — القسم الثاني</w:t>
            </w:r>
          </w:p>
        </w:tc>
      </w:tr>
      <w:tr>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مسح الرأي العام</w:t>
            </w:r>
          </w:p>
        </w:tc>
        <w:tc>
          <w:tcPr>
            <w:tcW w:type="dxa" w:w="3161"/>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Opinion Survey</w:t>
            </w:r>
          </w:p>
        </w:tc>
        <w:tc>
          <w:tcPr>
            <w:tcW w:type="dxa" w:w="2975"/>
            <w:shd w:val="clear" w:color="auto" w:fill="F5F8FC"/>
          </w:tcPr>
          <w:p>
            <w:pPr>
              <w:bidi/>
              <w:spacing w:after="20" w:before="20" w:line="264" w:lineRule="auto"/>
              <w:jc w:val="right"/>
            </w:pPr>
            <w:r>
              <w:rPr>
                <w:rFonts w:ascii="Arial" w:hAnsi="Arial" w:cs="Traditional Arabic" w:eastAsia="Traditional Arabic"/>
                <w:b w:val="0"/>
                <w:i w:val="0"/>
                <w:sz w:val="20"/>
                <w:lang w:val="ar-SA" w:bidi="ar-SA"/>
              </w:rPr>
              <w:t>الخصائص والتوصيات</w:t>
            </w:r>
          </w:p>
        </w:tc>
      </w:tr>
    </w:tbl>
    <w:p>
      <w:pPr>
        <w:spacing w:after="40"/>
      </w:pPr>
    </w:p>
    <w:p>
      <w:pPr>
        <w:keepNext/>
        <w:bidi/>
        <w:spacing w:before="200" w:after="120" w:line="276" w:lineRule="auto"/>
        <w:jc w:val="right"/>
      </w:pPr>
      <w:r>
        <w:rPr>
          <w:rFonts w:ascii="Arial" w:hAnsi="Arial" w:cs="Traditional Arabic" w:eastAsia="Traditional Arabic"/>
          <w:b/>
          <w:i w:val="0"/>
          <w:color w:val="2E74B5"/>
          <w:sz w:val="28"/>
          <w:lang w:val="ar-SA" w:bidi="ar-SA"/>
        </w:rPr>
        <w:t>ملحق (3): نص المشكلة الرئيسة والأسئلة الفرعية</w:t>
      </w:r>
    </w:p>
    <w:tbl>
      <w:tblPr>
        <w:tblW w:type="auto" w:w="0"/>
        <w:jc w:val="center"/>
        <w:tblLayout w:type="fixed"/>
        <w:tblLook w:firstColumn="1" w:firstRow="1" w:lastColumn="0" w:lastRow="0" w:noHBand="0" w:noVBand="1" w:val="04A0"/>
      </w:tblPr>
      <w:tblGrid>
        <w:gridCol w:w="9298"/>
      </w:tblGrid>
      <w:tr>
        <w:tc>
          <w:tcPr>
            <w:tcW w:type="dxa" w:w="9298"/>
            <w:tcBorders>
              <w:right w:val="single" w:sz="24" w:color="BF9000"/>
            </w:tcBorders>
            <w:shd w:val="clear" w:color="auto" w:fill="F7F4EA"/>
          </w:tcPr>
          <w:p>
            <w:pPr>
              <w:bidi/>
              <w:spacing w:after="60"/>
              <w:jc w:val="right"/>
            </w:pPr>
            <w:r>
              <w:rPr>
                <w:rFonts w:ascii="Arial" w:hAnsi="Arial" w:cs="Traditional Arabic" w:eastAsia="Traditional Arabic"/>
                <w:b/>
                <w:i w:val="0"/>
                <w:color w:val="BF9000"/>
                <w:sz w:val="23"/>
                <w:lang w:val="ar-SA" w:bidi="ar-SA"/>
              </w:rPr>
              <w:t xml:space="preserve">تكليف الوظيفة الأولى — مادة المدخل إلى علم الاجتماع : </w:t>
            </w:r>
          </w:p>
          <w:p>
            <w:pPr>
              <w:bidi/>
              <w:spacing w:line="288" w:lineRule="auto" w:after="40"/>
              <w:jc w:val="both"/>
            </w:pPr>
            <w:r>
              <w:rPr>
                <w:rFonts w:ascii="Arial" w:hAnsi="Arial" w:cs="Traditional Arabic" w:eastAsia="Traditional Arabic"/>
                <w:b w:val="0"/>
                <w:i w:val="0"/>
                <w:sz w:val="22"/>
                <w:lang w:val="ar-SA" w:bidi="ar-SA"/>
              </w:rPr>
              <w:t>يرى بعض الباحثين أن ارتفاع مستوى التعليم وانتشاره، الأمر الذي زاد من قدرة الشعوب والمواطنين على فهم القضايا العامة، بالإضافة إلى تطور وسائل الاتصال وزيادة الاحتكاك والتواصل بين الشعوب، والتغيرات التي حصلت على الصعيد الاقتصادي، قد جعلت دراسات الرأي العام ضرورية لتوسيع الإنتاج والتخطيط الاقتصادي.</w:t>
            </w:r>
          </w:p>
        </w:tc>
      </w:tr>
    </w:tbl>
    <w:p>
      <w:pPr>
        <w:spacing w:after="40"/>
      </w:pP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١.  </w:t>
      </w:r>
      <w:r>
        <w:rPr>
          <w:rFonts w:ascii="Arial" w:hAnsi="Arial" w:cs="Traditional Arabic" w:eastAsia="Traditional Arabic"/>
          <w:b w:val="0"/>
          <w:i w:val="0"/>
          <w:sz w:val="24"/>
          <w:lang w:val="ar-SA" w:bidi="ar-SA"/>
        </w:rPr>
        <w:t>عرّف الرأي العام. ← أُجيب عنه في المبحث الأول من القسم الأول.</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٢.  </w:t>
      </w:r>
      <w:r>
        <w:rPr>
          <w:rFonts w:ascii="Arial" w:hAnsi="Arial" w:cs="Traditional Arabic" w:eastAsia="Traditional Arabic"/>
          <w:b w:val="0"/>
          <w:i w:val="0"/>
          <w:sz w:val="24"/>
          <w:lang w:val="ar-SA" w:bidi="ar-SA"/>
        </w:rPr>
        <w:t>عدّد مع الشرح خصائص الرأي العام. ← المبحث الثاني من القسم الأول.</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٣.  </w:t>
      </w:r>
      <w:r>
        <w:rPr>
          <w:rFonts w:ascii="Arial" w:hAnsi="Arial" w:cs="Traditional Arabic" w:eastAsia="Traditional Arabic"/>
          <w:b w:val="0"/>
          <w:i w:val="0"/>
          <w:sz w:val="24"/>
          <w:lang w:val="ar-SA" w:bidi="ar-SA"/>
        </w:rPr>
        <w:t>ما النظريات التي تتحدّث عن تشكّل الرأي العام؟ ← المبحث الثالث من القسم الأول.</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٤.  </w:t>
      </w:r>
      <w:r>
        <w:rPr>
          <w:rFonts w:ascii="Arial" w:hAnsi="Arial" w:cs="Traditional Arabic" w:eastAsia="Traditional Arabic"/>
          <w:b w:val="0"/>
          <w:i w:val="0"/>
          <w:sz w:val="24"/>
          <w:lang w:val="ar-SA" w:bidi="ar-SA"/>
        </w:rPr>
        <w:t>اشرح الخلفية الثقافية والنفسية والاجتماعية للرأي العام. ← المبحث الأول من القسم الثاني.</w:t>
      </w:r>
    </w:p>
    <w:p>
      <w:pPr>
        <w:bidi/>
        <w:spacing w:after="80" w:line="293" w:lineRule="auto"/>
        <w:ind w:left="510" w:hanging="312"/>
        <w:jc w:val="both"/>
      </w:pPr>
      <w:r>
        <w:rPr>
          <w:rFonts w:ascii="Arial" w:hAnsi="Arial" w:cs="Traditional Arabic" w:eastAsia="Traditional Arabic"/>
          <w:b/>
          <w:i w:val="0"/>
          <w:color w:val="2E74B5"/>
          <w:sz w:val="24"/>
          <w:lang w:val="ar-SA" w:bidi="ar-SA"/>
        </w:rPr>
        <w:t xml:space="preserve">٥.  </w:t>
      </w:r>
      <w:r>
        <w:rPr>
          <w:rFonts w:ascii="Arial" w:hAnsi="Arial" w:cs="Traditional Arabic" w:eastAsia="Traditional Arabic"/>
          <w:b w:val="0"/>
          <w:i w:val="0"/>
          <w:sz w:val="24"/>
          <w:lang w:val="ar-SA" w:bidi="ar-SA"/>
        </w:rPr>
        <w:t>بيّن رأيك في الرأي العام وعلاقته بالسياسة الاقتصادية للبلد. ← المبحث الثاني من القسم الثاني والخاتمة.</w:t>
      </w:r>
    </w:p>
    <w:p>
      <w:pPr>
        <w:spacing w:after="200"/>
      </w:pPr>
      <w:r>
        <w:rPr>
          <w:rFonts w:ascii="Arial" w:hAnsi="Arial" w:cs="Traditional Arabic" w:eastAsia="Traditional Arabic"/>
          <w:b w:val="0"/>
          <w:i w:val="0"/>
          <w:sz w:val="4"/>
          <w:lang w:val="ar-SA" w:bidi="ar-SA"/>
        </w:rPr>
        <w:t xml:space="preserve"> </w:t>
      </w:r>
    </w:p>
    <w:p>
      <w:pPr>
        <w:bidi/>
        <w:spacing w:before="0" w:after="80" w:line="288" w:lineRule="auto"/>
        <w:jc w:val="center"/>
      </w:pPr>
      <w:r>
        <w:rPr>
          <w:rFonts w:ascii="Arial" w:hAnsi="Arial" w:cs="Traditional Arabic" w:eastAsia="Traditional Arabic"/>
          <w:b/>
          <w:i w:val="0"/>
          <w:color w:val="1F4E79"/>
          <w:sz w:val="24"/>
          <w:lang w:val="ar-SA" w:bidi="ar-SA"/>
        </w:rPr>
        <w:t>جان شادي عبود — jan_436439</w:t>
      </w:r>
    </w:p>
    <w:p>
      <w:pPr>
        <w:bidi/>
        <w:spacing w:before="0" w:after="80" w:line="288" w:lineRule="auto"/>
        <w:jc w:val="center"/>
      </w:pPr>
      <w:r>
        <w:rPr>
          <w:rFonts w:ascii="Arial" w:hAnsi="Arial" w:cs="Traditional Arabic" w:eastAsia="Traditional Arabic"/>
          <w:b/>
          <w:i w:val="0"/>
          <w:color w:val="1F4E79"/>
          <w:sz w:val="24"/>
          <w:lang w:val="ar-SA" w:bidi="ar-SA"/>
        </w:rPr>
        <w:t>وديع هيثم سلوم — wadee_440350</w:t>
      </w:r>
    </w:p>
    <w:p>
      <w:pPr>
        <w:bidi/>
        <w:spacing w:before="0" w:after="80" w:line="288" w:lineRule="auto"/>
        <w:jc w:val="center"/>
      </w:pPr>
      <w:r>
        <w:rPr>
          <w:rFonts w:ascii="Arial" w:hAnsi="Arial" w:cs="Traditional Arabic" w:eastAsia="Traditional Arabic"/>
          <w:b/>
          <w:i w:val="0"/>
          <w:color w:val="1F4E79"/>
          <w:sz w:val="24"/>
          <w:lang w:val="ar-SA" w:bidi="ar-SA"/>
        </w:rPr>
        <w:t>الجامعة الافتراضية السورية — تشرين الأول / 2026</w:t>
      </w:r>
    </w:p>
    <w:sectPr w:rsidR="00FC693F" w:rsidRPr="0006063C" w:rsidSect="00034616">
      <w:headerReference w:type="default" r:id="rId9"/>
      <w:footerReference w:type="default" r:id="rId10"/>
      <w:pgSz w:w="11906" w:h="16838"/>
      <w:pgMar w:top="1134" w:right="1304" w:bottom="1020" w:left="1304" w:header="624" w:footer="624"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cs="Traditional Arabic" w:eastAsia="Traditional Arabic"/>
        <w:b w:val="0"/>
        <w:i w:val="0"/>
        <w:color w:val="555555"/>
        <w:sz w:val="19"/>
        <w:lang w:val="ar-SA" w:bidi="ar-SA"/>
      </w:rPr>
      <w:t xml:space="preserve">صفحة </w:t>
    </w:r>
    <w:r>
      <w:rPr>
        <w:rFonts w:ascii="Arial" w:hAnsi="Arial" w:cs="Traditional Arabic" w:eastAsia="Traditional Arabic"/>
        <w:b w:val="0"/>
        <w:i w:val="0"/>
        <w:color w:val="555555"/>
        <w:sz w:val="19"/>
        <w:lang w:val="ar-SA" w:bidi="ar-SA"/>
      </w:rPr>
      <w:fldChar w:fldCharType="begin"/>
    </w:r>
    <w:r>
      <w:rPr>
        <w:rFonts w:ascii="Arial" w:hAnsi="Arial" w:cs="Traditional Arabic" w:eastAsia="Traditional Arabic"/>
        <w:b w:val="0"/>
        <w:i w:val="0"/>
        <w:color w:val="555555"/>
        <w:sz w:val="19"/>
        <w:lang w:val="ar-SA" w:bidi="ar-SA"/>
      </w:rPr>
      <w:instrText xml:space="preserve"> PAGE </w:instrText>
    </w:r>
    <w:r>
      <w:rPr>
        <w:rFonts w:ascii="Arial" w:hAnsi="Arial" w:cs="Traditional Arabic" w:eastAsia="Traditional Arabic"/>
        <w:b w:val="0"/>
        <w:i w:val="0"/>
        <w:color w:val="555555"/>
        <w:sz w:val="19"/>
        <w:lang w:val="ar-SA" w:bidi="ar-SA"/>
      </w:rPr>
      <w:fldChar w:fldCharType="separate"/>
    </w:r>
    <w:r>
      <w:rPr>
        <w:rFonts w:ascii="Arial" w:hAnsi="Arial" w:cs="Traditional Arabic" w:eastAsia="Traditional Arabic"/>
        <w:b w:val="0"/>
        <w:i w:val="0"/>
        <w:color w:val="555555"/>
        <w:sz w:val="19"/>
        <w:lang w:val="ar-SA" w:bidi="ar-SA"/>
      </w:rPr>
      <w:t>1</w:t>
    </w:r>
    <w:r>
      <w:rPr>
        <w:rFonts w:ascii="Arial" w:hAnsi="Arial" w:cs="Traditional Arabic" w:eastAsia="Traditional Arabic"/>
        <w:b w:val="0"/>
        <w:i w:val="0"/>
        <w:color w:val="555555"/>
        <w:sz w:val="19"/>
        <w:lang w:val="ar-SA" w:bidi="ar-SA"/>
      </w:rPr>
      <w:fldChar w:fldCharType="end"/>
    </w:r>
    <w:r>
      <w:rPr>
        <w:rFonts w:ascii="Arial" w:hAnsi="Arial" w:cs="Traditional Arabic" w:eastAsia="Traditional Arabic"/>
        <w:b w:val="0"/>
        <w:i w:val="0"/>
        <w:color w:val="555555"/>
        <w:sz w:val="19"/>
        <w:lang w:val="ar-SA" w:bidi="ar-SA"/>
      </w:rPr>
      <w:t xml:space="preserve"> من </w:t>
    </w:r>
    <w:r>
      <w:rPr>
        <w:rFonts w:ascii="Arial" w:hAnsi="Arial" w:cs="Traditional Arabic" w:eastAsia="Traditional Arabic"/>
        <w:b w:val="0"/>
        <w:i w:val="0"/>
        <w:color w:val="555555"/>
        <w:sz w:val="19"/>
        <w:lang w:val="ar-SA" w:bidi="ar-SA"/>
      </w:rPr>
      <w:fldChar w:fldCharType="begin"/>
    </w:r>
    <w:r>
      <w:rPr>
        <w:rFonts w:ascii="Arial" w:hAnsi="Arial" w:cs="Traditional Arabic" w:eastAsia="Traditional Arabic"/>
        <w:b w:val="0"/>
        <w:i w:val="0"/>
        <w:color w:val="555555"/>
        <w:sz w:val="19"/>
        <w:lang w:val="ar-SA" w:bidi="ar-SA"/>
      </w:rPr>
      <w:instrText xml:space="preserve"> NUMPAGES </w:instrText>
    </w:r>
    <w:r>
      <w:rPr>
        <w:rFonts w:ascii="Arial" w:hAnsi="Arial" w:cs="Traditional Arabic" w:eastAsia="Traditional Arabic"/>
        <w:b w:val="0"/>
        <w:i w:val="0"/>
        <w:color w:val="555555"/>
        <w:sz w:val="19"/>
        <w:lang w:val="ar-SA" w:bidi="ar-SA"/>
      </w:rPr>
      <w:fldChar w:fldCharType="separate"/>
    </w:r>
    <w:r>
      <w:rPr>
        <w:rFonts w:ascii="Arial" w:hAnsi="Arial" w:cs="Traditional Arabic" w:eastAsia="Traditional Arabic"/>
        <w:b w:val="0"/>
        <w:i w:val="0"/>
        <w:color w:val="555555"/>
        <w:sz w:val="19"/>
        <w:lang w:val="ar-SA" w:bidi="ar-SA"/>
      </w:rPr>
      <w:t>1</w:t>
    </w:r>
    <w:r>
      <w:rPr>
        <w:rFonts w:ascii="Arial" w:hAnsi="Arial" w:cs="Traditional Arabic" w:eastAsia="Traditional Arabic"/>
        <w:b w:val="0"/>
        <w:i w:val="0"/>
        <w:color w:val="555555"/>
        <w:sz w:val="19"/>
        <w:lang w:val="ar-SA" w:bidi="ar-SA"/>
      </w:rPr>
      <w:fldChar w:fldCharType="end"/>
    </w:r>
    <w:r>
      <w:rPr>
        <w:rFonts w:ascii="Arial" w:hAnsi="Arial" w:cs="Traditional Arabic" w:eastAsia="Traditional Arabic"/>
        <w:b w:val="0"/>
        <w:i w:val="0"/>
        <w:color w:val="555555"/>
        <w:sz w:val="19"/>
        <w:lang w:val="ar-SA" w:bidi="ar-SA"/>
      </w:rPr>
      <w:t xml:space="preserve">   —   جان شادي عبود ووديع هيثم سلوم</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AAB7C8"/>
      </w:pBdr>
      <w:bidi/>
      <w:spacing w:after="40"/>
      <w:jc w:val="center"/>
    </w:pPr>
    <w:r>
      <w:rPr>
        <w:rFonts w:ascii="Arial" w:hAnsi="Arial" w:cs="Traditional Arabic" w:eastAsia="Traditional Arabic"/>
        <w:b w:val="0"/>
        <w:i w:val="0"/>
        <w:color w:val="555555"/>
        <w:sz w:val="19"/>
        <w:lang w:val="ar-SA" w:bidi="ar-SA"/>
      </w:rPr>
      <w:t>الجامعة الافتراضية السورية (SVU)  |  المدخل إلى علم الاجتماع  |  الوظيفة الأولى: الرأي العام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Arial" w:hAnsi="Arial" w:cs="Traditional Arabic"/>
      <w:sz w:val="25"/>
      <w:lang w:val="ar-SA"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الوظيفة الأولى: الرأي العام — المدخل إلى علم الاجتماع</dc:title>
  <dc:subject>وظيفة أكاديمية مشتركة — الجامعة الافتراضية السورية (SVU) — بكالوريوس تقانات المعلومات (BAIT)</dc:subject>
  <dc:creator>جان شادي عبود (jan_436439) ووديع هيثم سلوم (wadee_440350)</dc:creator>
  <cp:keywords>الرأي العام، علم الاجتماع، SVU، BAIT، السياسة الاقتصادية</cp:keywords>
  <dc:description>generated by python-docx</dc:description>
  <cp:lastModifiedBy/>
  <cp:revision>1</cp:revision>
  <dcterms:created xsi:type="dcterms:W3CDTF">2013-12-23T23:15:00Z</dcterms:created>
  <dcterms:modified xsi:type="dcterms:W3CDTF">2013-12-23T23:15:00Z</dcterms:modified>
  <cp:category/>
</cp:coreProperties>
</file>