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line="276" w:lineRule="auto" w:before="0" w:after="40"/>
        <w:ind w:firstLine="0"/>
        <w:jc w:val="center"/>
      </w:pPr>
      <w:r>
        <w:rPr>
          <w:rFonts w:ascii="Traditional Arabic" w:hAnsi="Traditional Arabic" w:cs="Traditional Arabic"/>
          <w:b w:val="1"/>
          <w:bCs w:val="1"/>
          <w:sz w:val="40"/>
          <w:szCs w:val="40"/>
          <w:rtl w:val="1"/>
        </w:rPr>
        <w:t>الجامعة الافتراضية السورية</w:t>
      </w:r>
    </w:p>
    <w:p>
      <w:pPr>
        <w:bidi/>
        <w:spacing w:line="276" w:lineRule="auto" w:before="0" w:after="280"/>
        <w:ind w:firstLine="0"/>
        <w:jc w:val="center"/>
      </w:pPr>
      <w:r>
        <w:rPr>
          <w:rFonts w:ascii="Traditional Arabic" w:hAnsi="Traditional Arabic" w:cs="Traditional Arabic"/>
          <w:b w:val="0"/>
          <w:bCs w:val="0"/>
          <w:color w:val="555555"/>
          <w:sz w:val="22"/>
          <w:szCs w:val="22"/>
          <w:rtl w:val="1"/>
        </w:rPr>
        <w:t>(SVU — الجامعة الافتراضية السورية)</w:t>
      </w:r>
    </w:p>
    <w:p>
      <w:pPr>
        <w:bidi/>
        <w:spacing w:line="276" w:lineRule="auto" w:before="0" w:after="80"/>
        <w:ind w:firstLine="0"/>
        <w:jc w:val="center"/>
      </w:pPr>
      <w:r>
        <w:rPr>
          <w:rFonts w:ascii="Traditional Arabic" w:hAnsi="Traditional Arabic" w:cs="Traditional Arabic"/>
          <w:b w:val="0"/>
          <w:bCs w:val="0"/>
          <w:sz w:val="28"/>
          <w:szCs w:val="28"/>
          <w:rtl w:val="1"/>
        </w:rPr>
        <w:t>كلية الهندسة المعلوماتية — برنامج الإجازة في تقانة المعلومات</w:t>
      </w:r>
    </w:p>
    <w:p>
      <w:pPr>
        <w:bidi/>
        <w:spacing w:line="276" w:lineRule="auto" w:before="0" w:after="120"/>
        <w:ind w:firstLine="0"/>
        <w:jc w:val="center"/>
      </w:pPr>
      <w:r>
        <w:rPr>
          <w:rFonts w:ascii="Traditional Arabic" w:hAnsi="Traditional Arabic" w:cs="Traditional Arabic"/>
          <w:b w:val="0"/>
          <w:bCs w:val="0"/>
          <w:color w:val="555555"/>
          <w:sz w:val="22"/>
          <w:szCs w:val="22"/>
          <w:rtl w:val="1"/>
        </w:rPr>
        <w:t>(بكالوريوس تقانات المعلومات — BAIT، ويشار إليه في هذا الغلاف اختصاراً بالحروف اللاتينية)</w:t>
      </w:r>
    </w:p>
    <w:p>
      <w:pPr>
        <w:bidi/>
        <w:spacing w:line="276" w:lineRule="auto" w:before="360" w:after="40"/>
        <w:ind w:firstLine="0"/>
        <w:jc w:val="center"/>
      </w:pPr>
      <w:r>
        <w:rPr>
          <w:rFonts w:ascii="Traditional Arabic" w:hAnsi="Traditional Arabic" w:cs="Traditional Arabic"/>
          <w:b w:val="1"/>
          <w:bCs w:val="1"/>
          <w:sz w:val="32"/>
          <w:szCs w:val="32"/>
          <w:rtl w:val="1"/>
        </w:rPr>
        <w:t>مقرر: المدخل إلى علم الاجتماع</w:t>
      </w:r>
    </w:p>
    <w:p>
      <w:pPr>
        <w:bidi/>
        <w:spacing w:line="276" w:lineRule="auto" w:before="200" w:after="40"/>
        <w:ind w:firstLine="0"/>
        <w:jc w:val="center"/>
      </w:pPr>
      <w:r>
        <w:rPr>
          <w:rFonts w:ascii="Traditional Arabic" w:hAnsi="Traditional Arabic" w:cs="Traditional Arabic"/>
          <w:b w:val="1"/>
          <w:bCs w:val="1"/>
          <w:sz w:val="40"/>
          <w:szCs w:val="40"/>
          <w:rtl w:val="1"/>
        </w:rPr>
        <w:t>الوظيفة الأولى</w:t>
      </w:r>
    </w:p>
    <w:p>
      <w:pPr>
        <w:bidi/>
        <w:spacing w:line="276" w:lineRule="auto" w:before="0" w:after="320"/>
        <w:ind w:firstLine="0"/>
        <w:jc w:val="center"/>
      </w:pPr>
      <w:r>
        <w:rPr>
          <w:rFonts w:ascii="Traditional Arabic" w:hAnsi="Traditional Arabic" w:cs="Traditional Arabic"/>
          <w:b w:val="1"/>
          <w:bCs w:val="1"/>
          <w:sz w:val="44"/>
          <w:szCs w:val="44"/>
          <w:rtl w:val="1"/>
        </w:rPr>
        <w:t>«الرأي العام»</w:t>
      </w:r>
    </w:p>
    <w:p>
      <w:pPr>
        <w:bidi/>
        <w:spacing w:line="276" w:lineRule="auto" w:before="0" w:after="40"/>
        <w:ind w:firstLine="0"/>
        <w:jc w:val="center"/>
      </w:pPr>
      <w:r>
        <w:rPr>
          <w:rFonts w:ascii="Traditional Arabic" w:hAnsi="Traditional Arabic" w:cs="Traditional Arabic"/>
          <w:b w:val="0"/>
          <w:bCs w:val="0"/>
          <w:sz w:val="26"/>
          <w:szCs w:val="26"/>
          <w:rtl w:val="1"/>
        </w:rPr>
        <w:t>إعداد: أساتذة مادة علم الاجتماع</w:t>
      </w:r>
    </w:p>
    <w:p>
      <w:pPr>
        <w:bidi/>
        <w:spacing w:line="276" w:lineRule="auto" w:before="0" w:after="360"/>
        <w:ind w:firstLine="0"/>
        <w:jc w:val="center"/>
      </w:pPr>
      <w:r>
        <w:rPr>
          <w:rFonts w:ascii="Traditional Arabic" w:hAnsi="Traditional Arabic" w:cs="Traditional Arabic"/>
          <w:b w:val="0"/>
          <w:bCs w:val="0"/>
          <w:sz w:val="26"/>
          <w:szCs w:val="26"/>
          <w:rtl w:val="1"/>
        </w:rPr>
        <w:t>تاريخ التوزيع: 14/10/2026 — تاريخ الإعادة: 12/11/2026</w:t>
      </w:r>
    </w:p>
    <w:tbl>
      <w:tblPr>
        <w:tblStyle w:val="TableGrid"/>
        <w:bidiVisual/>
        <w:tblW w:type="auto" w:w="0"/>
        <w:jc w:val="center"/>
        <w:tblLook w:firstColumn="1" w:firstRow="1" w:lastColumn="0" w:lastRow="0" w:noHBand="0" w:noVBand="1" w:val="04A0"/>
      </w:tblPr>
      <w:tblGrid>
        <w:gridCol w:w="4536"/>
        <w:gridCol w:w="4536"/>
      </w:tblGrid>
      <w:tr>
        <w:tc>
          <w:tcPr>
            <w:tcW w:type="dxa" w:w="4649"/>
          </w:tcPr>
          <w:p>
            <w:pPr>
              <w:bidi/>
              <w:spacing w:line="264" w:lineRule="auto" w:before="60" w:after="60"/>
              <w:ind w:firstLine="0"/>
              <w:jc w:val="center"/>
            </w:pPr>
            <w:r/>
            <w:r>
              <w:rPr>
                <w:rFonts w:ascii="Traditional Arabic" w:hAnsi="Traditional Arabic" w:cs="Traditional Arabic"/>
                <w:b w:val="1"/>
                <w:bCs w:val="1"/>
                <w:sz w:val="24"/>
                <w:szCs w:val="24"/>
                <w:rtl w:val="1"/>
              </w:rPr>
              <w:t>اسم الطالب</w:t>
            </w:r>
          </w:p>
        </w:tc>
        <w:tc>
          <w:tcPr>
            <w:tcW w:type="dxa" w:w="4649"/>
          </w:tcPr>
          <w:p>
            <w:pPr>
              <w:bidi/>
              <w:spacing w:line="264" w:lineRule="auto" w:before="60" w:after="60"/>
              <w:ind w:firstLine="0"/>
              <w:jc w:val="center"/>
            </w:pPr>
            <w:r/>
            <w:r>
              <w:rPr>
                <w:rFonts w:ascii="Traditional Arabic" w:hAnsi="Traditional Arabic" w:cs="Traditional Arabic"/>
                <w:b w:val="1"/>
                <w:bCs w:val="1"/>
                <w:sz w:val="24"/>
                <w:szCs w:val="24"/>
                <w:rtl w:val="1"/>
              </w:rPr>
              <w:t>الرقم الجامعي والمسار الدراسي</w:t>
            </w:r>
          </w:p>
        </w:tc>
      </w:tr>
      <w:tr>
        <w:tc>
          <w:tcPr>
            <w:tcW w:type="dxa" w:w="4649"/>
          </w:tcPr>
          <w:p>
            <w:pPr>
              <w:bidi/>
              <w:spacing w:line="264" w:lineRule="auto" w:before="60" w:after="60"/>
              <w:ind w:firstLine="0"/>
              <w:jc w:val="center"/>
            </w:pPr>
            <w:r/>
            <w:r>
              <w:rPr>
                <w:rFonts w:ascii="Traditional Arabic" w:hAnsi="Traditional Arabic" w:cs="Traditional Arabic"/>
                <w:b w:val="0"/>
                <w:bCs w:val="0"/>
                <w:sz w:val="24"/>
                <w:szCs w:val="24"/>
                <w:rtl w:val="1"/>
              </w:rPr>
              <w:t>جان شادي عبود</w:t>
            </w:r>
          </w:p>
        </w:tc>
        <w:tc>
          <w:tcPr>
            <w:tcW w:type="dxa" w:w="4649"/>
          </w:tcPr>
          <w:p>
            <w:pPr>
              <w:bidi/>
              <w:spacing w:line="264" w:lineRule="auto" w:before="60" w:after="60"/>
              <w:ind w:firstLine="0"/>
              <w:jc w:val="center"/>
            </w:pPr>
            <w:r/>
            <w:r>
              <w:rPr>
                <w:rFonts w:ascii="Traditional Arabic" w:hAnsi="Traditional Arabic" w:cs="Traditional Arabic"/>
                <w:b w:val="0"/>
                <w:bCs w:val="0"/>
                <w:sz w:val="24"/>
                <w:szCs w:val="24"/>
                <w:rtl w:val="1"/>
              </w:rPr>
              <w:t>jan_436439 — المعهد التقاني للحاسوب، ثم الإجازة في تقانة المعلومات</w:t>
            </w:r>
          </w:p>
        </w:tc>
      </w:tr>
      <w:tr>
        <w:tc>
          <w:tcPr>
            <w:tcW w:type="dxa" w:w="4649"/>
          </w:tcPr>
          <w:p>
            <w:pPr>
              <w:bidi/>
              <w:spacing w:line="264" w:lineRule="auto" w:before="60" w:after="60"/>
              <w:ind w:firstLine="0"/>
              <w:jc w:val="center"/>
            </w:pPr>
            <w:r/>
            <w:r>
              <w:rPr>
                <w:rFonts w:ascii="Traditional Arabic" w:hAnsi="Traditional Arabic" w:cs="Traditional Arabic"/>
                <w:b w:val="0"/>
                <w:bCs w:val="0"/>
                <w:sz w:val="24"/>
                <w:szCs w:val="24"/>
                <w:rtl w:val="1"/>
              </w:rPr>
              <w:t>وديع هيثم سلوم</w:t>
            </w:r>
          </w:p>
        </w:tc>
        <w:tc>
          <w:tcPr>
            <w:tcW w:type="dxa" w:w="4649"/>
          </w:tcPr>
          <w:p>
            <w:pPr>
              <w:bidi/>
              <w:spacing w:line="264" w:lineRule="auto" w:before="60" w:after="60"/>
              <w:ind w:firstLine="0"/>
              <w:jc w:val="center"/>
            </w:pPr>
            <w:r/>
            <w:r>
              <w:rPr>
                <w:rFonts w:ascii="Traditional Arabic" w:hAnsi="Traditional Arabic" w:cs="Traditional Arabic"/>
                <w:b w:val="0"/>
                <w:bCs w:val="0"/>
                <w:sz w:val="24"/>
                <w:szCs w:val="24"/>
                <w:rtl w:val="1"/>
              </w:rPr>
              <w:t>wadee_440350 — المعهد التقاني للحاسوب، ثم الإجازة في تقانة المعلومات</w:t>
            </w:r>
          </w:p>
        </w:tc>
      </w:tr>
    </w:tbl>
    <w:p>
      <w:pPr>
        <w:bidi/>
        <w:spacing w:line="276" w:lineRule="auto" w:before="440" w:after="40"/>
        <w:ind w:firstLine="0"/>
        <w:jc w:val="center"/>
      </w:pPr>
      <w:r>
        <w:rPr>
          <w:rFonts w:ascii="Traditional Arabic" w:hAnsi="Traditional Arabic" w:cs="Traditional Arabic"/>
          <w:b w:val="1"/>
          <w:bCs w:val="1"/>
          <w:sz w:val="28"/>
          <w:szCs w:val="28"/>
          <w:rtl w:val="1"/>
        </w:rPr>
        <w:t>العام الدراسي 2026/2027</w:t>
      </w:r>
    </w:p>
    <w:p>
      <w:pPr>
        <w:bidi/>
        <w:spacing w:line="276" w:lineRule="auto" w:before="0" w:after="0"/>
        <w:ind w:firstLine="0"/>
        <w:jc w:val="center"/>
      </w:pPr>
      <w:r>
        <w:rPr>
          <w:rFonts w:ascii="Traditional Arabic" w:hAnsi="Traditional Arabic" w:cs="Traditional Arabic"/>
          <w:b w:val="0"/>
          <w:bCs w:val="0"/>
          <w:color w:val="555555"/>
          <w:sz w:val="24"/>
          <w:szCs w:val="24"/>
          <w:rtl w:val="1"/>
        </w:rPr>
        <w:t>دمشق — الجمهورية العربية السورية</w:t>
      </w:r>
    </w:p>
    <w:p>
      <w:pPr>
        <w:sectPr>
          <w:footnotePr>
            <w:pos w:val="pageBottom"/>
          </w:footnotePr>
          <w:pgSz w:w="11906" w:h="16838"/>
          <w:pgMar w:top="1417" w:right="1417" w:bottom="1417" w:left="1417" w:header="709" w:footer="709" w:gutter="0"/>
          <w:cols w:space="720"/>
          <w:bidi/>
          <w:docGrid w:linePitch="360"/>
        </w:sectPr>
      </w:pPr>
    </w:p>
    <w:p>
      <w:pPr>
        <w:pStyle w:val="Heading1"/>
        <w:keepNext/>
        <w:bidi/>
        <w:spacing w:line="312" w:lineRule="auto" w:before="240" w:after="160"/>
        <w:ind w:firstLine="0"/>
        <w:jc w:val="right"/>
      </w:pPr>
      <w:r>
        <w:rPr>
          <w:rFonts w:ascii="Traditional Arabic" w:hAnsi="Traditional Arabic" w:cs="Traditional Arabic"/>
          <w:b w:val="1"/>
          <w:bCs w:val="1"/>
          <w:i w:val="0"/>
          <w:iCs w:val="0"/>
          <w:sz w:val="36"/>
          <w:szCs w:val="36"/>
          <w:rtl w:val="1"/>
        </w:rPr>
        <w:t>إقرار بالأصالة</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نحن الموقعان أدناه، جان شادي عبود (الرقم الجامعي: jan_436439)، ووديع هيثم سلوم (الرقم الجامعي: wadee_440350)، نقر بما يلي:</w:t>
      </w:r>
    </w:p>
    <w:p>
      <w:pPr>
        <w:bidi/>
        <w:spacing w:line="360" w:lineRule="auto" w:before="0" w:after="80"/>
        <w:ind w:firstLine="340"/>
        <w:jc w:val="both"/>
      </w:pPr>
      <w:r>
        <w:rPr>
          <w:rFonts w:ascii="Traditional Arabic" w:hAnsi="Traditional Arabic" w:cs="Traditional Arabic"/>
          <w:b w:val="0"/>
          <w:bCs w:val="0"/>
          <w:i w:val="0"/>
          <w:iCs w:val="0"/>
          <w:sz w:val="28"/>
          <w:szCs w:val="28"/>
          <w:rtl w:val="1"/>
        </w:rPr>
        <w:t>• أن هذه الوظيفة بعنوان «الرأي العام» هي عمل أصيل أعددناه بأنفسنا لمقرر «المدخل إلى علم الاجتماع»، ولم يقدم من قبل في أي مقرر أو جامعة أخرى، ولم ينشر بأي صيغة.</w:t>
      </w:r>
    </w:p>
    <w:p>
      <w:pPr>
        <w:bidi/>
        <w:spacing w:line="360" w:lineRule="auto" w:before="0" w:after="80"/>
        <w:ind w:firstLine="340"/>
        <w:jc w:val="both"/>
      </w:pPr>
      <w:r>
        <w:rPr>
          <w:rFonts w:ascii="Traditional Arabic" w:hAnsi="Traditional Arabic" w:cs="Traditional Arabic"/>
          <w:b w:val="0"/>
          <w:bCs w:val="0"/>
          <w:i w:val="0"/>
          <w:iCs w:val="0"/>
          <w:sz w:val="28"/>
          <w:szCs w:val="28"/>
          <w:rtl w:val="1"/>
        </w:rPr>
        <w:t>• أن كل ما نقلناه من كتب أو مقالات أو تقارير أو مواقع إلكترونية موثق في موضعه بهامش سفلي، ومدرج في مسرد المراجع والمصادر في نهاية البحث.</w:t>
      </w:r>
    </w:p>
    <w:p>
      <w:pPr>
        <w:bidi/>
        <w:spacing w:line="360" w:lineRule="auto" w:before="0" w:after="80"/>
        <w:ind w:firstLine="340"/>
        <w:jc w:val="both"/>
      </w:pPr>
      <w:r>
        <w:rPr>
          <w:rFonts w:ascii="Traditional Arabic" w:hAnsi="Traditional Arabic" w:cs="Traditional Arabic"/>
          <w:b w:val="0"/>
          <w:bCs w:val="0"/>
          <w:i w:val="0"/>
          <w:iCs w:val="0"/>
          <w:sz w:val="28"/>
          <w:szCs w:val="28"/>
          <w:rtl w:val="1"/>
        </w:rPr>
        <w:t>• أن ما ورد فيها من أمثلة من بيئة العمل والمجموعة الكشفية هو من خبرتنا الشخصية، وقد وصف بصدق على أنه ملاحظة محدودة غير ممثلة إحصائياً، ولم نخترع أي نسبة أو عينة أو نتيجة استبيان.</w:t>
      </w:r>
    </w:p>
    <w:p>
      <w:pPr>
        <w:bidi/>
        <w:spacing w:line="360" w:lineRule="auto" w:before="0" w:after="80"/>
        <w:ind w:firstLine="340"/>
        <w:jc w:val="both"/>
      </w:pPr>
      <w:r>
        <w:rPr>
          <w:rFonts w:ascii="Traditional Arabic" w:hAnsi="Traditional Arabic" w:cs="Traditional Arabic"/>
          <w:b w:val="0"/>
          <w:bCs w:val="0"/>
          <w:i w:val="0"/>
          <w:iCs w:val="0"/>
          <w:sz w:val="28"/>
          <w:szCs w:val="28"/>
          <w:rtl w:val="1"/>
        </w:rPr>
        <w:t>• أننا نعلم أن أي تشابه بين هذه الوظيفة وغيرها من الوظائف يعرضنا لعقوبة الصفر في الوظيفة والحرمان من التقديم للامتحان، ونقبل هذه العقوبة إن ثبت التشابه.</w:t>
      </w:r>
    </w:p>
    <w:p>
      <w:pPr>
        <w:bidi/>
        <w:spacing w:line="360" w:lineRule="auto" w:before="0" w:after="80"/>
        <w:ind w:firstLine="340"/>
        <w:jc w:val="both"/>
      </w:pPr>
      <w:r>
        <w:rPr>
          <w:rFonts w:ascii="Traditional Arabic" w:hAnsi="Traditional Arabic" w:cs="Traditional Arabic"/>
          <w:b w:val="0"/>
          <w:bCs w:val="0"/>
          <w:i w:val="0"/>
          <w:iCs w:val="0"/>
          <w:sz w:val="28"/>
          <w:szCs w:val="28"/>
          <w:rtl w:val="1"/>
        </w:rPr>
        <w:t>• أن العمل جرى ضمن فريق من طالبين، وأن توزيع المهام موضح في الجدول (1) وفي المقدمة، وأن كل باحث يتحمل مسؤولية القسم الذي كتبه.</w:t>
      </w:r>
    </w:p>
    <w:p>
      <w:pPr>
        <w:bidi/>
        <w:spacing w:line="360" w:lineRule="auto" w:before="0" w:after="200"/>
        <w:ind w:firstLine="567"/>
        <w:jc w:val="both"/>
      </w:pPr>
    </w:p>
    <w:tbl>
      <w:tblPr>
        <w:tblStyle w:val="TableGrid"/>
        <w:bidiVisual/>
        <w:tblW w:type="auto" w:w="0"/>
        <w:tblLook w:firstColumn="1" w:firstRow="1" w:lastColumn="0" w:lastRow="0" w:noHBand="0" w:noVBand="1" w:val="04A0"/>
      </w:tblPr>
      <w:tblGrid>
        <w:gridCol w:w="4536"/>
        <w:gridCol w:w="4536"/>
      </w:tblGrid>
      <w:tr>
        <w:tc>
          <w:tcPr>
            <w:tcW w:type="dxa" w:w="4536"/>
          </w:tcPr>
          <w:p>
            <w:pPr>
              <w:bidi/>
              <w:spacing w:line="288" w:lineRule="auto" w:before="80" w:after="80"/>
              <w:ind w:firstLine="0"/>
              <w:jc w:val="center"/>
            </w:pPr>
            <w:r/>
            <w:r>
              <w:rPr>
                <w:rFonts w:ascii="Traditional Arabic" w:hAnsi="Traditional Arabic" w:cs="Traditional Arabic"/>
                <w:b w:val="1"/>
                <w:bCs w:val="1"/>
                <w:sz w:val="24"/>
                <w:szCs w:val="24"/>
                <w:rtl w:val="1"/>
              </w:rPr>
              <w:t>الباحث الأول</w:t>
            </w:r>
          </w:p>
        </w:tc>
        <w:tc>
          <w:tcPr>
            <w:tcW w:type="dxa" w:w="4536"/>
          </w:tcPr>
          <w:p>
            <w:pPr>
              <w:bidi/>
              <w:spacing w:line="288" w:lineRule="auto" w:before="80" w:after="80"/>
              <w:ind w:firstLine="0"/>
              <w:jc w:val="center"/>
            </w:pPr>
            <w:r/>
            <w:r>
              <w:rPr>
                <w:rFonts w:ascii="Traditional Arabic" w:hAnsi="Traditional Arabic" w:cs="Traditional Arabic"/>
                <w:b w:val="1"/>
                <w:bCs w:val="1"/>
                <w:sz w:val="24"/>
                <w:szCs w:val="24"/>
                <w:rtl w:val="1"/>
              </w:rPr>
              <w:t>الباحث الثاني</w:t>
            </w:r>
          </w:p>
        </w:tc>
      </w:tr>
      <w:tr>
        <w:tc>
          <w:tcPr>
            <w:tcW w:type="dxa" w:w="4536"/>
          </w:tcPr>
          <w:p>
            <w:pPr>
              <w:bidi/>
              <w:spacing w:line="288" w:lineRule="auto" w:before="80" w:after="80"/>
              <w:ind w:firstLine="0"/>
              <w:jc w:val="center"/>
            </w:pPr>
            <w:r/>
            <w:r>
              <w:rPr>
                <w:rFonts w:ascii="Traditional Arabic" w:hAnsi="Traditional Arabic" w:cs="Traditional Arabic"/>
                <w:b w:val="0"/>
                <w:bCs w:val="0"/>
                <w:sz w:val="24"/>
                <w:szCs w:val="24"/>
                <w:rtl w:val="1"/>
              </w:rPr>
              <w:t>جان شادي عبود</w:t>
            </w:r>
          </w:p>
          <w:p>
            <w:pPr>
              <w:bidi/>
              <w:spacing w:line="288" w:lineRule="auto" w:before="0" w:after="80"/>
              <w:ind w:firstLine="0"/>
              <w:jc w:val="center"/>
            </w:pPr>
            <w:r>
              <w:rPr>
                <w:rFonts w:ascii="Traditional Arabic" w:hAnsi="Traditional Arabic" w:cs="Traditional Arabic"/>
                <w:sz w:val="24"/>
                <w:szCs w:val="24"/>
                <w:rtl w:val="1"/>
              </w:rPr>
              <w:t>jan_436439</w:t>
            </w:r>
          </w:p>
          <w:p>
            <w:pPr>
              <w:bidi/>
              <w:spacing w:line="288" w:lineRule="auto" w:before="0" w:after="80"/>
              <w:ind w:firstLine="0"/>
              <w:jc w:val="center"/>
            </w:pPr>
            <w:r>
              <w:rPr>
                <w:rFonts w:ascii="Traditional Arabic" w:hAnsi="Traditional Arabic" w:cs="Traditional Arabic"/>
                <w:sz w:val="24"/>
                <w:szCs w:val="24"/>
                <w:rtl w:val="1"/>
              </w:rPr>
              <w:t>التوقيع: ....................</w:t>
            </w:r>
          </w:p>
          <w:p>
            <w:pPr>
              <w:bidi/>
              <w:spacing w:line="288" w:lineRule="auto" w:before="0" w:after="80"/>
              <w:ind w:firstLine="0"/>
              <w:jc w:val="center"/>
            </w:pPr>
            <w:r>
              <w:rPr>
                <w:rFonts w:ascii="Traditional Arabic" w:hAnsi="Traditional Arabic" w:cs="Traditional Arabic"/>
                <w:sz w:val="24"/>
                <w:szCs w:val="24"/>
                <w:rtl w:val="1"/>
              </w:rPr>
              <w:t>التاريخ: 12/11/2026</w:t>
            </w:r>
          </w:p>
        </w:tc>
        <w:tc>
          <w:tcPr>
            <w:tcW w:type="dxa" w:w="4536"/>
          </w:tcPr>
          <w:p>
            <w:pPr>
              <w:bidi/>
              <w:spacing w:line="288" w:lineRule="auto" w:before="80" w:after="80"/>
              <w:ind w:firstLine="0"/>
              <w:jc w:val="center"/>
            </w:pPr>
            <w:r/>
            <w:r>
              <w:rPr>
                <w:rFonts w:ascii="Traditional Arabic" w:hAnsi="Traditional Arabic" w:cs="Traditional Arabic"/>
                <w:b w:val="0"/>
                <w:bCs w:val="0"/>
                <w:sz w:val="24"/>
                <w:szCs w:val="24"/>
                <w:rtl w:val="1"/>
              </w:rPr>
              <w:t>وديع هيثم سلوم</w:t>
            </w:r>
          </w:p>
          <w:p>
            <w:pPr>
              <w:bidi/>
              <w:spacing w:line="288" w:lineRule="auto" w:before="0" w:after="80"/>
              <w:ind w:firstLine="0"/>
              <w:jc w:val="center"/>
            </w:pPr>
            <w:r>
              <w:rPr>
                <w:rFonts w:ascii="Traditional Arabic" w:hAnsi="Traditional Arabic" w:cs="Traditional Arabic"/>
                <w:sz w:val="24"/>
                <w:szCs w:val="24"/>
                <w:rtl w:val="1"/>
              </w:rPr>
              <w:t>wadee_440350</w:t>
            </w:r>
          </w:p>
          <w:p>
            <w:pPr>
              <w:bidi/>
              <w:spacing w:line="288" w:lineRule="auto" w:before="0" w:after="80"/>
              <w:ind w:firstLine="0"/>
              <w:jc w:val="center"/>
            </w:pPr>
            <w:r>
              <w:rPr>
                <w:rFonts w:ascii="Traditional Arabic" w:hAnsi="Traditional Arabic" w:cs="Traditional Arabic"/>
                <w:sz w:val="24"/>
                <w:szCs w:val="24"/>
                <w:rtl w:val="1"/>
              </w:rPr>
              <w:t>التوقيع: ....................</w:t>
            </w:r>
          </w:p>
          <w:p>
            <w:pPr>
              <w:bidi/>
              <w:spacing w:line="288" w:lineRule="auto" w:before="0" w:after="80"/>
              <w:ind w:firstLine="0"/>
              <w:jc w:val="center"/>
            </w:pPr>
            <w:r>
              <w:rPr>
                <w:rFonts w:ascii="Traditional Arabic" w:hAnsi="Traditional Arabic" w:cs="Traditional Arabic"/>
                <w:sz w:val="24"/>
                <w:szCs w:val="24"/>
                <w:rtl w:val="1"/>
              </w:rPr>
              <w:t>التاريخ: 12/11/2026</w:t>
            </w:r>
          </w:p>
        </w:tc>
      </w:tr>
    </w:tbl>
    <w:p>
      <w:pPr>
        <w:pStyle w:val="Heading1"/>
        <w:keepNext/>
        <w:pageBreakBefore/>
        <w:bidi/>
        <w:spacing w:line="312" w:lineRule="auto" w:before="0" w:after="160"/>
        <w:ind w:firstLine="0"/>
        <w:jc w:val="right"/>
      </w:pPr>
      <w:r>
        <w:rPr>
          <w:rFonts w:ascii="Traditional Arabic" w:hAnsi="Traditional Arabic" w:cs="Traditional Arabic"/>
          <w:b w:val="1"/>
          <w:bCs w:val="1"/>
          <w:i w:val="0"/>
          <w:iCs w:val="0"/>
          <w:sz w:val="36"/>
          <w:szCs w:val="36"/>
          <w:rtl w:val="1"/>
        </w:rPr>
        <w:t>شكر وتقدير</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نشكر أساتذة مادة «المدخل إلى علم الاجتماع» في الجامعة الافتراضية السورية على ما قدموه من مادة علمية ومن توجيهات منهجية أسهمت في ترتيب أفكارنا، ونشكر كل من ساعدنا في الوصول إلى مصدر أو مراجعة صياغة. ونخص بالذكر زملاءنا في العمل وفي المجموعتين الكشفيتين، الذين كان حديثهم اليومي مادة خاماً لكثير من الأمثلة الواردة في هذه الوظيفة. وكل ما ورد فيها من خطأ فهو منا، وما أصاب ففضل لمن علمنا.</w:t>
      </w:r>
    </w:p>
    <w:p>
      <w:pPr>
        <w:bidi/>
        <w:spacing w:line="312" w:lineRule="auto" w:before="0" w:after="200"/>
        <w:ind w:firstLine="0"/>
        <w:jc w:val="center"/>
      </w:pPr>
      <w:r>
        <w:rPr>
          <w:rFonts w:ascii="Traditional Arabic" w:hAnsi="Traditional Arabic" w:cs="Traditional Arabic"/>
          <w:b w:val="1"/>
          <w:bCs w:val="1"/>
          <w:sz w:val="36"/>
          <w:szCs w:val="36"/>
          <w:rtl w:val="1"/>
        </w:rPr>
        <w:t>فهرس المحتويات</w:t>
      </w:r>
    </w:p>
    <w:p>
      <w:pPr>
        <w:bidi/>
        <w:spacing w:line="360" w:lineRule="auto" w:before="0" w:after="120"/>
        <w:ind w:firstLine="0"/>
        <w:jc w:val="both"/>
      </w:pPr>
      <w:r>
        <w:rPr>
          <w:rFonts w:ascii="Traditional Arabic" w:hAnsi="Traditional Arabic" w:cs="Traditional Arabic"/>
          <w:b w:val="0"/>
          <w:bCs w:val="0"/>
          <w:i w:val="0"/>
          <w:iCs w:val="0"/>
          <w:sz w:val="22"/>
          <w:szCs w:val="22"/>
          <w:rtl w:val="1"/>
        </w:rPr>
        <w:t>(فهرس آلي قابل للتحديث: يحدث تلقائياً عند فتح الملف في برنامج وورد، أو يدوياً بتحديد الحقل ثم اختيار «تحديث الحقل» من قائمة المراجع؛ وأرقام الصفحات في فهرس الجداول مرتبطة بحقول إحالة تتحدث مع الفهرس نفسه)</w:t>
      </w:r>
    </w:p>
    <w:p>
      <w:pPr>
        <w:bidi/>
        <w:spacing w:line="312" w:lineRule="auto" w:before="0" w:after="0"/>
        <w:jc w:val="both"/>
      </w:pPr>
      <w:r>
        <w:rPr>
          <w:rFonts w:ascii="Traditional Arabic" w:hAnsi="Traditional Arabic" w:cs="Traditional Arabic"/>
          <w:sz w:val="28"/>
          <w:szCs w:val="28"/>
          <w:rtl w:val="1"/>
        </w:rPr>
        <w:fldChar w:fldCharType="begin" w:dirty="true"/>
        <w:instrText xml:space="preserve"> TOC \o "1-2" \h \z \u </w:instrText>
        <w:fldChar w:fldCharType="separate"/>
        <w:t>سيُبنى هذا الفهرس تلقائياً عند فتح الملف في برنامج وورد، أو بتحديث الحقول من قائمة المراجع.</w:t>
        <w:fldChar w:fldCharType="end"/>
      </w:r>
    </w:p>
    <w:p>
      <w:pPr>
        <w:pStyle w:val="Heading1"/>
        <w:keepNext/>
        <w:pageBreakBefore/>
        <w:bidi/>
        <w:spacing w:line="312" w:lineRule="auto" w:before="0" w:after="160"/>
        <w:ind w:firstLine="0"/>
        <w:jc w:val="right"/>
      </w:pPr>
      <w:r>
        <w:rPr>
          <w:rFonts w:ascii="Traditional Arabic" w:hAnsi="Traditional Arabic" w:cs="Traditional Arabic"/>
          <w:b w:val="1"/>
          <w:bCs w:val="1"/>
          <w:i w:val="0"/>
          <w:iCs w:val="0"/>
          <w:sz w:val="36"/>
          <w:szCs w:val="36"/>
          <w:rtl w:val="1"/>
        </w:rPr>
        <w:t>فهرس الجداول والأشكال</w:t>
      </w:r>
    </w:p>
    <w:p>
      <w:pPr>
        <w:bidi/>
        <w:spacing w:line="360" w:lineRule="auto" w:before="0" w:after="120"/>
        <w:ind w:firstLine="0"/>
        <w:jc w:val="both"/>
      </w:pPr>
      <w:r>
        <w:rPr>
          <w:rFonts w:ascii="Traditional Arabic" w:hAnsi="Traditional Arabic" w:cs="Traditional Arabic"/>
          <w:b w:val="0"/>
          <w:bCs w:val="0"/>
          <w:i w:val="0"/>
          <w:iCs w:val="0"/>
          <w:sz w:val="28"/>
          <w:szCs w:val="28"/>
          <w:rtl w:val="1"/>
        </w:rPr>
        <w:t>يدرج هذا الفهرس يدوياً وتحدث أرقام صفحاته آلياً بحقول الإحالة، وهو يشير إلى مواضع الجداول والأشكال داخل البحث:</w:t>
      </w:r>
    </w:p>
    <w:p>
      <w:pPr>
        <w:tabs>
          <w:tab w:val="right" w:leader="dot" w:pos="9000"/>
        </w:tabs>
        <w:bidi/>
        <w:spacing w:line="336" w:lineRule="auto" w:before="0" w:after="160"/>
        <w:ind w:firstLine="0"/>
        <w:jc w:val="both"/>
      </w:pPr>
      <w:r>
        <w:rPr>
          <w:rFonts w:ascii="Traditional Arabic" w:hAnsi="Traditional Arabic" w:cs="Traditional Arabic"/>
          <w:sz w:val="26"/>
          <w:szCs w:val="26"/>
          <w:rtl w:val="1"/>
        </w:rPr>
        <w:t>الجدول (1): توزيع العمل بين الباحثين في الوظيفة الأولى</w:t>
        <w:tab/>
      </w:r>
      <w:r>
        <w:rPr>
          <w:rFonts w:ascii="Traditional Arabic" w:hAnsi="Traditional Arabic" w:cs="Traditional Arabic"/>
          <w:sz w:val="26"/>
          <w:szCs w:val="26"/>
          <w:rtl w:val="1"/>
        </w:rPr>
        <w:fldChar w:fldCharType="begin" w:dirty="true"/>
        <w:instrText xml:space="preserve"> PAGEREF _Tbl1 \h </w:instrText>
        <w:fldChar w:fldCharType="separate"/>
        <w:t>—</w:t>
        <w:fldChar w:fldCharType="end"/>
      </w:r>
    </w:p>
    <w:p>
      <w:pPr>
        <w:tabs>
          <w:tab w:val="right" w:leader="dot" w:pos="9000"/>
        </w:tabs>
        <w:bidi/>
        <w:spacing w:line="336" w:lineRule="auto" w:before="0" w:after="160"/>
        <w:ind w:firstLine="0"/>
        <w:jc w:val="both"/>
      </w:pPr>
      <w:r>
        <w:rPr>
          <w:rFonts w:ascii="Traditional Arabic" w:hAnsi="Traditional Arabic" w:cs="Traditional Arabic"/>
          <w:sz w:val="26"/>
          <w:szCs w:val="26"/>
          <w:rtl w:val="1"/>
        </w:rPr>
        <w:t>الجدول (2): مقارنة بين الاتجاهات الثلاثة في تعريف الرأي العام</w:t>
        <w:tab/>
      </w:r>
      <w:r>
        <w:rPr>
          <w:rFonts w:ascii="Traditional Arabic" w:hAnsi="Traditional Arabic" w:cs="Traditional Arabic"/>
          <w:sz w:val="26"/>
          <w:szCs w:val="26"/>
          <w:rtl w:val="1"/>
        </w:rPr>
        <w:fldChar w:fldCharType="begin" w:dirty="true"/>
        <w:instrText xml:space="preserve"> PAGEREF _Tbl2 \h </w:instrText>
        <w:fldChar w:fldCharType="separate"/>
        <w:t>—</w:t>
        <w:fldChar w:fldCharType="end"/>
      </w:r>
    </w:p>
    <w:p>
      <w:pPr>
        <w:tabs>
          <w:tab w:val="right" w:leader="dot" w:pos="9000"/>
        </w:tabs>
        <w:bidi/>
        <w:spacing w:line="336" w:lineRule="auto" w:before="0" w:after="160"/>
        <w:ind w:firstLine="0"/>
        <w:jc w:val="both"/>
      </w:pPr>
      <w:r>
        <w:rPr>
          <w:rFonts w:ascii="Traditional Arabic" w:hAnsi="Traditional Arabic" w:cs="Traditional Arabic"/>
          <w:sz w:val="26"/>
          <w:szCs w:val="26"/>
          <w:rtl w:val="1"/>
        </w:rPr>
        <w:t>الجدول (3): التمييز بين الرأي العام والمفاهيم المجاورة</w:t>
        <w:tab/>
      </w:r>
      <w:r>
        <w:rPr>
          <w:rFonts w:ascii="Traditional Arabic" w:hAnsi="Traditional Arabic" w:cs="Traditional Arabic"/>
          <w:sz w:val="26"/>
          <w:szCs w:val="26"/>
          <w:rtl w:val="1"/>
        </w:rPr>
        <w:fldChar w:fldCharType="begin" w:dirty="true"/>
        <w:instrText xml:space="preserve"> PAGEREF _Tbl3 \h </w:instrText>
        <w:fldChar w:fldCharType="separate"/>
        <w:t>—</w:t>
        <w:fldChar w:fldCharType="end"/>
      </w:r>
    </w:p>
    <w:p>
      <w:pPr>
        <w:tabs>
          <w:tab w:val="right" w:leader="dot" w:pos="9000"/>
        </w:tabs>
        <w:bidi/>
        <w:spacing w:line="336" w:lineRule="auto" w:before="0" w:after="160"/>
        <w:ind w:firstLine="0"/>
        <w:jc w:val="both"/>
      </w:pPr>
      <w:r>
        <w:rPr>
          <w:rFonts w:ascii="Traditional Arabic" w:hAnsi="Traditional Arabic" w:cs="Traditional Arabic"/>
          <w:sz w:val="26"/>
          <w:szCs w:val="26"/>
          <w:rtl w:val="1"/>
        </w:rPr>
        <w:t>الجدول (4): خصائص الرأي العام ومؤشرات قياسها</w:t>
        <w:tab/>
      </w:r>
      <w:r>
        <w:rPr>
          <w:rFonts w:ascii="Traditional Arabic" w:hAnsi="Traditional Arabic" w:cs="Traditional Arabic"/>
          <w:sz w:val="26"/>
          <w:szCs w:val="26"/>
          <w:rtl w:val="1"/>
        </w:rPr>
        <w:fldChar w:fldCharType="begin" w:dirty="true"/>
        <w:instrText xml:space="preserve"> PAGEREF _Tbl4 \h </w:instrText>
        <w:fldChar w:fldCharType="separate"/>
        <w:t>—</w:t>
        <w:fldChar w:fldCharType="end"/>
      </w:r>
    </w:p>
    <w:p>
      <w:pPr>
        <w:tabs>
          <w:tab w:val="right" w:leader="dot" w:pos="9000"/>
        </w:tabs>
        <w:bidi/>
        <w:spacing w:line="336" w:lineRule="auto" w:before="0" w:after="160"/>
        <w:ind w:firstLine="0"/>
        <w:jc w:val="both"/>
      </w:pPr>
      <w:r>
        <w:rPr>
          <w:rFonts w:ascii="Traditional Arabic" w:hAnsi="Traditional Arabic" w:cs="Traditional Arabic"/>
          <w:sz w:val="26"/>
          <w:szCs w:val="26"/>
          <w:rtl w:val="1"/>
        </w:rPr>
        <w:t>الجدول (5): مقارنة النظريات المفسرة لتشكل الرأي العام</w:t>
        <w:tab/>
      </w:r>
      <w:r>
        <w:rPr>
          <w:rFonts w:ascii="Traditional Arabic" w:hAnsi="Traditional Arabic" w:cs="Traditional Arabic"/>
          <w:sz w:val="26"/>
          <w:szCs w:val="26"/>
          <w:rtl w:val="1"/>
        </w:rPr>
        <w:fldChar w:fldCharType="begin" w:dirty="true"/>
        <w:instrText xml:space="preserve"> PAGEREF _Tbl5 \h </w:instrText>
        <w:fldChar w:fldCharType="separate"/>
        <w:t>—</w:t>
        <w:fldChar w:fldCharType="end"/>
      </w:r>
    </w:p>
    <w:p>
      <w:pPr>
        <w:tabs>
          <w:tab w:val="right" w:leader="dot" w:pos="9000"/>
        </w:tabs>
        <w:bidi/>
        <w:spacing w:line="336" w:lineRule="auto" w:before="0" w:after="160"/>
        <w:ind w:firstLine="0"/>
        <w:jc w:val="both"/>
      </w:pPr>
      <w:r>
        <w:rPr>
          <w:rFonts w:ascii="Traditional Arabic" w:hAnsi="Traditional Arabic" w:cs="Traditional Arabic"/>
          <w:sz w:val="26"/>
          <w:szCs w:val="26"/>
          <w:rtl w:val="1"/>
        </w:rPr>
        <w:t>الشكل (1): مسار انتقال الرأي من الحدث إلى الجمهور</w:t>
        <w:tab/>
      </w:r>
      <w:r>
        <w:rPr>
          <w:rFonts w:ascii="Traditional Arabic" w:hAnsi="Traditional Arabic" w:cs="Traditional Arabic"/>
          <w:sz w:val="26"/>
          <w:szCs w:val="26"/>
          <w:rtl w:val="1"/>
        </w:rPr>
        <w:fldChar w:fldCharType="begin" w:dirty="true"/>
        <w:instrText xml:space="preserve"> PAGEREF _Fig1 \h </w:instrText>
        <w:fldChar w:fldCharType="separate"/>
        <w:t>—</w:t>
        <w:fldChar w:fldCharType="end"/>
      </w:r>
    </w:p>
    <w:p>
      <w:pPr>
        <w:tabs>
          <w:tab w:val="right" w:leader="dot" w:pos="9000"/>
        </w:tabs>
        <w:bidi/>
        <w:spacing w:line="336" w:lineRule="auto" w:before="0" w:after="160"/>
        <w:ind w:firstLine="0"/>
        <w:jc w:val="both"/>
      </w:pPr>
      <w:r>
        <w:rPr>
          <w:rFonts w:ascii="Traditional Arabic" w:hAnsi="Traditional Arabic" w:cs="Traditional Arabic"/>
          <w:sz w:val="26"/>
          <w:szCs w:val="26"/>
          <w:rtl w:val="1"/>
        </w:rPr>
        <w:t>الجدول (6): أدوات قياس الرأي العام في المجال الاقتصادي وحدودها</w:t>
        <w:tab/>
      </w:r>
      <w:r>
        <w:rPr>
          <w:rFonts w:ascii="Traditional Arabic" w:hAnsi="Traditional Arabic" w:cs="Traditional Arabic"/>
          <w:sz w:val="26"/>
          <w:szCs w:val="26"/>
          <w:rtl w:val="1"/>
        </w:rPr>
        <w:fldChar w:fldCharType="begin" w:dirty="true"/>
        <w:instrText xml:space="preserve"> PAGEREF _Tbl7 \h </w:instrText>
        <w:fldChar w:fldCharType="separate"/>
        <w:t>—</w:t>
        <w:fldChar w:fldCharType="end"/>
      </w:r>
    </w:p>
    <w:p>
      <w:pPr>
        <w:tabs>
          <w:tab w:val="right" w:leader="dot" w:pos="9000"/>
        </w:tabs>
        <w:bidi/>
        <w:spacing w:line="336" w:lineRule="auto" w:before="0" w:after="160"/>
        <w:ind w:firstLine="0"/>
        <w:jc w:val="both"/>
      </w:pPr>
      <w:r>
        <w:rPr>
          <w:rFonts w:ascii="Traditional Arabic" w:hAnsi="Traditional Arabic" w:cs="Traditional Arabic"/>
          <w:sz w:val="26"/>
          <w:szCs w:val="26"/>
          <w:rtl w:val="1"/>
        </w:rPr>
        <w:t>الجدول (7): مسرد المصطلحات الأساسية الواردة في الوظيفة</w:t>
        <w:tab/>
      </w:r>
      <w:r>
        <w:rPr>
          <w:rFonts w:ascii="Traditional Arabic" w:hAnsi="Traditional Arabic" w:cs="Traditional Arabic"/>
          <w:sz w:val="26"/>
          <w:szCs w:val="26"/>
          <w:rtl w:val="1"/>
        </w:rPr>
        <w:fldChar w:fldCharType="begin" w:dirty="true"/>
        <w:instrText xml:space="preserve"> PAGEREF _Tbl8 \h </w:instrText>
        <w:fldChar w:fldCharType="separate"/>
        <w:t>—</w:t>
        <w:fldChar w:fldCharType="end"/>
      </w:r>
    </w:p>
    <w:p>
      <w:pPr>
        <w:pStyle w:val="Heading1"/>
        <w:keepNext/>
        <w:pageBreakBefore/>
        <w:bidi/>
        <w:spacing w:line="312" w:lineRule="auto" w:before="0" w:after="160"/>
        <w:ind w:firstLine="0"/>
        <w:jc w:val="right"/>
      </w:pPr>
      <w:r>
        <w:rPr>
          <w:rFonts w:ascii="Traditional Arabic" w:hAnsi="Traditional Arabic" w:cs="Traditional Arabic"/>
          <w:b w:val="1"/>
          <w:bCs w:val="1"/>
          <w:i w:val="0"/>
          <w:iCs w:val="0"/>
          <w:sz w:val="36"/>
          <w:szCs w:val="36"/>
          <w:rtl w:val="1"/>
        </w:rPr>
        <w:t>جدول توزيع العمل بين الباحثين</w:t>
      </w:r>
    </w:p>
    <w:p>
      <w:pPr>
        <w:keepNext/>
        <w:bidi/>
        <w:spacing w:line="276" w:lineRule="auto" w:before="120" w:after="80"/>
        <w:ind w:firstLine="0"/>
        <w:jc w:val="center"/>
      </w:pPr>
      <w:bookmarkStart w:id="101" w:name="_Tbl1"/>
      <w:r>
        <w:rPr>
          <w:rFonts w:ascii="Traditional Arabic" w:hAnsi="Traditional Arabic" w:cs="Traditional Arabic"/>
          <w:b w:val="1"/>
          <w:bCs w:val="1"/>
          <w:i w:val="0"/>
          <w:iCs w:val="0"/>
          <w:sz w:val="24"/>
          <w:szCs w:val="24"/>
          <w:rtl w:val="1"/>
        </w:rPr>
        <w:t>الجدول (1): توزيع العمل بين الباحثين في الوظيفة الأولى</w:t>
      </w:r>
      <w:bookmarkEnd w:id="101"/>
    </w:p>
    <w:tbl>
      <w:tblPr>
        <w:tblStyle w:val="TableGrid"/>
        <w:bidiVisual/>
        <w:tblW w:type="auto" w:w="0"/>
        <w:jc w:val="center"/>
        <w:tblLook w:firstColumn="1" w:firstRow="1" w:lastColumn="0" w:lastRow="0" w:noHBand="0" w:noVBand="1" w:val="04A0"/>
      </w:tblPr>
      <w:tblGrid>
        <w:gridCol w:w="2268"/>
        <w:gridCol w:w="2268"/>
        <w:gridCol w:w="2268"/>
        <w:gridCol w:w="2268"/>
      </w:tblGrid>
      <w:tr>
        <w:trPr>
          <w:cantSplit/>
          <w:tblHeader/>
        </w:trPr>
        <w:tc>
          <w:tcPr>
            <w:tcW w:type="dxa" w:w="2041"/>
            <w:shd w:val="clear" w:fill="E8E8E8"/>
          </w:tcPr>
          <w:p>
            <w:pPr>
              <w:bidi/>
              <w:spacing w:line="276" w:lineRule="auto" w:before="40" w:after="40"/>
              <w:ind w:firstLine="0"/>
              <w:jc w:val="center"/>
            </w:pPr>
            <w:r/>
            <w:r>
              <w:rPr>
                <w:rFonts w:ascii="Traditional Arabic" w:hAnsi="Traditional Arabic" w:cs="Traditional Arabic"/>
                <w:b w:val="1"/>
                <w:bCs w:val="1"/>
                <w:i w:val="0"/>
                <w:iCs w:val="0"/>
                <w:sz w:val="22"/>
                <w:szCs w:val="22"/>
                <w:rtl w:val="1"/>
              </w:rPr>
              <w:t>الباحث</w:t>
            </w:r>
          </w:p>
        </w:tc>
        <w:tc>
          <w:tcPr>
            <w:tcW w:type="dxa" w:w="1814"/>
            <w:shd w:val="clear" w:fill="E8E8E8"/>
          </w:tcPr>
          <w:p>
            <w:pPr>
              <w:bidi/>
              <w:spacing w:line="276" w:lineRule="auto" w:before="40" w:after="40"/>
              <w:ind w:firstLine="0"/>
              <w:jc w:val="center"/>
            </w:pPr>
            <w:r/>
            <w:r>
              <w:rPr>
                <w:rFonts w:ascii="Traditional Arabic" w:hAnsi="Traditional Arabic" w:cs="Traditional Arabic"/>
                <w:b w:val="1"/>
                <w:bCs w:val="1"/>
                <w:i w:val="0"/>
                <w:iCs w:val="0"/>
                <w:sz w:val="22"/>
                <w:szCs w:val="22"/>
                <w:rtl w:val="1"/>
              </w:rPr>
              <w:t>الرقم الجامعي</w:t>
            </w:r>
          </w:p>
        </w:tc>
        <w:tc>
          <w:tcPr>
            <w:tcW w:type="dxa" w:w="2608"/>
            <w:shd w:val="clear" w:fill="E8E8E8"/>
          </w:tcPr>
          <w:p>
            <w:pPr>
              <w:bidi/>
              <w:spacing w:line="276" w:lineRule="auto" w:before="40" w:after="40"/>
              <w:ind w:firstLine="0"/>
              <w:jc w:val="center"/>
            </w:pPr>
            <w:r/>
            <w:r>
              <w:rPr>
                <w:rFonts w:ascii="Traditional Arabic" w:hAnsi="Traditional Arabic" w:cs="Traditional Arabic"/>
                <w:b w:val="1"/>
                <w:bCs w:val="1"/>
                <w:i w:val="0"/>
                <w:iCs w:val="0"/>
                <w:sz w:val="22"/>
                <w:szCs w:val="22"/>
                <w:rtl w:val="1"/>
              </w:rPr>
              <w:t>المهام المكلف بها</w:t>
            </w:r>
          </w:p>
        </w:tc>
        <w:tc>
          <w:tcPr>
            <w:tcW w:type="dxa" w:w="2608"/>
            <w:shd w:val="clear" w:fill="E8E8E8"/>
          </w:tcPr>
          <w:p>
            <w:pPr>
              <w:bidi/>
              <w:spacing w:line="276" w:lineRule="auto" w:before="40" w:after="40"/>
              <w:ind w:firstLine="0"/>
              <w:jc w:val="center"/>
            </w:pPr>
            <w:r/>
            <w:r>
              <w:rPr>
                <w:rFonts w:ascii="Traditional Arabic" w:hAnsi="Traditional Arabic" w:cs="Traditional Arabic"/>
                <w:b w:val="1"/>
                <w:bCs w:val="1"/>
                <w:i w:val="0"/>
                <w:iCs w:val="0"/>
                <w:sz w:val="22"/>
                <w:szCs w:val="22"/>
                <w:rtl w:val="1"/>
              </w:rPr>
              <w:t>الأسلوب والمواد المعتمدة</w:t>
            </w:r>
          </w:p>
        </w:tc>
      </w:tr>
      <w:tr>
        <w:trPr>
          <w:cantSplit/>
        </w:trPr>
        <w:tc>
          <w:tcPr>
            <w:tcW w:type="dxa" w:w="2041"/>
          </w:tcPr>
          <w:p>
            <w:pPr>
              <w:bidi/>
              <w:spacing w:line="276" w:lineRule="auto" w:before="40" w:after="40"/>
              <w:ind w:firstLine="0"/>
              <w:jc w:val="both"/>
            </w:pPr>
            <w:r/>
            <w:r>
              <w:rPr>
                <w:rFonts w:ascii="Traditional Arabic" w:hAnsi="Traditional Arabic" w:cs="Traditional Arabic"/>
                <w:b w:val="0"/>
                <w:bCs w:val="0"/>
                <w:i w:val="0"/>
                <w:iCs w:val="0"/>
                <w:sz w:val="22"/>
                <w:szCs w:val="22"/>
                <w:rtl w:val="1"/>
              </w:rPr>
              <w:t>جان شادي عبود</w:t>
            </w:r>
          </w:p>
        </w:tc>
        <w:tc>
          <w:tcPr>
            <w:tcW w:type="dxa" w:w="1814"/>
          </w:tcPr>
          <w:p>
            <w:pPr>
              <w:bidi/>
              <w:spacing w:line="276" w:lineRule="auto" w:before="40" w:after="40"/>
              <w:ind w:firstLine="0"/>
              <w:jc w:val="both"/>
            </w:pPr>
            <w:r/>
            <w:r>
              <w:rPr>
                <w:rFonts w:ascii="Traditional Arabic" w:hAnsi="Traditional Arabic" w:cs="Traditional Arabic"/>
                <w:b w:val="0"/>
                <w:bCs w:val="0"/>
                <w:i w:val="0"/>
                <w:iCs w:val="0"/>
                <w:sz w:val="22"/>
                <w:szCs w:val="22"/>
                <w:rtl w:val="1"/>
              </w:rPr>
              <w:t>jan_436439</w:t>
            </w:r>
          </w:p>
        </w:tc>
        <w:tc>
          <w:tcPr>
            <w:tcW w:type="dxa" w:w="2608"/>
          </w:tcPr>
          <w:p>
            <w:pPr>
              <w:bidi/>
              <w:spacing w:line="276" w:lineRule="auto" w:before="40" w:after="40"/>
              <w:ind w:firstLine="0"/>
              <w:jc w:val="both"/>
            </w:pPr>
            <w:r/>
            <w:r>
              <w:rPr>
                <w:rFonts w:ascii="Traditional Arabic" w:hAnsi="Traditional Arabic" w:cs="Traditional Arabic"/>
                <w:b w:val="0"/>
                <w:bCs w:val="0"/>
                <w:i w:val="0"/>
                <w:iCs w:val="0"/>
                <w:sz w:val="22"/>
                <w:szCs w:val="22"/>
                <w:rtl w:val="1"/>
              </w:rPr>
              <w:t>المقدمة المشتركة، والسؤال الأول (التعريف)، والسؤال الثاني (الخصائص)، والسؤال الثالث (النظريات)، وجدول المقارنة، والشكل التوضيحي</w:t>
            </w:r>
          </w:p>
        </w:tc>
        <w:tc>
          <w:tcPr>
            <w:tcW w:type="dxa" w:w="2608"/>
          </w:tcPr>
          <w:p>
            <w:pPr>
              <w:bidi/>
              <w:spacing w:line="276" w:lineRule="auto" w:before="40" w:after="40"/>
              <w:ind w:firstLine="0"/>
              <w:jc w:val="both"/>
            </w:pPr>
            <w:r/>
            <w:r>
              <w:rPr>
                <w:rFonts w:ascii="Traditional Arabic" w:hAnsi="Traditional Arabic" w:cs="Traditional Arabic"/>
                <w:b w:val="0"/>
                <w:bCs w:val="0"/>
                <w:i w:val="0"/>
                <w:iCs w:val="0"/>
                <w:sz w:val="22"/>
                <w:szCs w:val="22"/>
                <w:rtl w:val="1"/>
              </w:rPr>
              <w:t>أسلوب تحليلي-تقني: تعريفات مضبوطة وجداول مقارنة وأمثلة من المنصات الرقمية والشبكات وخوارزميات التوصية</w:t>
            </w:r>
          </w:p>
        </w:tc>
      </w:tr>
      <w:tr>
        <w:trPr>
          <w:cantSplit/>
        </w:trPr>
        <w:tc>
          <w:tcPr>
            <w:tcW w:type="dxa" w:w="2041"/>
          </w:tcPr>
          <w:p>
            <w:pPr>
              <w:bidi/>
              <w:spacing w:line="276" w:lineRule="auto" w:before="40" w:after="40"/>
              <w:ind w:firstLine="0"/>
              <w:jc w:val="both"/>
            </w:pPr>
            <w:r/>
            <w:r>
              <w:rPr>
                <w:rFonts w:ascii="Traditional Arabic" w:hAnsi="Traditional Arabic" w:cs="Traditional Arabic"/>
                <w:b w:val="0"/>
                <w:bCs w:val="0"/>
                <w:i w:val="0"/>
                <w:iCs w:val="0"/>
                <w:sz w:val="22"/>
                <w:szCs w:val="22"/>
                <w:rtl w:val="1"/>
              </w:rPr>
              <w:t>وديع هيثم سلوم</w:t>
            </w:r>
          </w:p>
        </w:tc>
        <w:tc>
          <w:tcPr>
            <w:tcW w:type="dxa" w:w="1814"/>
          </w:tcPr>
          <w:p>
            <w:pPr>
              <w:bidi/>
              <w:spacing w:line="276" w:lineRule="auto" w:before="40" w:after="40"/>
              <w:ind w:firstLine="0"/>
              <w:jc w:val="both"/>
            </w:pPr>
            <w:r/>
            <w:r>
              <w:rPr>
                <w:rFonts w:ascii="Traditional Arabic" w:hAnsi="Traditional Arabic" w:cs="Traditional Arabic"/>
                <w:b w:val="0"/>
                <w:bCs w:val="0"/>
                <w:i w:val="0"/>
                <w:iCs w:val="0"/>
                <w:sz w:val="22"/>
                <w:szCs w:val="22"/>
                <w:rtl w:val="1"/>
              </w:rPr>
              <w:t>wadee_440350</w:t>
            </w:r>
          </w:p>
        </w:tc>
        <w:tc>
          <w:tcPr>
            <w:tcW w:type="dxa" w:w="2608"/>
          </w:tcPr>
          <w:p>
            <w:pPr>
              <w:bidi/>
              <w:spacing w:line="276" w:lineRule="auto" w:before="40" w:after="40"/>
              <w:ind w:firstLine="0"/>
              <w:jc w:val="both"/>
            </w:pPr>
            <w:r/>
            <w:r>
              <w:rPr>
                <w:rFonts w:ascii="Traditional Arabic" w:hAnsi="Traditional Arabic" w:cs="Traditional Arabic"/>
                <w:b w:val="0"/>
                <w:bCs w:val="0"/>
                <w:i w:val="0"/>
                <w:iCs w:val="0"/>
                <w:sz w:val="22"/>
                <w:szCs w:val="22"/>
                <w:rtl w:val="1"/>
              </w:rPr>
              <w:t>السؤال الرابع (الخلفية الثقافية والنفسية والاجتماعية)، والسؤال الخامس (الرأي العام والسياسة الاقتصادية)، وأدوات القياس والتوصيات</w:t>
            </w:r>
          </w:p>
        </w:tc>
        <w:tc>
          <w:tcPr>
            <w:tcW w:type="dxa" w:w="2608"/>
          </w:tcPr>
          <w:p>
            <w:pPr>
              <w:bidi/>
              <w:spacing w:line="276" w:lineRule="auto" w:before="40" w:after="40"/>
              <w:ind w:firstLine="0"/>
              <w:jc w:val="both"/>
            </w:pPr>
            <w:r/>
            <w:r>
              <w:rPr>
                <w:rFonts w:ascii="Traditional Arabic" w:hAnsi="Traditional Arabic" w:cs="Traditional Arabic"/>
                <w:b w:val="0"/>
                <w:bCs w:val="0"/>
                <w:i w:val="0"/>
                <w:iCs w:val="0"/>
                <w:sz w:val="22"/>
                <w:szCs w:val="22"/>
                <w:rtl w:val="1"/>
              </w:rPr>
              <w:t>أسلوب إنساني-تواصلي: أمثلة من بيئة المصرف وخدمة العملاء والعمل تحت الضغط، ولغة سردية أكاديمية معتدلة</w:t>
            </w:r>
          </w:p>
        </w:tc>
      </w:tr>
      <w:tr>
        <w:trPr>
          <w:cantSplit/>
        </w:trPr>
        <w:tc>
          <w:tcPr>
            <w:tcW w:type="dxa" w:w="2041"/>
          </w:tcPr>
          <w:p>
            <w:pPr>
              <w:bidi/>
              <w:spacing w:line="276" w:lineRule="auto" w:before="40" w:after="40"/>
              <w:ind w:firstLine="0"/>
              <w:jc w:val="both"/>
            </w:pPr>
            <w:r/>
            <w:r>
              <w:rPr>
                <w:rFonts w:ascii="Traditional Arabic" w:hAnsi="Traditional Arabic" w:cs="Traditional Arabic"/>
                <w:b w:val="0"/>
                <w:bCs w:val="0"/>
                <w:i w:val="0"/>
                <w:iCs w:val="0"/>
                <w:sz w:val="22"/>
                <w:szCs w:val="22"/>
                <w:rtl w:val="1"/>
              </w:rPr>
              <w:t>عمل مشترك</w:t>
            </w:r>
          </w:p>
        </w:tc>
        <w:tc>
          <w:tcPr>
            <w:tcW w:type="dxa" w:w="1814"/>
          </w:tcPr>
          <w:p>
            <w:pPr>
              <w:bidi/>
              <w:spacing w:line="276" w:lineRule="auto" w:before="40" w:after="40"/>
              <w:ind w:firstLine="0"/>
              <w:jc w:val="both"/>
            </w:pPr>
            <w:r/>
            <w:r>
              <w:rPr>
                <w:rFonts w:ascii="Traditional Arabic" w:hAnsi="Traditional Arabic" w:cs="Traditional Arabic"/>
                <w:b w:val="0"/>
                <w:bCs w:val="0"/>
                <w:i w:val="0"/>
                <w:iCs w:val="0"/>
                <w:sz w:val="22"/>
                <w:szCs w:val="22"/>
                <w:rtl w:val="1"/>
              </w:rPr>
              <w:t>—</w:t>
            </w:r>
          </w:p>
        </w:tc>
        <w:tc>
          <w:tcPr>
            <w:tcW w:type="dxa" w:w="2608"/>
          </w:tcPr>
          <w:p>
            <w:pPr>
              <w:bidi/>
              <w:spacing w:line="276" w:lineRule="auto" w:before="40" w:after="40"/>
              <w:ind w:firstLine="0"/>
              <w:jc w:val="both"/>
            </w:pPr>
            <w:r/>
            <w:r>
              <w:rPr>
                <w:rFonts w:ascii="Traditional Arabic" w:hAnsi="Traditional Arabic" w:cs="Traditional Arabic"/>
                <w:b w:val="0"/>
                <w:bCs w:val="0"/>
                <w:i w:val="0"/>
                <w:iCs w:val="0"/>
                <w:sz w:val="22"/>
                <w:szCs w:val="22"/>
                <w:rtl w:val="1"/>
              </w:rPr>
              <w:t>صياغة المقدمة والإشكالية والمنهجية، والخاتمة والتوصيات، وجدول توزيع العمل، والمراجعة اللغوية والتنسيق النهائي</w:t>
            </w:r>
          </w:p>
        </w:tc>
        <w:tc>
          <w:tcPr>
            <w:tcW w:type="dxa" w:w="2608"/>
          </w:tcPr>
          <w:p>
            <w:pPr>
              <w:bidi/>
              <w:spacing w:line="276" w:lineRule="auto" w:before="40" w:after="40"/>
              <w:ind w:firstLine="0"/>
              <w:jc w:val="both"/>
            </w:pPr>
            <w:r/>
            <w:r>
              <w:rPr>
                <w:rFonts w:ascii="Traditional Arabic" w:hAnsi="Traditional Arabic" w:cs="Traditional Arabic"/>
                <w:b w:val="0"/>
                <w:bCs w:val="0"/>
                <w:i w:val="0"/>
                <w:iCs w:val="0"/>
                <w:sz w:val="22"/>
                <w:szCs w:val="22"/>
                <w:rtl w:val="1"/>
              </w:rPr>
              <w:t>صوت الفريق بصيغة «نحن»، مع مراجعة متبادلة للنص قبل الجمع</w:t>
            </w:r>
          </w:p>
        </w:tc>
      </w:tr>
    </w:tbl>
    <w:p>
      <w:pPr>
        <w:bidi/>
        <w:spacing w:line="240" w:lineRule="auto" w:before="0" w:after="0"/>
        <w:jc w:val="both"/>
      </w:pPr>
    </w:p>
    <w:p>
      <w:pPr>
        <w:bidi/>
        <w:spacing w:line="360" w:lineRule="auto" w:before="0" w:after="120"/>
        <w:ind w:firstLine="567"/>
        <w:jc w:val="both"/>
      </w:pPr>
      <w:r>
        <w:rPr>
          <w:rFonts w:ascii="Traditional Arabic" w:hAnsi="Traditional Arabic" w:cs="Traditional Arabic"/>
          <w:b w:val="0"/>
          <w:bCs w:val="0"/>
          <w:i w:val="0"/>
          <w:iCs w:val="0"/>
          <w:sz w:val="28"/>
          <w:szCs w:val="28"/>
          <w:rtl w:val="1"/>
        </w:rPr>
        <w:t>يوضح الجدول أعلاه أن العمل جرى في ثلاث طبقات: مهام فردية يتحمل صاحبها مسؤولية صياغتها وأمثلتها، ومهام مشتركة تراجع من الطرفين. وقد حرصنا على ألا يقل نصيب أي منا عن خمس صفحات، وعلى أن يكون لكل قسم صوت مختلف في المفردات وبناء الجملة، مع الحفاظ على وحدة النسق الشكلي والمنهجي.</w:t>
      </w:r>
    </w:p>
    <w:p>
      <w:pPr>
        <w:pStyle w:val="Heading1"/>
        <w:keepNext/>
        <w:pageBreakBefore/>
        <w:bidi/>
        <w:spacing w:line="312" w:lineRule="auto" w:before="0" w:after="160"/>
        <w:ind w:firstLine="0"/>
        <w:jc w:val="right"/>
      </w:pPr>
      <w:r>
        <w:rPr>
          <w:rFonts w:ascii="Traditional Arabic" w:hAnsi="Traditional Arabic" w:cs="Traditional Arabic"/>
          <w:b w:val="1"/>
          <w:bCs w:val="1"/>
          <w:i w:val="0"/>
          <w:iCs w:val="0"/>
          <w:sz w:val="36"/>
          <w:szCs w:val="36"/>
          <w:rtl w:val="1"/>
        </w:rPr>
        <w:t>المقدمة</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تعد الظواهر الاجتماعية من أكثر الموضوعات تعقيداً لأنها تجري في فضاء يتقاطع فيه الفرد بالجماعة، والعاطفة بالحساب، والمصلحة الخاصة بالمصلحة العامة. ويأتي الرأي العام في مقدمة هذه الظواهر لأنه يقع على الحد الفاصل بين ما يعرفه الناس وما يفعلونه، وبين ما يشعرون به وما يصرحون به. فليس الرأي العام مجرد مجموع لآراء الأفراد، ولا هو صوت الأغلبية الحسابي، بل هو بنية مركبة تنشأ من تفاعل المعرفة والاتصال والانتماء، ثم تعود فتؤثر في القرار العام وفي السلوك اليومي للناس. ولهذا لم يكن غريباً أن تصبح دراسة الرأي العام مبحثاً مستقلاً داخل علم الاجتماع وعلم الاجتماع السياسي ودراسات الاتصال، تتناوله بالتحليل من زاوية تكونه ومن زاوية قياسه ومن زاوية وظائفه.</w:t>
      </w:r>
    </w:p>
    <w:p>
      <w:pPr>
        <w:pStyle w:val="Heading2"/>
        <w:keepNext/>
        <w:bidi/>
        <w:spacing w:line="312" w:lineRule="auto" w:before="200" w:after="120"/>
        <w:ind w:firstLine="0"/>
        <w:jc w:val="right"/>
      </w:pPr>
      <w:r>
        <w:rPr>
          <w:rFonts w:ascii="Traditional Arabic" w:hAnsi="Traditional Arabic" w:cs="Traditional Arabic"/>
          <w:b w:val="1"/>
          <w:bCs w:val="1"/>
          <w:i w:val="0"/>
          <w:iCs w:val="0"/>
          <w:sz w:val="32"/>
          <w:szCs w:val="32"/>
          <w:rtl w:val="1"/>
        </w:rPr>
        <w:t>1. المشكلة الرئيسة وأسئلة الوظيفة</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تقوم هذه الوظيفة على مشكلة رئيسة يمكن صياغتها على النحو الآتي: يرى بعض الباحثين أن ارتفاع مستوى التعليم وانتشاره زاد من قدرة الشعوب والمواطنين على فهم القضايا العامة، وأن تطور وسائل الاتصال وزيادة الاحتكاك والتواصل بين الشعوب، وما رافق ذلك من تغيرات اقتصادية، قد رفع من وزن الرأي العام في الحياة العامة؛ ولذلك أصبحت دراسات الرأي العام ضرورية لتوسيع الإنتاج والتخطيط الاقتصادي</w:t>
      </w:r>
      <w:r>
        <w:rPr>
          <w:rStyle w:val="FootnoteReference"/>
          <w:rFonts w:ascii="Traditional Arabic" w:hAnsi="Traditional Arabic" w:cs="Traditional Arabic"/>
          <w:sz w:val="28"/>
          <w:szCs w:val="28"/>
          <w:rtl w:val="1"/>
        </w:rPr>
        <w:footnoteReference w:id="1"/>
      </w:r>
      <w:r>
        <w:rPr>
          <w:rFonts w:ascii="Traditional Arabic" w:hAnsi="Traditional Arabic" w:cs="Traditional Arabic"/>
          <w:b w:val="0"/>
          <w:bCs w:val="0"/>
          <w:i w:val="0"/>
          <w:iCs w:val="0"/>
          <w:sz w:val="28"/>
          <w:szCs w:val="28"/>
          <w:rtl w:val="1"/>
        </w:rPr>
        <w:t>. أي أن المشكلة لا تختزل في سؤال «ما هو الرأي العام؟»، بل تمتد إلى سؤال أعقد: كيف صار الرأي العام متغيراً لا يمكن تجاهله في الحساب الاقتصادي والاجتماعي، بعد أن تعرضت شروط تكونه إلى تحول عميق بفعل التعليم والاتصال؟</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وتتفرع عن هذه المشكلة خمسة أسئلة تنتظم بناء الوظيفة، وهي الأسئلة التي حددها مقرر مادة «المدخل إلى علم الاجتماع»، ونعمل على الإجابة عنها بالترتيب نفسه: تعريف الرأي العام؛ وخصائصه المشروحة؛ والنظريات التي تفسر تشكله؛ والخلفية الثقافية والنفسية والاجتماعية التي يبنى عليها؛ ثم رأي الباحثين في علاقة الرأي العام بالسياسة الاقتصادية للبلد. وترتبط هذه الأسئلة برباط واحد: كلما اتسع التعليم وانتشرت وسائل الاتصال، اتسع الجمهور القادر على تكوين رأي معلل، وتغيرت في الوقت نفسه شروط هذا التكوين ومخاطره.</w:t>
      </w:r>
    </w:p>
    <w:p>
      <w:pPr>
        <w:pStyle w:val="Heading2"/>
        <w:keepNext/>
        <w:bidi/>
        <w:spacing w:line="312" w:lineRule="auto" w:before="200" w:after="120"/>
        <w:ind w:firstLine="0"/>
        <w:jc w:val="right"/>
      </w:pPr>
      <w:r>
        <w:rPr>
          <w:rFonts w:ascii="Traditional Arabic" w:hAnsi="Traditional Arabic" w:cs="Traditional Arabic"/>
          <w:b w:val="1"/>
          <w:bCs w:val="1"/>
          <w:i w:val="0"/>
          <w:iCs w:val="0"/>
          <w:sz w:val="32"/>
          <w:szCs w:val="32"/>
          <w:rtl w:val="1"/>
        </w:rPr>
        <w:t>2. أهمية الموضوع وأهدافه</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تنبع أهمية الموضوع من كونه يمس حياتنا اليومية قبل أن يمس نظريات العلم. فنحن نعمل ونشتري وننتظر في طوابير، ونتخذ قرارات صغيرة كثيرة تتشكل في أذهاننا قبل أن تتشكل في أوراقنا. ومن هنا يستمد الرأي العام وظيفته الاقتصادية: فهو يحدد مناخ الثقة الذي يتحرك فيه الاستثمار والاستهلاك، ويؤثر في قبول الإصلاحات أو رفضها، ويضبط - أو يفلت - الالتزام بالقواعد المشتركة</w:t>
      </w:r>
      <w:r>
        <w:rPr>
          <w:rStyle w:val="FootnoteReference"/>
          <w:rFonts w:ascii="Traditional Arabic" w:hAnsi="Traditional Arabic" w:cs="Traditional Arabic"/>
          <w:sz w:val="28"/>
          <w:szCs w:val="28"/>
          <w:rtl w:val="1"/>
        </w:rPr>
        <w:footnoteReference w:id="2"/>
      </w:r>
      <w:r>
        <w:rPr>
          <w:rFonts w:ascii="Traditional Arabic" w:hAnsi="Traditional Arabic" w:cs="Traditional Arabic"/>
          <w:b w:val="0"/>
          <w:bCs w:val="0"/>
          <w:i w:val="0"/>
          <w:iCs w:val="0"/>
          <w:sz w:val="28"/>
          <w:szCs w:val="28"/>
          <w:rtl w:val="1"/>
        </w:rPr>
        <w:t>. وقد أظهرت مسوح مؤسسية حديثة أن الثقة في المؤسسات ليست شعوراً عابراً، بل متغير قابل للقياس يتأثر بجودة الخدمات وبقدرة الدولة على معالجة القضايا المعقدة</w:t>
      </w:r>
      <w:r>
        <w:rPr>
          <w:rStyle w:val="FootnoteReference"/>
          <w:rFonts w:ascii="Traditional Arabic" w:hAnsi="Traditional Arabic" w:cs="Traditional Arabic"/>
          <w:sz w:val="28"/>
          <w:szCs w:val="28"/>
          <w:rtl w:val="1"/>
        </w:rPr>
        <w:footnoteReference w:id="3"/>
      </w:r>
      <w:r>
        <w:rPr>
          <w:rFonts w:ascii="Traditional Arabic" w:hAnsi="Traditional Arabic" w:cs="Traditional Arabic"/>
          <w:b w:val="0"/>
          <w:bCs w:val="0"/>
          <w:i w:val="0"/>
          <w:iCs w:val="0"/>
          <w:sz w:val="28"/>
          <w:szCs w:val="28"/>
          <w:rtl w:val="1"/>
        </w:rPr>
        <w:t>.</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وتهدف الوظيفة إلى تحقيق أربعة أهداف: أولاً، تحديد مفهوم الرأي العام تحديداً إجرائياً صالحاً للاستخدام في البحث الاجتماعي. ثانياً، تفكيك خصائصه وربط كل خاصية بمؤشر عملي للقياس. ثالثاً، مقارنة النظريات المفسرة لتشكله، وبيان حدود كل نظرية في البيئة الرقمية المعاصرة. رابعاً، الانتقال من النظرية إلى السياسة الاقتصادية عبر موقف معلل وأدوات قياس قابلة للتطبيق.</w:t>
      </w:r>
    </w:p>
    <w:p>
      <w:pPr>
        <w:pStyle w:val="Heading2"/>
        <w:keepNext/>
        <w:bidi/>
        <w:spacing w:line="312" w:lineRule="auto" w:before="200" w:after="120"/>
        <w:ind w:firstLine="0"/>
        <w:jc w:val="right"/>
      </w:pPr>
      <w:r>
        <w:rPr>
          <w:rFonts w:ascii="Traditional Arabic" w:hAnsi="Traditional Arabic" w:cs="Traditional Arabic"/>
          <w:b w:val="1"/>
          <w:bCs w:val="1"/>
          <w:i w:val="0"/>
          <w:iCs w:val="0"/>
          <w:sz w:val="32"/>
          <w:szCs w:val="32"/>
          <w:rtl w:val="1"/>
        </w:rPr>
        <w:t>3. المنهج وإجراءات العمل</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اعتمدنا منهجاً وصفياً تحليلياً يقوم على تفكيك المفهوم إلى عناصره ثم إعادة تركيبه في نسق تفسيري، وأضفنا إليه مقارنة نظرية منظمة بين النظريات المفسرة للرأي العام، مع الاستعانة بالمنهج التاريخي في تتبع ظهور المفاهيم. وقد رجعنا إلى مصادر مكتبية وعربية وأجنبية، وإلى دراسات محكمة وتقارير مؤسسية، والتزمنا بتوثيق كل معلومة نقلية في هامش سفلي مرقم.</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ولم نكتف بالجانب النظري، بل وظفنا خبرتنا العملية توظيفاً حذراً: فأحدنا (جان) يعمل عملاً حراً في مجال تقانة المعلومات، والآخر (وديع) يعمل تقنياً للمعلومات في أحد المصارف، وكلاهما ينتمي إلى مجموعة كشفية مستقلة عن الأخرى. وقد استفدنا من هذه المواقع لإنتاج أمثلة قريبة من التجربة اليومية، مع التنبيه الصريح إلى أن ما نذكره من ملاحظات ميدانية هو ملاحظات محدودة غير ممثلة إحصائياً، لا نتائج مسح منظم، ولا يصح تعميمها.</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أما توزيع العمل فقد جرى على أساس التخصص داخل الموضوع نفسه: تولى جان الأسئلة الثلاثة الأولى (التعريف، والخصائص، والنظريات)، لأنها تستدعي دقة اصطلاحية وقدرة على بناء جداول مقارنة وتمثيل تدفق المعلومة؛ وتولى وديع السؤالين الرابع والخامس (الخلفية الثقافية والنفسية والاجتماعية، والعلاقة بالسياسة الاقتصادية)، لأنها تستدعي حساً تواصلياً وقدرة على قراءة السياق الإنساني. وكتبت المقدمة والخاتمة وجدول توزيع العمل بصياغة مشتركة، ثم جمع النص في تنسيق واحد.</w:t>
      </w:r>
    </w:p>
    <w:p>
      <w:pPr>
        <w:pStyle w:val="Heading2"/>
        <w:keepNext/>
        <w:bidi/>
        <w:spacing w:line="312" w:lineRule="auto" w:before="200" w:after="120"/>
        <w:ind w:firstLine="0"/>
        <w:jc w:val="right"/>
      </w:pPr>
      <w:r>
        <w:rPr>
          <w:rFonts w:ascii="Traditional Arabic" w:hAnsi="Traditional Arabic" w:cs="Traditional Arabic"/>
          <w:b w:val="1"/>
          <w:bCs w:val="1"/>
          <w:i w:val="0"/>
          <w:iCs w:val="0"/>
          <w:sz w:val="32"/>
          <w:szCs w:val="32"/>
          <w:rtl w:val="1"/>
        </w:rPr>
        <w:t>4. حدود البحث</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يقتصر البحث على المفهوم السوسيولوجي للرأي العام وعلاقته بالسياسة الاقتصادية، ولا يتناول تفاصيل الأنظمة الانتخابية ولا الهندسة الإحصائية للاستطلاعات إلا بالقدر الذي يخدم الموضوع. كما أنه لا يعتمد على بيانات ميدانية جديدة، بل يعرض أدوات قياس مقترحة في الملاحق، ويترك تنفيذها لدراسة لاحقة. وقد تجنبنا عمداً إيراد أرقام إحصائية غير موثقة، أو نسب مئوية لا يمكن التحقق من مصدرها، لأن الأمانة العلمية في هذا الباب شرط لصحة أي استنتاج.</w:t>
      </w:r>
    </w:p>
    <w:p>
      <w:pPr>
        <w:pStyle w:val="Heading2"/>
        <w:keepNext/>
        <w:bidi/>
        <w:spacing w:line="312" w:lineRule="auto" w:before="200" w:after="120"/>
        <w:ind w:firstLine="0"/>
        <w:jc w:val="right"/>
      </w:pPr>
      <w:r>
        <w:rPr>
          <w:rFonts w:ascii="Traditional Arabic" w:hAnsi="Traditional Arabic" w:cs="Traditional Arabic"/>
          <w:b w:val="1"/>
          <w:bCs w:val="1"/>
          <w:i w:val="0"/>
          <w:iCs w:val="0"/>
          <w:sz w:val="32"/>
          <w:szCs w:val="32"/>
          <w:rtl w:val="1"/>
        </w:rPr>
        <w:t>5. بنية الوظيفة</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تأتي الوظيفة في خمسة مباحث متتابعة تقابل الأسئلة الخمسة: يبدأ المبحث الأول بتحرير المفهوم لغوياً واصطلاحياً وأركانه، ويليه المبحث الثاني في الخصائص، ثم المبحث الثالث في النظريات. وينتقل المبحث الرابع إلى الخلفية الثقافية والنفسية والاجتماعية، ويختم المبحث الخامس بالعلاقة بين الرأي العام والسياسة الاقتصادية وأدوات القياس والتوصيات. وتختم الوظيفة بخاتمة عامة، وكلمة أخيرة لكل باحث، ثم المسارد والملاحق.</w:t>
      </w:r>
    </w:p>
    <w:p>
      <w:pPr>
        <w:pStyle w:val="Heading1"/>
        <w:keepNext/>
        <w:pageBreakBefore/>
        <w:bidi/>
        <w:spacing w:line="312" w:lineRule="auto" w:before="0" w:after="160"/>
        <w:ind w:firstLine="0"/>
        <w:jc w:val="right"/>
      </w:pPr>
      <w:r>
        <w:rPr>
          <w:rFonts w:ascii="Traditional Arabic" w:hAnsi="Traditional Arabic" w:cs="Traditional Arabic"/>
          <w:b w:val="1"/>
          <w:bCs w:val="1"/>
          <w:i w:val="0"/>
          <w:iCs w:val="0"/>
          <w:sz w:val="36"/>
          <w:szCs w:val="36"/>
          <w:rtl w:val="1"/>
        </w:rPr>
        <w:t>المبحث الأول: تعريف الرأي العام</w:t>
      </w:r>
    </w:p>
    <w:p>
      <w:pPr>
        <w:bidi/>
        <w:spacing w:line="276" w:lineRule="auto" w:before="0" w:after="200"/>
        <w:ind w:firstLine="0"/>
        <w:jc w:val="right"/>
      </w:pPr>
      <w:r>
        <w:rPr>
          <w:rFonts w:ascii="Traditional Arabic" w:hAnsi="Traditional Arabic" w:cs="Traditional Arabic"/>
          <w:b w:val="1"/>
          <w:bCs w:val="1"/>
          <w:sz w:val="24"/>
          <w:szCs w:val="24"/>
          <w:rtl w:val="1"/>
        </w:rPr>
        <w:t>بقلم: جان شادي عبود (الرقم الجامعي: jan_436439)</w:t>
      </w:r>
    </w:p>
    <w:p>
      <w:pPr>
        <w:pStyle w:val="Heading2"/>
        <w:keepNext/>
        <w:bidi/>
        <w:spacing w:line="312" w:lineRule="auto" w:before="200" w:after="120"/>
        <w:ind w:firstLine="0"/>
        <w:jc w:val="right"/>
      </w:pPr>
      <w:r>
        <w:rPr>
          <w:rFonts w:ascii="Traditional Arabic" w:hAnsi="Traditional Arabic" w:cs="Traditional Arabic"/>
          <w:b w:val="1"/>
          <w:bCs w:val="1"/>
          <w:i w:val="0"/>
          <w:iCs w:val="0"/>
          <w:sz w:val="32"/>
          <w:szCs w:val="32"/>
          <w:rtl w:val="1"/>
        </w:rPr>
        <w:t>1.1 لماذا يعد التعريف مشكلة قبل أن يكون إجابة؟</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يبدو سؤال «ما الرأي العام؟» سؤالاً بسيطاً، لكنه في الحقيقة من أكثر أسئلة علم الاجتماع إشكالاً، لأن التعريف هنا ليس مسألة لغوية بل قرار منهجي. فمن يعرف الرأي العام بأنه «مجموع آراء الأفراد» سيقيسه بالجمع الحسابي وسيقبل بنتائج الاستطلاعات كما هي؛ ومن يعرفه بأنه «نتاج تفاعل في فضاء عام» سيضطر إلى دراسة شروط النقاش والرقابة والسلطة قبل أن يقيس أي شيء. وقد لاحظ الشمري أن تعدد التعريفات ليس عيباً في المفهوم، بل انعكاس لاختلاف زوايا النظر إليه: نفسية، واجتماعية، واتصالية، وسياسية</w:t>
      </w:r>
      <w:r>
        <w:rPr>
          <w:rStyle w:val="FootnoteReference"/>
          <w:rFonts w:ascii="Traditional Arabic" w:hAnsi="Traditional Arabic" w:cs="Traditional Arabic"/>
          <w:sz w:val="28"/>
          <w:szCs w:val="28"/>
          <w:rtl w:val="1"/>
        </w:rPr>
        <w:footnoteReference w:id="4"/>
      </w:r>
      <w:r>
        <w:rPr>
          <w:rFonts w:ascii="Traditional Arabic" w:hAnsi="Traditional Arabic" w:cs="Traditional Arabic"/>
          <w:b w:val="0"/>
          <w:bCs w:val="0"/>
          <w:i w:val="0"/>
          <w:iCs w:val="0"/>
          <w:sz w:val="28"/>
          <w:szCs w:val="28"/>
          <w:rtl w:val="1"/>
        </w:rPr>
        <w:t>.</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ولذلك سنفصل في هذا المبحث بين ثلاثة مستويات: المعنى اللغوي، ثم التعريفات الاصطلاحية في ثلاثة اتجاهات (كلاسيكي، ومعاصر، وإجرائي)، ثم الأركان التي لا يقوم الرأي العام من دونها، وأخيراً التمييز بينه وبين المفاهيم التي تخلط به في اللغة اليومية.</w:t>
      </w:r>
    </w:p>
    <w:p>
      <w:pPr>
        <w:pStyle w:val="Heading2"/>
        <w:keepNext/>
        <w:bidi/>
        <w:spacing w:line="312" w:lineRule="auto" w:before="200" w:after="120"/>
        <w:ind w:firstLine="0"/>
        <w:jc w:val="right"/>
      </w:pPr>
      <w:r>
        <w:rPr>
          <w:rFonts w:ascii="Traditional Arabic" w:hAnsi="Traditional Arabic" w:cs="Traditional Arabic"/>
          <w:b w:val="1"/>
          <w:bCs w:val="1"/>
          <w:i w:val="0"/>
          <w:iCs w:val="0"/>
          <w:sz w:val="32"/>
          <w:szCs w:val="32"/>
          <w:rtl w:val="1"/>
        </w:rPr>
        <w:t>1.2 المعنى اللغوي</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في العربية، «الرأي» مصدر رأى، وأصله الاعتقاد الذي يتبناه الإنسان بعد نظر وموازنة، لا مجرد الإحساس العابر. ومنه «الرأي العام» بمعنى الاعتقاد الذي يشيع بين جماعة من الناس في أمر يخصهم. ويشير «العام» إلى الانتشار والشمول، في مقابل «الخاص» الذي ينحصر في فرد أو دائرة ضيقة. ومن هنا كان التعريف اللغوي مركباً من عنصرين: عنصر ذهني هو الاعتقاد، وعنصر اجتماعي هو الشيوع بين الناس</w:t>
      </w:r>
      <w:r>
        <w:rPr>
          <w:rStyle w:val="FootnoteReference"/>
          <w:rFonts w:ascii="Traditional Arabic" w:hAnsi="Traditional Arabic" w:cs="Traditional Arabic"/>
          <w:sz w:val="28"/>
          <w:szCs w:val="28"/>
          <w:rtl w:val="1"/>
        </w:rPr>
        <w:footnoteReference w:id="5"/>
      </w:r>
      <w:r>
        <w:rPr>
          <w:rFonts w:ascii="Traditional Arabic" w:hAnsi="Traditional Arabic" w:cs="Traditional Arabic"/>
          <w:b w:val="0"/>
          <w:bCs w:val="0"/>
          <w:i w:val="0"/>
          <w:iCs w:val="0"/>
          <w:sz w:val="28"/>
          <w:szCs w:val="28"/>
          <w:rtl w:val="1"/>
        </w:rPr>
        <w:t>.</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ويلاحظ أن المعنى اللغوي لا يحسم مسألة «من الناس؟» ولا مسألة «كيف يعبر عن الاعتقاد؟». وهاتان المسألتان هما بالضبط ما تختلف فيه التعريفات الاصطلاحية، ولذلك لا يصح الاكتفاء بالمعجم في موضوع علمي.</w:t>
      </w:r>
    </w:p>
    <w:p>
      <w:pPr>
        <w:pStyle w:val="Heading2"/>
        <w:keepNext/>
        <w:bidi/>
        <w:spacing w:line="312" w:lineRule="auto" w:before="200" w:after="120"/>
        <w:ind w:firstLine="0"/>
        <w:jc w:val="right"/>
      </w:pPr>
      <w:r>
        <w:rPr>
          <w:rFonts w:ascii="Traditional Arabic" w:hAnsi="Traditional Arabic" w:cs="Traditional Arabic"/>
          <w:b w:val="1"/>
          <w:bCs w:val="1"/>
          <w:i w:val="0"/>
          <w:iCs w:val="0"/>
          <w:sz w:val="32"/>
          <w:szCs w:val="32"/>
          <w:rtl w:val="1"/>
        </w:rPr>
        <w:t>1.3 التعريفات الاصطلاحية: ثلاثة اتجاهات</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 الاتجاه الكلاسيكي: الرأي العام صورة ذهنية جماعية</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يعد والتر ليبمان من أوائل من نقلوا المفهوم من دائرة الفلسفة السياسية إلى دائرة التحليل الاجتماعي. فقد رأى أن الناس لا يتعاملون مع العالم مباشرة، بل مع «صور في رؤوسهم» تتكون عن العالم الخارجي، وأن هذه الصور هي مادة الرأي العام الأولى (ليبمان، 1922: 3)</w:t>
      </w:r>
      <w:r>
        <w:rPr>
          <w:rStyle w:val="FootnoteReference"/>
          <w:rFonts w:ascii="Traditional Arabic" w:hAnsi="Traditional Arabic" w:cs="Traditional Arabic"/>
          <w:sz w:val="28"/>
          <w:szCs w:val="28"/>
          <w:rtl w:val="1"/>
        </w:rPr>
        <w:footnoteReference w:id="6"/>
      </w:r>
      <w:r>
        <w:rPr>
          <w:rFonts w:ascii="Traditional Arabic" w:hAnsi="Traditional Arabic" w:cs="Traditional Arabic"/>
          <w:b w:val="0"/>
          <w:bCs w:val="0"/>
          <w:i w:val="0"/>
          <w:iCs w:val="0"/>
          <w:sz w:val="28"/>
          <w:szCs w:val="28"/>
          <w:rtl w:val="1"/>
        </w:rPr>
        <w:t>. وقد استخدم ليبمان مفهوم «الصورة النمطية» ليبين أن الإدراك ليس تسجيلاً أميناً للواقع، بل اختزال وتصنيف يسبق الحكم. أما غوستاف لوبون فقد نظر إلى الجمهور من زاوية انفعالية، فرأى أن الفرد داخل الجمهور يفقد جزءاً من ضبطه العقلي وتسيطر عليه العدوى والانفعال (لوبون، 1895: الفصل الأول)</w:t>
      </w:r>
      <w:r>
        <w:rPr>
          <w:rStyle w:val="FootnoteReference"/>
          <w:rFonts w:ascii="Traditional Arabic" w:hAnsi="Traditional Arabic" w:cs="Traditional Arabic"/>
          <w:sz w:val="28"/>
          <w:szCs w:val="28"/>
          <w:rtl w:val="1"/>
        </w:rPr>
        <w:footnoteReference w:id="7"/>
      </w:r>
      <w:r>
        <w:rPr>
          <w:rFonts w:ascii="Traditional Arabic" w:hAnsi="Traditional Arabic" w:cs="Traditional Arabic"/>
          <w:b w:val="0"/>
          <w:bCs w:val="0"/>
          <w:i w:val="0"/>
          <w:iCs w:val="0"/>
          <w:sz w:val="28"/>
          <w:szCs w:val="28"/>
          <w:rtl w:val="1"/>
        </w:rPr>
        <w:t>.</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ويقف جون ستيوارت ميل في موقع مختلف داخل الاتجاه الكلاسيكي نفسه، إذ دافع عن قيمة الرأي العام في الرقابة على السلطة، وحذر في الوقت نفسه من «طغيان الأغلبية» على الأقلية. فالاتجاه الكلاسيكي، على تنوعه، يشترك في أن الرأي العام قوة اجتماعية حقيقية، لكنه لا يفترض بالضرورة أن تكون هذه القوة عقلانية أو صحيحة.</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 الاتجاه المعاصر: الرأي العام بناء اتصالي في فضاء عام</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جاء التحول الأكبر مع هابرماس، الذي قدم فكرة «المجال العام» بوصفه فضاء اجتماعياً يتشكل فيه الرأي عبر نقاش عقلاني معلن بين المواطنين، ويفترض وجود جمهور ووسائل اتصال وحق في التعبير (هابرماس، 1962: الفصل الثاني)</w:t>
      </w:r>
      <w:r>
        <w:rPr>
          <w:rStyle w:val="FootnoteReference"/>
          <w:rFonts w:ascii="Traditional Arabic" w:hAnsi="Traditional Arabic" w:cs="Traditional Arabic"/>
          <w:sz w:val="28"/>
          <w:szCs w:val="28"/>
          <w:rtl w:val="1"/>
        </w:rPr>
        <w:footnoteReference w:id="8"/>
      </w:r>
      <w:r>
        <w:rPr>
          <w:rFonts w:ascii="Traditional Arabic" w:hAnsi="Traditional Arabic" w:cs="Traditional Arabic"/>
          <w:b w:val="0"/>
          <w:bCs w:val="0"/>
          <w:i w:val="0"/>
          <w:iCs w:val="0"/>
          <w:sz w:val="28"/>
          <w:szCs w:val="28"/>
          <w:rtl w:val="1"/>
        </w:rPr>
        <w:t>. في هذا التصور لم يعد الرأي العام مجموع آراء، بل نتاج عملية اتصالية لها شروط: علنية الموضوع، وحرية التعبير، وقابلية النقد.</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وسارت إليزابيث نويل-نيومان في اتجاه مواز لكنه أكثر تشككاً، إذ عرفت الرأي العام بأنه ذلك «الجلد الاجتماعي» الذي يحمي الجماعة ويضبط أفرادها عبر الخوف من العزلة، فالقوة هنا لا تأتي من صحة الرأي بل من كونه مسموعاً ومقبولاً (نويل-نيومان، 1974: 43)</w:t>
      </w:r>
      <w:r>
        <w:rPr>
          <w:rStyle w:val="FootnoteReference"/>
          <w:rFonts w:ascii="Traditional Arabic" w:hAnsi="Traditional Arabic" w:cs="Traditional Arabic"/>
          <w:sz w:val="28"/>
          <w:szCs w:val="28"/>
          <w:rtl w:val="1"/>
        </w:rPr>
        <w:footnoteReference w:id="9"/>
      </w:r>
      <w:r>
        <w:rPr>
          <w:rFonts w:ascii="Traditional Arabic" w:hAnsi="Traditional Arabic" w:cs="Traditional Arabic"/>
          <w:b w:val="0"/>
          <w:bCs w:val="0"/>
          <w:i w:val="0"/>
          <w:iCs w:val="0"/>
          <w:sz w:val="28"/>
          <w:szCs w:val="28"/>
          <w:rtl w:val="1"/>
        </w:rPr>
        <w:t>. وبهذا المعنى يصبح الرأي العام آلية ضبط اجتماعي قبل أن يكون أداة قرار.</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وفي الكتابة العربية المعاصرة، يميل التعريف إلى التوفيق بين البعدين: فيعرف الرأي العام بأنه «اتجاهات ومواقف جماعة من الناس تجاه قضية عامة، تعبر عنها علناً، وتتميز بقوة ضاغطة» (عبد الحليم، 2009: 62)</w:t>
      </w:r>
      <w:r>
        <w:rPr>
          <w:rStyle w:val="FootnoteReference"/>
          <w:rFonts w:ascii="Traditional Arabic" w:hAnsi="Traditional Arabic" w:cs="Traditional Arabic"/>
          <w:sz w:val="28"/>
          <w:szCs w:val="28"/>
          <w:rtl w:val="1"/>
        </w:rPr>
        <w:footnoteReference w:id="10"/>
      </w:r>
      <w:r>
        <w:rPr>
          <w:rFonts w:ascii="Traditional Arabic" w:hAnsi="Traditional Arabic" w:cs="Traditional Arabic"/>
          <w:b w:val="0"/>
          <w:bCs w:val="0"/>
          <w:i w:val="0"/>
          <w:iCs w:val="0"/>
          <w:sz w:val="28"/>
          <w:szCs w:val="28"/>
          <w:rtl w:val="1"/>
        </w:rPr>
        <w:t>. ويلاحظ أن هذا التعريف يجمع ثلاثة عناصر: الجماعة، والقضية العامة، والقوة الضاغطة، وهو ما يقترب من اشتراطات الدرس السوري في المادة نفسها، حيث يشترط لقيام الرأي العام أن يكون الموضوع عاماً وأن يكون التعبير عنه ظاهراً</w:t>
      </w:r>
      <w:r>
        <w:rPr>
          <w:rStyle w:val="FootnoteReference"/>
          <w:rFonts w:ascii="Traditional Arabic" w:hAnsi="Traditional Arabic" w:cs="Traditional Arabic"/>
          <w:sz w:val="28"/>
          <w:szCs w:val="28"/>
          <w:rtl w:val="1"/>
        </w:rPr>
        <w:footnoteReference w:id="11"/>
      </w:r>
      <w:r>
        <w:rPr>
          <w:rFonts w:ascii="Traditional Arabic" w:hAnsi="Traditional Arabic" w:cs="Traditional Arabic"/>
          <w:b w:val="0"/>
          <w:bCs w:val="0"/>
          <w:i w:val="0"/>
          <w:iCs w:val="0"/>
          <w:sz w:val="28"/>
          <w:szCs w:val="28"/>
          <w:rtl w:val="1"/>
        </w:rPr>
        <w:t>.</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 الاتجاه الإجرائي: الرأي العام كما يقاس</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الاتجاه الثالث لا يسأل عن ماهية الرأي العام بقدر ما يسأل: كيف نعرف أنه موجود؟ وهنا يعرف الرأي العام بأنه التوزيع القابل للقياس لاتجاهات جمهور محدد، في زمان ومكان محددين، تجاه موضوع محدد، مقاساً بأداة معلنة. هذا التعريف لا ينكر الطبيعة الاجتماعية للمفهوم، لكنه يفرض عليه شرط القابلية للتحويل إلى مؤشرات: نسبة مؤيدين، ونسبة معارضين، ونسبة غير المهتمين، وشدة الاتجاه، ودرجة الاستعداد للتعبير.</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وهذا الشرط الإجرائي هو ما يجعل الدراسات الكمية ممكنة، لكنه يحمل مخاطرة أن يتحول الرأي العام إلى رقم يفقد سياقه. ولهذا نرى أن التعريف الإجرائي أداة لا بديل عن التعريف النظري، لا العكس.</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ويلخص الجدول (2) الآتي وجوه الاتفاق والاختلاف بين هذه الاتجاهات الثلاثة، ويبين ما لكل اتجاه من نقطة قوة وما عليه من مأخذ:</w:t>
      </w:r>
    </w:p>
    <w:p>
      <w:pPr>
        <w:keepNext/>
        <w:bidi/>
        <w:spacing w:line="276" w:lineRule="auto" w:before="120" w:after="80"/>
        <w:ind w:firstLine="0"/>
        <w:jc w:val="center"/>
      </w:pPr>
      <w:bookmarkStart w:id="102" w:name="_Tbl2"/>
      <w:r>
        <w:rPr>
          <w:rFonts w:ascii="Traditional Arabic" w:hAnsi="Traditional Arabic" w:cs="Traditional Arabic"/>
          <w:b w:val="1"/>
          <w:bCs w:val="1"/>
          <w:i w:val="0"/>
          <w:iCs w:val="0"/>
          <w:sz w:val="24"/>
          <w:szCs w:val="24"/>
          <w:rtl w:val="1"/>
        </w:rPr>
        <w:t>الجدول (2): مقارنة بين الاتجاهات الثلاثة في تعريف الرأي العام</w:t>
      </w:r>
      <w:bookmarkEnd w:id="102"/>
    </w:p>
    <w:tbl>
      <w:tblPr>
        <w:tblStyle w:val="TableGrid"/>
        <w:bidiVisual/>
        <w:tblW w:type="auto" w:w="0"/>
        <w:jc w:val="center"/>
        <w:tblLook w:firstColumn="1" w:firstRow="1" w:lastColumn="0" w:lastRow="0" w:noHBand="0" w:noVBand="1" w:val="04A0"/>
      </w:tblPr>
      <w:tblGrid>
        <w:gridCol w:w="2268"/>
        <w:gridCol w:w="2268"/>
        <w:gridCol w:w="2268"/>
        <w:gridCol w:w="2268"/>
      </w:tblGrid>
      <w:tr>
        <w:trPr>
          <w:cantSplit/>
          <w:tblHeader/>
        </w:trPr>
        <w:tc>
          <w:tcPr>
            <w:tcW w:type="dxa" w:w="1701"/>
            <w:shd w:val="clear" w:fill="E8E8E8"/>
          </w:tcPr>
          <w:p>
            <w:pPr>
              <w:bidi/>
              <w:spacing w:line="276" w:lineRule="auto" w:before="40" w:after="40"/>
              <w:ind w:firstLine="0"/>
              <w:jc w:val="center"/>
            </w:pPr>
            <w:r/>
            <w:r>
              <w:rPr>
                <w:rFonts w:ascii="Traditional Arabic" w:hAnsi="Traditional Arabic" w:cs="Traditional Arabic"/>
                <w:b w:val="1"/>
                <w:bCs w:val="1"/>
                <w:i w:val="0"/>
                <w:iCs w:val="0"/>
                <w:sz w:val="21"/>
                <w:szCs w:val="21"/>
                <w:rtl w:val="1"/>
              </w:rPr>
              <w:t>الاتجاه</w:t>
            </w:r>
          </w:p>
        </w:tc>
        <w:tc>
          <w:tcPr>
            <w:tcW w:type="dxa" w:w="3061"/>
            <w:shd w:val="clear" w:fill="E8E8E8"/>
          </w:tcPr>
          <w:p>
            <w:pPr>
              <w:bidi/>
              <w:spacing w:line="276" w:lineRule="auto" w:before="40" w:after="40"/>
              <w:ind w:firstLine="0"/>
              <w:jc w:val="center"/>
            </w:pPr>
            <w:r/>
            <w:r>
              <w:rPr>
                <w:rFonts w:ascii="Traditional Arabic" w:hAnsi="Traditional Arabic" w:cs="Traditional Arabic"/>
                <w:b w:val="1"/>
                <w:bCs w:val="1"/>
                <w:i w:val="0"/>
                <w:iCs w:val="0"/>
                <w:sz w:val="21"/>
                <w:szCs w:val="21"/>
                <w:rtl w:val="1"/>
              </w:rPr>
              <w:t>مضمون التعريف</w:t>
            </w:r>
          </w:p>
        </w:tc>
        <w:tc>
          <w:tcPr>
            <w:tcW w:type="dxa" w:w="2154"/>
            <w:shd w:val="clear" w:fill="E8E8E8"/>
          </w:tcPr>
          <w:p>
            <w:pPr>
              <w:bidi/>
              <w:spacing w:line="276" w:lineRule="auto" w:before="40" w:after="40"/>
              <w:ind w:firstLine="0"/>
              <w:jc w:val="center"/>
            </w:pPr>
            <w:r/>
            <w:r>
              <w:rPr>
                <w:rFonts w:ascii="Traditional Arabic" w:hAnsi="Traditional Arabic" w:cs="Traditional Arabic"/>
                <w:b w:val="1"/>
                <w:bCs w:val="1"/>
                <w:i w:val="0"/>
                <w:iCs w:val="0"/>
                <w:sz w:val="21"/>
                <w:szCs w:val="21"/>
                <w:rtl w:val="1"/>
              </w:rPr>
              <w:t>نقطة القوة</w:t>
            </w:r>
          </w:p>
        </w:tc>
        <w:tc>
          <w:tcPr>
            <w:tcW w:type="dxa" w:w="2154"/>
            <w:shd w:val="clear" w:fill="E8E8E8"/>
          </w:tcPr>
          <w:p>
            <w:pPr>
              <w:bidi/>
              <w:spacing w:line="276" w:lineRule="auto" w:before="40" w:after="40"/>
              <w:ind w:firstLine="0"/>
              <w:jc w:val="center"/>
            </w:pPr>
            <w:r/>
            <w:r>
              <w:rPr>
                <w:rFonts w:ascii="Traditional Arabic" w:hAnsi="Traditional Arabic" w:cs="Traditional Arabic"/>
                <w:b w:val="1"/>
                <w:bCs w:val="1"/>
                <w:i w:val="0"/>
                <w:iCs w:val="0"/>
                <w:sz w:val="21"/>
                <w:szCs w:val="21"/>
                <w:rtl w:val="1"/>
              </w:rPr>
              <w:t>المأخذ</w:t>
            </w:r>
          </w:p>
        </w:tc>
      </w:tr>
      <w:tr>
        <w:trPr>
          <w:cantSplit/>
        </w:trPr>
        <w:tc>
          <w:tcPr>
            <w:tcW w:type="dxa" w:w="1701"/>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كلاسيكي (ليبمان، لوبون، ميل)</w:t>
            </w:r>
          </w:p>
        </w:tc>
        <w:tc>
          <w:tcPr>
            <w:tcW w:type="dxa" w:w="3061"/>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الرأي العام صور ذهنية جماعية وقوة اجتماعية تنشأ من الإدراك المختزل ومن انفعال الجمهور</w:t>
            </w:r>
          </w:p>
        </w:tc>
        <w:tc>
          <w:tcPr>
            <w:tcW w:type="dxa" w:w="2154"/>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يفسر الفجوة بين تعقيد الواقع وتبسيط الصورة، ويفسر قوة الانفعال الجماعي</w:t>
            </w:r>
          </w:p>
        </w:tc>
        <w:tc>
          <w:tcPr>
            <w:tcW w:type="dxa" w:w="2154"/>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يفتقر إلى الثقة في قدرة الجمهور، ويقلل من شأن النقاش المنظم</w:t>
            </w:r>
          </w:p>
        </w:tc>
      </w:tr>
      <w:tr>
        <w:trPr>
          <w:cantSplit/>
        </w:trPr>
        <w:tc>
          <w:tcPr>
            <w:tcW w:type="dxa" w:w="1701"/>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معاصر (هابرماس، نويل-نيومان، عبد الحليم)</w:t>
            </w:r>
          </w:p>
        </w:tc>
        <w:tc>
          <w:tcPr>
            <w:tcW w:type="dxa" w:w="3061"/>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الرأي العام بناء اتصالي يتشكل في فضاء عام، ويعمل آلية ضبط اجتماعي، ويعبر عنه علناً</w:t>
            </w:r>
          </w:p>
        </w:tc>
        <w:tc>
          <w:tcPr>
            <w:tcW w:type="dxa" w:w="2154"/>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يجمع البعد الاتصالي والبعد الاجتماعي، ويدخل شروط النقاش والعلنية</w:t>
            </w:r>
          </w:p>
        </w:tc>
        <w:tc>
          <w:tcPr>
            <w:tcW w:type="dxa" w:w="2154"/>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يصعب تحويله إلى مؤشرات قياس مباشرة، ويغلب عليه الطابع المعياري</w:t>
            </w:r>
          </w:p>
        </w:tc>
      </w:tr>
      <w:tr>
        <w:trPr>
          <w:cantSplit/>
        </w:trPr>
        <w:tc>
          <w:tcPr>
            <w:tcW w:type="dxa" w:w="1701"/>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إجرائي (اتجاه القياس)</w:t>
            </w:r>
          </w:p>
        </w:tc>
        <w:tc>
          <w:tcPr>
            <w:tcW w:type="dxa" w:w="3061"/>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التوزيع القابل للقياس لاتجاهات جمهور معرف تجاه موضوع محدد في زمان ومكان</w:t>
            </w:r>
          </w:p>
        </w:tc>
        <w:tc>
          <w:tcPr>
            <w:tcW w:type="dxa" w:w="2154"/>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قابل للتطبيق والتحقق والتكرار في البحث الميداني</w:t>
            </w:r>
          </w:p>
        </w:tc>
        <w:tc>
          <w:tcPr>
            <w:tcW w:type="dxa" w:w="2154"/>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يخاطر باختزال الظاهرة في رقم، ويغفل السياق إن أسيء استخدامه</w:t>
            </w:r>
          </w:p>
        </w:tc>
      </w:tr>
    </w:tbl>
    <w:p>
      <w:pPr>
        <w:bidi/>
        <w:spacing w:line="240" w:lineRule="auto" w:before="0" w:after="0"/>
        <w:jc w:val="both"/>
      </w:pPr>
    </w:p>
    <w:p>
      <w:pPr>
        <w:pStyle w:val="Heading2"/>
        <w:keepNext/>
        <w:bidi/>
        <w:spacing w:line="312" w:lineRule="auto" w:before="200" w:after="120"/>
        <w:ind w:firstLine="0"/>
        <w:jc w:val="right"/>
      </w:pPr>
      <w:r>
        <w:rPr>
          <w:rFonts w:ascii="Traditional Arabic" w:hAnsi="Traditional Arabic" w:cs="Traditional Arabic"/>
          <w:b w:val="1"/>
          <w:bCs w:val="1"/>
          <w:i w:val="0"/>
          <w:iCs w:val="0"/>
          <w:sz w:val="32"/>
          <w:szCs w:val="32"/>
          <w:rtl w:val="1"/>
        </w:rPr>
        <w:t>1.4 أركان الرأي العام الستة</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لا يقوم الرأي العام من دون اجتماع ستة أركان، وإغفال أحدها يفسد النتيجة:</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 xml:space="preserve">أولاً، </w:t>
      </w:r>
      <w:r>
        <w:rPr>
          <w:rFonts w:ascii="Traditional Arabic" w:hAnsi="Traditional Arabic" w:cs="Traditional Arabic"/>
          <w:b w:val="1"/>
          <w:bCs w:val="1"/>
          <w:i w:val="0"/>
          <w:iCs w:val="0"/>
          <w:sz w:val="28"/>
          <w:szCs w:val="28"/>
          <w:rtl w:val="1"/>
        </w:rPr>
        <w:t>الجمهور</w:t>
      </w:r>
      <w:r>
        <w:rPr>
          <w:rFonts w:ascii="Traditional Arabic" w:hAnsi="Traditional Arabic" w:cs="Traditional Arabic"/>
          <w:b w:val="0"/>
          <w:bCs w:val="0"/>
          <w:i w:val="0"/>
          <w:iCs w:val="0"/>
          <w:sz w:val="28"/>
          <w:szCs w:val="28"/>
          <w:rtl w:val="1"/>
        </w:rPr>
        <w:t>: وهو ليس «الناس» بإطلاق، بل جماعة لها حد أدنى من الاهتمام المشترك بالموضوع، وقد تكون جمهوراً عاماً واسعاً أو جمهوراً نوعياً محدوداً. ومن الخطأ التقني - إن جاز التعبير - أن نسمي مجموع مستخدمي منصة ما «جمهوراً» لمجرد أنهم يستخدمونها؛ فالجمهور يشترط الاهتمام لا الاتصال فقط.</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 xml:space="preserve">ثانياً، </w:t>
      </w:r>
      <w:r>
        <w:rPr>
          <w:rFonts w:ascii="Traditional Arabic" w:hAnsi="Traditional Arabic" w:cs="Traditional Arabic"/>
          <w:b w:val="1"/>
          <w:bCs w:val="1"/>
          <w:i w:val="0"/>
          <w:iCs w:val="0"/>
          <w:sz w:val="28"/>
          <w:szCs w:val="28"/>
          <w:rtl w:val="1"/>
        </w:rPr>
        <w:t>القضية العامة</w:t>
      </w:r>
      <w:r>
        <w:rPr>
          <w:rFonts w:ascii="Traditional Arabic" w:hAnsi="Traditional Arabic" w:cs="Traditional Arabic"/>
          <w:b w:val="0"/>
          <w:bCs w:val="0"/>
          <w:i w:val="0"/>
          <w:iCs w:val="0"/>
          <w:sz w:val="28"/>
          <w:szCs w:val="28"/>
          <w:rtl w:val="1"/>
        </w:rPr>
        <w:t>: وهي الموضوع الذي يمس مصالح عدد معتبر من الناس، ويخرج عن دائرة الشأن الخاص. فحادثة فردية قد تصبح قضية عامة إذا تحولت إلى رمز لمشكلة جماعية، كما يحدث حين يتحول خطأ في خدمة مصرفية إلى نقاش عام حول كلفة المعيشة.</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 xml:space="preserve">ثالثاً، </w:t>
      </w:r>
      <w:r>
        <w:rPr>
          <w:rFonts w:ascii="Traditional Arabic" w:hAnsi="Traditional Arabic" w:cs="Traditional Arabic"/>
          <w:b w:val="1"/>
          <w:bCs w:val="1"/>
          <w:i w:val="0"/>
          <w:iCs w:val="0"/>
          <w:sz w:val="28"/>
          <w:szCs w:val="28"/>
          <w:rtl w:val="1"/>
        </w:rPr>
        <w:t>التعبير</w:t>
      </w:r>
      <w:r>
        <w:rPr>
          <w:rFonts w:ascii="Traditional Arabic" w:hAnsi="Traditional Arabic" w:cs="Traditional Arabic"/>
          <w:b w:val="0"/>
          <w:bCs w:val="0"/>
          <w:i w:val="0"/>
          <w:iCs w:val="0"/>
          <w:sz w:val="28"/>
          <w:szCs w:val="28"/>
          <w:rtl w:val="1"/>
        </w:rPr>
        <w:t>: فما لا يعبر عنه لا يدخل دائرة الرأي العام، حتى لو كان مضمراً في الأذهان. والتعبير قد يكون لفظياً أو سلوكياً: تصويتاً، أو مقاطعة، أو توقيعاً، أو منشوراً، أو صمتاً دالاً في سياق معين.</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 xml:space="preserve">رابعاً، </w:t>
      </w:r>
      <w:r>
        <w:rPr>
          <w:rFonts w:ascii="Traditional Arabic" w:hAnsi="Traditional Arabic" w:cs="Traditional Arabic"/>
          <w:b w:val="1"/>
          <w:bCs w:val="1"/>
          <w:i w:val="0"/>
          <w:iCs w:val="0"/>
          <w:sz w:val="28"/>
          <w:szCs w:val="28"/>
          <w:rtl w:val="1"/>
        </w:rPr>
        <w:t>الزمان والمكان</w:t>
      </w:r>
      <w:r>
        <w:rPr>
          <w:rFonts w:ascii="Traditional Arabic" w:hAnsi="Traditional Arabic" w:cs="Traditional Arabic"/>
          <w:b w:val="0"/>
          <w:bCs w:val="0"/>
          <w:i w:val="0"/>
          <w:iCs w:val="0"/>
          <w:sz w:val="28"/>
          <w:szCs w:val="28"/>
          <w:rtl w:val="1"/>
        </w:rPr>
        <w:t>: فالرأي العام ظاهرة مؤقتة ومتمركزة؛ يتغير بتغير الحدث، ويختلف من مجتمع إلى آخر ومن مدينة إلى أخرى. ومن هنا كانت الدراسات التي تتجاهل التوقيت الزمني للقياس عرضة لقراءة خاطئة.</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 xml:space="preserve">خامساً، </w:t>
      </w:r>
      <w:r>
        <w:rPr>
          <w:rFonts w:ascii="Traditional Arabic" w:hAnsi="Traditional Arabic" w:cs="Traditional Arabic"/>
          <w:b w:val="1"/>
          <w:bCs w:val="1"/>
          <w:i w:val="0"/>
          <w:iCs w:val="0"/>
          <w:sz w:val="28"/>
          <w:szCs w:val="28"/>
          <w:rtl w:val="1"/>
        </w:rPr>
        <w:t>القوة أو الأغلبية</w:t>
      </w:r>
      <w:r>
        <w:rPr>
          <w:rFonts w:ascii="Traditional Arabic" w:hAnsi="Traditional Arabic" w:cs="Traditional Arabic"/>
          <w:b w:val="0"/>
          <w:bCs w:val="0"/>
          <w:i w:val="0"/>
          <w:iCs w:val="0"/>
          <w:sz w:val="28"/>
          <w:szCs w:val="28"/>
          <w:rtl w:val="1"/>
        </w:rPr>
        <w:t>: ويقصد بها أن يكون للرأي وزن يضغط على متخذ القرار. والقوة هنا ليست مرادفة للعدد دائماً؛ فجماعة صغيرة منظمة قد تكون أقوى أثراً من أغلبية صامتة.</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 xml:space="preserve">سادساً، </w:t>
      </w:r>
      <w:r>
        <w:rPr>
          <w:rFonts w:ascii="Traditional Arabic" w:hAnsi="Traditional Arabic" w:cs="Traditional Arabic"/>
          <w:b w:val="1"/>
          <w:bCs w:val="1"/>
          <w:i w:val="0"/>
          <w:iCs w:val="0"/>
          <w:sz w:val="28"/>
          <w:szCs w:val="28"/>
          <w:rtl w:val="1"/>
        </w:rPr>
        <w:t>القابلية للقياس</w:t>
      </w:r>
      <w:r>
        <w:rPr>
          <w:rFonts w:ascii="Traditional Arabic" w:hAnsi="Traditional Arabic" w:cs="Traditional Arabic"/>
          <w:b w:val="0"/>
          <w:bCs w:val="0"/>
          <w:i w:val="0"/>
          <w:iCs w:val="0"/>
          <w:sz w:val="28"/>
          <w:szCs w:val="28"/>
          <w:rtl w:val="1"/>
        </w:rPr>
        <w:t>: وهو الركن الذي يميز الدراسة العلمية عن التأمل الأدبي؛ فلا بد من أداة تحدد من نسأل، وعن ماذا، وكيف نسجل الإجابة.</w:t>
      </w:r>
    </w:p>
    <w:p>
      <w:pPr>
        <w:pStyle w:val="Heading2"/>
        <w:keepNext/>
        <w:bidi/>
        <w:spacing w:line="312" w:lineRule="auto" w:before="200" w:after="120"/>
        <w:ind w:firstLine="0"/>
        <w:jc w:val="right"/>
      </w:pPr>
      <w:r>
        <w:rPr>
          <w:rFonts w:ascii="Traditional Arabic" w:hAnsi="Traditional Arabic" w:cs="Traditional Arabic"/>
          <w:b w:val="1"/>
          <w:bCs w:val="1"/>
          <w:i w:val="0"/>
          <w:iCs w:val="0"/>
          <w:sz w:val="32"/>
          <w:szCs w:val="32"/>
          <w:rtl w:val="1"/>
        </w:rPr>
        <w:t>1.5 التمييز بين الرأي العام والمفاهيم المجاورة</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يقع كثير من الخلط في الدراسات الأولية بسبب عدم التمييز بين الرأي العام ومفاهيم قريبة منه. ويوضح الجدول (3) الآتي الفروق الجوهرية بين هذه المفاهيم:</w:t>
      </w:r>
    </w:p>
    <w:p>
      <w:pPr>
        <w:keepNext/>
        <w:bidi/>
        <w:spacing w:line="276" w:lineRule="auto" w:before="120" w:after="80"/>
        <w:ind w:firstLine="0"/>
        <w:jc w:val="center"/>
      </w:pPr>
      <w:bookmarkStart w:id="103" w:name="_Tbl3"/>
      <w:r>
        <w:rPr>
          <w:rFonts w:ascii="Traditional Arabic" w:hAnsi="Traditional Arabic" w:cs="Traditional Arabic"/>
          <w:b w:val="1"/>
          <w:bCs w:val="1"/>
          <w:i w:val="0"/>
          <w:iCs w:val="0"/>
          <w:sz w:val="24"/>
          <w:szCs w:val="24"/>
          <w:rtl w:val="1"/>
        </w:rPr>
        <w:t>الجدول (3): التمييز بين الرأي العام والمفاهيم المجاورة</w:t>
      </w:r>
      <w:bookmarkEnd w:id="103"/>
    </w:p>
    <w:tbl>
      <w:tblPr>
        <w:tblStyle w:val="TableGrid"/>
        <w:bidiVisual/>
        <w:tblW w:type="auto" w:w="0"/>
        <w:jc w:val="center"/>
        <w:tblLook w:firstColumn="1" w:firstRow="1" w:lastColumn="0" w:lastRow="0" w:noHBand="0" w:noVBand="1" w:val="04A0"/>
      </w:tblPr>
      <w:tblGrid>
        <w:gridCol w:w="3024"/>
        <w:gridCol w:w="3024"/>
        <w:gridCol w:w="3024"/>
      </w:tblGrid>
      <w:tr>
        <w:trPr>
          <w:cantSplit/>
          <w:tblHeader/>
        </w:trPr>
        <w:tc>
          <w:tcPr>
            <w:tcW w:type="dxa" w:w="1814"/>
            <w:shd w:val="clear" w:fill="E8E8E8"/>
          </w:tcPr>
          <w:p>
            <w:pPr>
              <w:bidi/>
              <w:spacing w:line="276" w:lineRule="auto" w:before="40" w:after="40"/>
              <w:ind w:firstLine="0"/>
              <w:jc w:val="center"/>
            </w:pPr>
            <w:r/>
            <w:r>
              <w:rPr>
                <w:rFonts w:ascii="Traditional Arabic" w:hAnsi="Traditional Arabic" w:cs="Traditional Arabic"/>
                <w:b w:val="1"/>
                <w:bCs w:val="1"/>
                <w:i w:val="0"/>
                <w:iCs w:val="0"/>
                <w:sz w:val="21"/>
                <w:szCs w:val="21"/>
                <w:rtl w:val="1"/>
              </w:rPr>
              <w:t>المفهوم</w:t>
            </w:r>
          </w:p>
        </w:tc>
        <w:tc>
          <w:tcPr>
            <w:tcW w:type="dxa" w:w="3515"/>
            <w:shd w:val="clear" w:fill="E8E8E8"/>
          </w:tcPr>
          <w:p>
            <w:pPr>
              <w:bidi/>
              <w:spacing w:line="276" w:lineRule="auto" w:before="40" w:after="40"/>
              <w:ind w:firstLine="0"/>
              <w:jc w:val="center"/>
            </w:pPr>
            <w:r/>
            <w:r>
              <w:rPr>
                <w:rFonts w:ascii="Traditional Arabic" w:hAnsi="Traditional Arabic" w:cs="Traditional Arabic"/>
                <w:b w:val="1"/>
                <w:bCs w:val="1"/>
                <w:i w:val="0"/>
                <w:iCs w:val="0"/>
                <w:sz w:val="21"/>
                <w:szCs w:val="21"/>
                <w:rtl w:val="1"/>
              </w:rPr>
              <w:t>تعريفه الموجز</w:t>
            </w:r>
          </w:p>
        </w:tc>
        <w:tc>
          <w:tcPr>
            <w:tcW w:type="dxa" w:w="3742"/>
            <w:shd w:val="clear" w:fill="E8E8E8"/>
          </w:tcPr>
          <w:p>
            <w:pPr>
              <w:bidi/>
              <w:spacing w:line="276" w:lineRule="auto" w:before="40" w:after="40"/>
              <w:ind w:firstLine="0"/>
              <w:jc w:val="center"/>
            </w:pPr>
            <w:r/>
            <w:r>
              <w:rPr>
                <w:rFonts w:ascii="Traditional Arabic" w:hAnsi="Traditional Arabic" w:cs="Traditional Arabic"/>
                <w:b w:val="1"/>
                <w:bCs w:val="1"/>
                <w:i w:val="0"/>
                <w:iCs w:val="0"/>
                <w:sz w:val="21"/>
                <w:szCs w:val="21"/>
                <w:rtl w:val="1"/>
              </w:rPr>
              <w:t>الفرق عن الرأي العام</w:t>
            </w:r>
          </w:p>
        </w:tc>
      </w:tr>
      <w:tr>
        <w:trPr>
          <w:cantSplit/>
        </w:trPr>
        <w:tc>
          <w:tcPr>
            <w:tcW w:type="dxa" w:w="1814"/>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الرأي الفردي</w:t>
            </w:r>
          </w:p>
        </w:tc>
        <w:tc>
          <w:tcPr>
            <w:tcW w:type="dxa" w:w="3515"/>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اعتقاد يتبناه فرد واحد تجاه موضوع ما</w:t>
            </w:r>
          </w:p>
        </w:tc>
        <w:tc>
          <w:tcPr>
            <w:tcW w:type="dxa" w:w="3742"/>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لا يشترط العمومية ولا الظهور؛ ولا يحتسب رأياً عاماً إلا إذا انتشر وتفاعل</w:t>
            </w:r>
          </w:p>
        </w:tc>
      </w:tr>
      <w:tr>
        <w:trPr>
          <w:cantSplit/>
        </w:trPr>
        <w:tc>
          <w:tcPr>
            <w:tcW w:type="dxa" w:w="1814"/>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رأي الأغلبية</w:t>
            </w:r>
          </w:p>
        </w:tc>
        <w:tc>
          <w:tcPr>
            <w:tcW w:type="dxa" w:w="3515"/>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الموقف الذي يتبناه أكثر من نصف جمهور محدد حسابياً</w:t>
            </w:r>
          </w:p>
        </w:tc>
        <w:tc>
          <w:tcPr>
            <w:tcW w:type="dxa" w:w="3742"/>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قد تكون هناك أغلبية صامتة لا رأي عام لها، وقد يوجد رأي عام فاعل تقوده أقلية منظمة</w:t>
            </w:r>
          </w:p>
        </w:tc>
      </w:tr>
      <w:tr>
        <w:trPr>
          <w:cantSplit/>
        </w:trPr>
        <w:tc>
          <w:tcPr>
            <w:tcW w:type="dxa" w:w="1814"/>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المزاج العام</w:t>
            </w:r>
          </w:p>
        </w:tc>
        <w:tc>
          <w:tcPr>
            <w:tcW w:type="dxa" w:w="3515"/>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حالة شعورية سائدة (تفاؤل، سخط) غير محددة الموضوع</w:t>
            </w:r>
          </w:p>
        </w:tc>
        <w:tc>
          <w:tcPr>
            <w:tcW w:type="dxa" w:w="3742"/>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المزاج بلا قضية؛ والرأي العام مرتبط بقضية محددة وباتجاه قابل للقياس</w:t>
            </w:r>
          </w:p>
        </w:tc>
      </w:tr>
      <w:tr>
        <w:trPr>
          <w:cantSplit/>
        </w:trPr>
        <w:tc>
          <w:tcPr>
            <w:tcW w:type="dxa" w:w="1814"/>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الدعاية</w:t>
            </w:r>
          </w:p>
        </w:tc>
        <w:tc>
          <w:tcPr>
            <w:tcW w:type="dxa" w:w="3515"/>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رسائل منظمة تهدف إلى توجيه الجمهور نحو موقف معين</w:t>
            </w:r>
          </w:p>
        </w:tc>
        <w:tc>
          <w:tcPr>
            <w:tcW w:type="dxa" w:w="3742"/>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الدعاية محاولة تشكيل، والرأي العام نتيجة قابلة للفحص؛ ولا يصح الخلط بين الأداة والناتج</w:t>
            </w:r>
          </w:p>
        </w:tc>
      </w:tr>
      <w:tr>
        <w:trPr>
          <w:cantSplit/>
        </w:trPr>
        <w:tc>
          <w:tcPr>
            <w:tcW w:type="dxa" w:w="1814"/>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الاتجاه</w:t>
            </w:r>
          </w:p>
        </w:tc>
        <w:tc>
          <w:tcPr>
            <w:tcW w:type="dxa" w:w="3515"/>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استعداد مكتسب للاستجابة بطريقة ثابتة نسبياً تجاه موضوع</w:t>
            </w:r>
          </w:p>
        </w:tc>
        <w:tc>
          <w:tcPr>
            <w:tcW w:type="dxa" w:w="3742"/>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الاتجاه أعمق وأبطأ تغيراً من الرأي؛ والرأي تعبير ظرفي عنه في لحظة معينة</w:t>
            </w:r>
          </w:p>
        </w:tc>
      </w:tr>
      <w:tr>
        <w:trPr>
          <w:cantSplit/>
        </w:trPr>
        <w:tc>
          <w:tcPr>
            <w:tcW w:type="dxa" w:w="1814"/>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الإجماع</w:t>
            </w:r>
          </w:p>
        </w:tc>
        <w:tc>
          <w:tcPr>
            <w:tcW w:type="dxa" w:w="3515"/>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اتفاق شبه كامل داخل جماعة على موقف</w:t>
            </w:r>
          </w:p>
        </w:tc>
        <w:tc>
          <w:tcPr>
            <w:tcW w:type="dxa" w:w="3742"/>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الإجماع حالة قصوى نادرة؛ والرأي العام يقبل التعدد والاختلاف والتفاوت في الشدة</w:t>
            </w:r>
          </w:p>
        </w:tc>
      </w:tr>
    </w:tbl>
    <w:p>
      <w:pPr>
        <w:bidi/>
        <w:spacing w:line="240" w:lineRule="auto" w:before="0" w:after="0"/>
        <w:jc w:val="both"/>
      </w:pPr>
    </w:p>
    <w:p>
      <w:pPr>
        <w:bidi/>
        <w:spacing w:line="360" w:lineRule="auto" w:before="0" w:after="120"/>
        <w:ind w:firstLine="567"/>
        <w:jc w:val="both"/>
      </w:pPr>
      <w:r>
        <w:rPr>
          <w:rFonts w:ascii="Traditional Arabic" w:hAnsi="Traditional Arabic" w:cs="Traditional Arabic"/>
          <w:b w:val="0"/>
          <w:bCs w:val="0"/>
          <w:i w:val="0"/>
          <w:iCs w:val="0"/>
          <w:sz w:val="28"/>
          <w:szCs w:val="28"/>
          <w:rtl w:val="1"/>
        </w:rPr>
        <w:t xml:space="preserve">والخلاصة أن الرأي العام ليس مجرد رأي كثير، بل رأي كثير </w:t>
      </w:r>
      <w:r>
        <w:rPr>
          <w:rFonts w:ascii="Traditional Arabic" w:hAnsi="Traditional Arabic" w:cs="Traditional Arabic"/>
          <w:b w:val="1"/>
          <w:bCs w:val="1"/>
          <w:i w:val="0"/>
          <w:iCs w:val="0"/>
          <w:sz w:val="28"/>
          <w:szCs w:val="28"/>
          <w:rtl w:val="1"/>
        </w:rPr>
        <w:t>ظاهر</w:t>
      </w:r>
      <w:r>
        <w:rPr>
          <w:rFonts w:ascii="Traditional Arabic" w:hAnsi="Traditional Arabic" w:cs="Traditional Arabic"/>
          <w:b w:val="0"/>
          <w:bCs w:val="0"/>
          <w:i w:val="0"/>
          <w:iCs w:val="0"/>
          <w:sz w:val="28"/>
          <w:szCs w:val="28"/>
          <w:rtl w:val="1"/>
        </w:rPr>
        <w:t xml:space="preserve"> في قضية </w:t>
      </w:r>
      <w:r>
        <w:rPr>
          <w:rFonts w:ascii="Traditional Arabic" w:hAnsi="Traditional Arabic" w:cs="Traditional Arabic"/>
          <w:b w:val="1"/>
          <w:bCs w:val="1"/>
          <w:i w:val="0"/>
          <w:iCs w:val="0"/>
          <w:sz w:val="28"/>
          <w:szCs w:val="28"/>
          <w:rtl w:val="1"/>
        </w:rPr>
        <w:t>عامة</w:t>
      </w:r>
      <w:r>
        <w:rPr>
          <w:rFonts w:ascii="Traditional Arabic" w:hAnsi="Traditional Arabic" w:cs="Traditional Arabic"/>
          <w:b w:val="0"/>
          <w:bCs w:val="0"/>
          <w:i w:val="0"/>
          <w:iCs w:val="0"/>
          <w:sz w:val="28"/>
          <w:szCs w:val="28"/>
          <w:rtl w:val="1"/>
        </w:rPr>
        <w:t xml:space="preserve">، في سياق </w:t>
      </w:r>
      <w:r>
        <w:rPr>
          <w:rFonts w:ascii="Traditional Arabic" w:hAnsi="Traditional Arabic" w:cs="Traditional Arabic"/>
          <w:b w:val="1"/>
          <w:bCs w:val="1"/>
          <w:i w:val="0"/>
          <w:iCs w:val="0"/>
          <w:sz w:val="28"/>
          <w:szCs w:val="28"/>
          <w:rtl w:val="1"/>
        </w:rPr>
        <w:t>زمني ومكاني</w:t>
      </w:r>
      <w:r>
        <w:rPr>
          <w:rFonts w:ascii="Traditional Arabic" w:hAnsi="Traditional Arabic" w:cs="Traditional Arabic"/>
          <w:b w:val="0"/>
          <w:bCs w:val="0"/>
          <w:i w:val="0"/>
          <w:iCs w:val="0"/>
          <w:sz w:val="28"/>
          <w:szCs w:val="28"/>
          <w:rtl w:val="1"/>
        </w:rPr>
        <w:t xml:space="preserve">، وله </w:t>
      </w:r>
      <w:r>
        <w:rPr>
          <w:rFonts w:ascii="Traditional Arabic" w:hAnsi="Traditional Arabic" w:cs="Traditional Arabic"/>
          <w:b w:val="1"/>
          <w:bCs w:val="1"/>
          <w:i w:val="0"/>
          <w:iCs w:val="0"/>
          <w:sz w:val="28"/>
          <w:szCs w:val="28"/>
          <w:rtl w:val="1"/>
        </w:rPr>
        <w:t>وزن</w:t>
      </w:r>
      <w:r>
        <w:rPr>
          <w:rFonts w:ascii="Traditional Arabic" w:hAnsi="Traditional Arabic" w:cs="Traditional Arabic"/>
          <w:b w:val="0"/>
          <w:bCs w:val="0"/>
          <w:i w:val="0"/>
          <w:iCs w:val="0"/>
          <w:sz w:val="28"/>
          <w:szCs w:val="28"/>
          <w:rtl w:val="1"/>
        </w:rPr>
        <w:t xml:space="preserve"> قابل للقياس بشروط. وأنبه هنا إلى خطأ منهجي شائع في الأوساط التقنية: اعتبار «التفاعل» دليلاً على الرأي. فمن يعمل في إدارة الشبكات والمنصات يعرف أن التفاعل قد يكون آلياً أو مدفوعاً أو ناتجاً عن خوارزمية توصية، وليس عن اقتناع. ومن ثم فإن أي قراءة للرأي العام الرقمي لا بد أن تخصم الضجيج قبل أن تحسب الاتجاه.</w:t>
      </w:r>
    </w:p>
    <w:p>
      <w:pPr>
        <w:pStyle w:val="Heading2"/>
        <w:keepNext/>
        <w:bidi/>
        <w:spacing w:line="312" w:lineRule="auto" w:before="200" w:after="120"/>
        <w:ind w:firstLine="0"/>
        <w:jc w:val="right"/>
      </w:pPr>
      <w:r>
        <w:rPr>
          <w:rFonts w:ascii="Traditional Arabic" w:hAnsi="Traditional Arabic" w:cs="Traditional Arabic"/>
          <w:b w:val="1"/>
          <w:bCs w:val="1"/>
          <w:i w:val="0"/>
          <w:iCs w:val="0"/>
          <w:sz w:val="32"/>
          <w:szCs w:val="32"/>
          <w:rtl w:val="1"/>
        </w:rPr>
        <w:t>1.6 التعريف الإجرائي الذي تتبناه الوظيفة</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 xml:space="preserve">بناء على ما تقدم، نتبنى في هذه الوظيفة التعريف الإجرائي الآتي: </w:t>
      </w:r>
      <w:r>
        <w:rPr>
          <w:rFonts w:ascii="Traditional Arabic" w:hAnsi="Traditional Arabic" w:cs="Traditional Arabic"/>
          <w:b w:val="1"/>
          <w:bCs w:val="1"/>
          <w:i w:val="0"/>
          <w:iCs w:val="0"/>
          <w:sz w:val="28"/>
          <w:szCs w:val="28"/>
          <w:rtl w:val="1"/>
        </w:rPr>
        <w:t>الرأي العام هو التوزيع الملحوظ لاتجاهات جمهور معرف اجتماعياً، في لحظة زمنية وفي نطاق مكاني محددين، تجاه قضية عامة، بما يتضمنه هذا التوزيع من تعبير ظاهر ووزن ضاغط قابل للقياس</w:t>
      </w:r>
      <w:r>
        <w:rPr>
          <w:rFonts w:ascii="Traditional Arabic" w:hAnsi="Traditional Arabic" w:cs="Traditional Arabic"/>
          <w:b w:val="0"/>
          <w:bCs w:val="0"/>
          <w:i w:val="0"/>
          <w:iCs w:val="0"/>
          <w:sz w:val="28"/>
          <w:szCs w:val="28"/>
          <w:rtl w:val="1"/>
        </w:rPr>
        <w:t>.</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وقد اخترنا هذا التعريف لأربعة أسباب: أنه يجمع بين البعد الاجتماعي (الجمهور والقضية) والبعد الاتصالي (التعبير) والبعد القياسي (التوزيع)، وأنه لا يفترض سلفاً أن الأغلبية على حق، وأنه يسمح باحتساب الأقليات المنظمة ذات الأثر، وأنه قابل للتطبيق في البيئات الرقمية بشرط تصفية الضجيج. وبهذا التعريف تصبح دراسة الرأي العام دراسة لثلاثة أشياء في وقت واحد: ما يعرفه الناس، وما يقولونه، وما يفعلونه. والفجوة بين هذه الثلاثة هي الميدان الحقيقي لعلم الاجتماع.</w:t>
      </w:r>
    </w:p>
    <w:p>
      <w:pPr>
        <w:pStyle w:val="Heading1"/>
        <w:keepNext/>
        <w:pageBreakBefore/>
        <w:bidi/>
        <w:spacing w:line="312" w:lineRule="auto" w:before="0" w:after="160"/>
        <w:ind w:firstLine="0"/>
        <w:jc w:val="right"/>
      </w:pPr>
      <w:r>
        <w:rPr>
          <w:rFonts w:ascii="Traditional Arabic" w:hAnsi="Traditional Arabic" w:cs="Traditional Arabic"/>
          <w:b w:val="1"/>
          <w:bCs w:val="1"/>
          <w:i w:val="0"/>
          <w:iCs w:val="0"/>
          <w:sz w:val="36"/>
          <w:szCs w:val="36"/>
          <w:rtl w:val="1"/>
        </w:rPr>
        <w:t>المبحث الثاني: خصائص الرأي العام</w:t>
      </w:r>
    </w:p>
    <w:p>
      <w:pPr>
        <w:bidi/>
        <w:spacing w:line="276" w:lineRule="auto" w:before="0" w:after="200"/>
        <w:ind w:firstLine="0"/>
        <w:jc w:val="right"/>
      </w:pPr>
      <w:r>
        <w:rPr>
          <w:rFonts w:ascii="Traditional Arabic" w:hAnsi="Traditional Arabic" w:cs="Traditional Arabic"/>
          <w:b w:val="1"/>
          <w:bCs w:val="1"/>
          <w:sz w:val="24"/>
          <w:szCs w:val="24"/>
          <w:rtl w:val="1"/>
        </w:rPr>
        <w:t>بقلم: جان شادي عبود (الرقم الجامعي: jan_436439)</w:t>
      </w:r>
    </w:p>
    <w:p>
      <w:pPr>
        <w:pStyle w:val="Heading2"/>
        <w:keepNext/>
        <w:bidi/>
        <w:spacing w:line="312" w:lineRule="auto" w:before="200" w:after="120"/>
        <w:ind w:firstLine="0"/>
        <w:jc w:val="right"/>
      </w:pPr>
      <w:r>
        <w:rPr>
          <w:rFonts w:ascii="Traditional Arabic" w:hAnsi="Traditional Arabic" w:cs="Traditional Arabic"/>
          <w:b w:val="1"/>
          <w:bCs w:val="1"/>
          <w:i w:val="0"/>
          <w:iCs w:val="0"/>
          <w:sz w:val="32"/>
          <w:szCs w:val="32"/>
          <w:rtl w:val="1"/>
        </w:rPr>
        <w:t>2.1 تمهيد: الخصائص ليست صفات تحفظ بل مؤشرات تقاس</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 xml:space="preserve">كثيراً ما تقدم خصائص الرأي العام في الكتابات التمهيدية على هيئة قائمة تحفظ عن ظهر قلب: العمومية، والديناميكية، والنسبية… ثم ينتقل إلى موضوع آخر. وهذه الطريقة تفقد الخصائص وظيفتها العلمية، لأن الخاصية الحقيقية ليست وصفاً بل </w:t>
      </w:r>
      <w:r>
        <w:rPr>
          <w:rFonts w:ascii="Traditional Arabic" w:hAnsi="Traditional Arabic" w:cs="Traditional Arabic"/>
          <w:b w:val="1"/>
          <w:bCs w:val="1"/>
          <w:i w:val="0"/>
          <w:iCs w:val="0"/>
          <w:sz w:val="28"/>
          <w:szCs w:val="28"/>
          <w:rtl w:val="1"/>
        </w:rPr>
        <w:t>مؤشراً على ما ينبغي أن نبحث عنه في الميدان</w:t>
      </w:r>
      <w:r>
        <w:rPr>
          <w:rFonts w:ascii="Traditional Arabic" w:hAnsi="Traditional Arabic" w:cs="Traditional Arabic"/>
          <w:b w:val="0"/>
          <w:bCs w:val="0"/>
          <w:i w:val="0"/>
          <w:iCs w:val="0"/>
          <w:sz w:val="28"/>
          <w:szCs w:val="28"/>
          <w:rtl w:val="1"/>
        </w:rPr>
        <w:t>. فالقول بأن الرأي العام «ديناميكي» لا يفيد الباحث شيئاً إن لم يترجم إلى سؤال: ما معدل تغير الاتجاه خلال فترة زمنية معينة؟ ولذلك عرضنا في هذا المبحث اثنتي عشرة خاصية، ثم جمعناها في جدول يربط كل خاصية بمؤشر عملي لقياسها.</w:t>
      </w:r>
    </w:p>
    <w:p>
      <w:pPr>
        <w:pStyle w:val="Heading2"/>
        <w:keepNext/>
        <w:bidi/>
        <w:spacing w:line="312" w:lineRule="auto" w:before="200" w:after="120"/>
        <w:ind w:firstLine="0"/>
        <w:jc w:val="right"/>
      </w:pPr>
      <w:r>
        <w:rPr>
          <w:rFonts w:ascii="Traditional Arabic" w:hAnsi="Traditional Arabic" w:cs="Traditional Arabic"/>
          <w:b w:val="1"/>
          <w:bCs w:val="1"/>
          <w:i w:val="0"/>
          <w:iCs w:val="0"/>
          <w:sz w:val="32"/>
          <w:szCs w:val="32"/>
          <w:rtl w:val="1"/>
        </w:rPr>
        <w:t>2.2 الخصائص المشروحة</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أولاً: العمومية.</w:t>
      </w:r>
      <w:r>
        <w:rPr>
          <w:rFonts w:ascii="Traditional Arabic" w:hAnsi="Traditional Arabic" w:cs="Traditional Arabic"/>
          <w:b w:val="0"/>
          <w:bCs w:val="0"/>
          <w:i w:val="0"/>
          <w:iCs w:val="0"/>
          <w:sz w:val="28"/>
          <w:szCs w:val="28"/>
          <w:rtl w:val="1"/>
        </w:rPr>
        <w:t xml:space="preserve"> المقصود بالعمومية أن يتجاوز الموضوع حدود الفرد ليمس جماعة، وأن يخرج من دائرة السر إلى دائرة العلن. فالرأي العام لا يبنى حول ما يخص شخصاً واحداً، بل حول ما يمكن أن يشاركه فيه غيره. ومثال ذلك أن شكوى مواطن من تأخر معاملة إدارية تبقى رأياً فردياً، فإذا تحولت إلى نقاش واسع حول جودة الخدمة العامة صارت موضوعاً لرأي عام. والمؤشر العملي للعمومية هو نسبة من يعتبرون الموضوع «مهماً لهم» ضمن الجمهور المستهدف.</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ثانياً: الجدلية.</w:t>
      </w:r>
      <w:r>
        <w:rPr>
          <w:rFonts w:ascii="Traditional Arabic" w:hAnsi="Traditional Arabic" w:cs="Traditional Arabic"/>
          <w:b w:val="0"/>
          <w:bCs w:val="0"/>
          <w:i w:val="0"/>
          <w:iCs w:val="0"/>
          <w:sz w:val="28"/>
          <w:szCs w:val="28"/>
          <w:rtl w:val="1"/>
        </w:rPr>
        <w:t xml:space="preserve"> الرأي العام نتاج تفاعل لا مجموع إجابات؛ فهو يتكون حين تتصادم الآراء وتوازن الحجج، ولا يتكون حين تصطف الآراء في صفوف منفصلة بلا احتكاك. وقد بين هابرماس أن النقاش العلني شرط لتشكل رأي عام بمعناه الدقيق، لا مجرد تجميع لأصوات منفردة (هابرماس، 1962: الفصل الثاني)</w:t>
      </w:r>
      <w:r>
        <w:rPr>
          <w:rStyle w:val="FootnoteReference"/>
          <w:rFonts w:ascii="Traditional Arabic" w:hAnsi="Traditional Arabic" w:cs="Traditional Arabic"/>
          <w:sz w:val="28"/>
          <w:szCs w:val="28"/>
          <w:rtl w:val="1"/>
        </w:rPr>
        <w:footnoteReference w:id="12"/>
      </w:r>
      <w:r>
        <w:rPr>
          <w:rFonts w:ascii="Traditional Arabic" w:hAnsi="Traditional Arabic" w:cs="Traditional Arabic"/>
          <w:b w:val="0"/>
          <w:bCs w:val="0"/>
          <w:i w:val="0"/>
          <w:iCs w:val="0"/>
          <w:sz w:val="28"/>
          <w:szCs w:val="28"/>
          <w:rtl w:val="1"/>
        </w:rPr>
        <w:t>. ومن هنا كان الفضاء الرقمي سيفاً ذا حدين: فهو يوسع الاحتكاك، لكنه قد يحوله إلى صراع مغلق داخل جماعات متشابهة الرأي.</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ثالثاً: الديناميكية والتغير.</w:t>
      </w:r>
      <w:r>
        <w:rPr>
          <w:rFonts w:ascii="Traditional Arabic" w:hAnsi="Traditional Arabic" w:cs="Traditional Arabic"/>
          <w:b w:val="0"/>
          <w:bCs w:val="0"/>
          <w:i w:val="0"/>
          <w:iCs w:val="0"/>
          <w:sz w:val="28"/>
          <w:szCs w:val="28"/>
          <w:rtl w:val="1"/>
        </w:rPr>
        <w:t xml:space="preserve"> الرأي العام لا يثبت على حال؛ يتقدم ويتقهقر ويتحول بتغير الوقائع. وقد لاحظت في مجموعتي الكشفية أن موقف الأفراد من قرار تنظيم رحلة تغير ثلاث مرات خلال أسبوع واحد: مرة بعد ارتفاع كلفة النقل، ومرة بعد تبرع أحد الأهالي بوسيلة نقل، ومرة بعد انتشار خبر عن سوء الأحوال الجوية. هذا التغير السريع ليس دليلاً على سطحية الناس بالضرورة، بل دليل على أن الاتجاه مرتبط بالمعلومة المتاحة لحظة التعبير.</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رابعاً: النسبية.</w:t>
      </w:r>
      <w:r>
        <w:rPr>
          <w:rFonts w:ascii="Traditional Arabic" w:hAnsi="Traditional Arabic" w:cs="Traditional Arabic"/>
          <w:b w:val="0"/>
          <w:bCs w:val="0"/>
          <w:i w:val="0"/>
          <w:iCs w:val="0"/>
          <w:sz w:val="28"/>
          <w:szCs w:val="28"/>
          <w:rtl w:val="1"/>
        </w:rPr>
        <w:t xml:space="preserve"> الرأي العام نسبي بثلاث نسب: نسبي إلى الجمهور الذي ندرسه (فما هو رأي عام في قرية قد لا يكون إلا رأي فئة في مدينة)، ونسبي إلى الموضوع (فقد يكون الرأي شديد الوضوح في قضية وضعاً، وضعيفاً في أخرى)، ونسبي إلى الزمن. ومن الأخطاء المنهجية الشائعة مقارنة استطلاعين أجريا في ظرفين مختلفين من دون ضبط هذا الاختلاف.</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خامساً: القابلية للقياس.</w:t>
      </w:r>
      <w:r>
        <w:rPr>
          <w:rFonts w:ascii="Traditional Arabic" w:hAnsi="Traditional Arabic" w:cs="Traditional Arabic"/>
          <w:b w:val="0"/>
          <w:bCs w:val="0"/>
          <w:i w:val="0"/>
          <w:iCs w:val="0"/>
          <w:sz w:val="28"/>
          <w:szCs w:val="28"/>
          <w:rtl w:val="1"/>
        </w:rPr>
        <w:t xml:space="preserve"> هذه الخاصية هي ما يجعل الرأي العام موضوعاً لعلم لا لتأمل. لكن قياسه لا يعني اختزاله؛ فالاستطلاع يقيس التوزيع الظاهر للاتجاهات، لا عمقها ولا سياقها. وقد أشار عبد الحليم إلى أن للرأي العام أنواعاً تختلف في درجة العقلانية والعاطفية، وهي أنواع تحتاج أدوات قياس مختلفة (عبد الحليم، 2009: 65–69)</w:t>
      </w:r>
      <w:r>
        <w:rPr>
          <w:rStyle w:val="FootnoteReference"/>
          <w:rFonts w:ascii="Traditional Arabic" w:hAnsi="Traditional Arabic" w:cs="Traditional Arabic"/>
          <w:sz w:val="28"/>
          <w:szCs w:val="28"/>
          <w:rtl w:val="1"/>
        </w:rPr>
        <w:footnoteReference w:id="13"/>
      </w:r>
      <w:r>
        <w:rPr>
          <w:rFonts w:ascii="Traditional Arabic" w:hAnsi="Traditional Arabic" w:cs="Traditional Arabic"/>
          <w:b w:val="0"/>
          <w:bCs w:val="0"/>
          <w:i w:val="0"/>
          <w:iCs w:val="0"/>
          <w:sz w:val="28"/>
          <w:szCs w:val="28"/>
          <w:rtl w:val="1"/>
        </w:rPr>
        <w:t>.</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سادساً: الارتباط بالمصلحة العامة.</w:t>
      </w:r>
      <w:r>
        <w:rPr>
          <w:rFonts w:ascii="Traditional Arabic" w:hAnsi="Traditional Arabic" w:cs="Traditional Arabic"/>
          <w:b w:val="0"/>
          <w:bCs w:val="0"/>
          <w:i w:val="0"/>
          <w:iCs w:val="0"/>
          <w:sz w:val="28"/>
          <w:szCs w:val="28"/>
          <w:rtl w:val="1"/>
        </w:rPr>
        <w:t xml:space="preserve"> لا يتحرك الرأي العام إلا حيث توجد مصلحة يلمسها الناس. ويفسر هذا لماذا تكون القضايا المعيشية (الأجور، الأسعار، الخدمات) أسرع في تحريك الرأي من القضايا المجردة. ومن خلال عملي الحر في البرمجيات والشبكات تبين لي أن المستخدمين يتبنون مواقف حادة تجاه تغيير واجهة تطبيق يستخدمونه يومياً، بينما يبقون غير مبالين بتغييرات تقنية أعمق لا يلمسون أثرها. المصلحة الملموسة تنتج رأياً، والمصلحة المجردة تنتج لا مبالاة.</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سابعاً: التفاوت في الشدة.</w:t>
      </w:r>
      <w:r>
        <w:rPr>
          <w:rFonts w:ascii="Traditional Arabic" w:hAnsi="Traditional Arabic" w:cs="Traditional Arabic"/>
          <w:b w:val="0"/>
          <w:bCs w:val="0"/>
          <w:i w:val="0"/>
          <w:iCs w:val="0"/>
          <w:sz w:val="28"/>
          <w:szCs w:val="28"/>
          <w:rtl w:val="1"/>
        </w:rPr>
        <w:t xml:space="preserve"> ليس كل رأي عام متساوي القوة؛ فالاتجاه قد يكون شديداً عند قلة، وضعيفاً عند كثرة، وهو ما يقاس عادة بسلم شدة مستقل عن سؤال الاتجاه نفسه. وقد بين الشمري أن قوة الرأي العام لا تقاس بعدد أصحابه وحده، بل بدرجة تنظيمه واستمراره (الشمري، 2019)</w:t>
      </w:r>
      <w:r>
        <w:rPr>
          <w:rStyle w:val="FootnoteReference"/>
          <w:rFonts w:ascii="Traditional Arabic" w:hAnsi="Traditional Arabic" w:cs="Traditional Arabic"/>
          <w:sz w:val="28"/>
          <w:szCs w:val="28"/>
          <w:rtl w:val="1"/>
        </w:rPr>
        <w:footnoteReference w:id="14"/>
      </w:r>
      <w:r>
        <w:rPr>
          <w:rFonts w:ascii="Traditional Arabic" w:hAnsi="Traditional Arabic" w:cs="Traditional Arabic"/>
          <w:b w:val="0"/>
          <w:bCs w:val="0"/>
          <w:i w:val="0"/>
          <w:iCs w:val="0"/>
          <w:sz w:val="28"/>
          <w:szCs w:val="28"/>
          <w:rtl w:val="1"/>
        </w:rPr>
        <w:t>.</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ثامناً: التأثر بوسائل الإعلام والخوارزميات.</w:t>
      </w:r>
      <w:r>
        <w:rPr>
          <w:rFonts w:ascii="Traditional Arabic" w:hAnsi="Traditional Arabic" w:cs="Traditional Arabic"/>
          <w:b w:val="0"/>
          <w:bCs w:val="0"/>
          <w:i w:val="0"/>
          <w:iCs w:val="0"/>
          <w:sz w:val="28"/>
          <w:szCs w:val="28"/>
          <w:rtl w:val="1"/>
        </w:rPr>
        <w:t xml:space="preserve"> هذه خاصية قديمة في جوهرها، جديدة في آلياتها. فوسائل الإعلام لا تخبرنا بما نفكر به فقط، بل بما ينبغي أن نفكر فيه، وهو ما أسماه ماكومبس وشو وظيفة ترتيب الأولويات (ماكومبس وشو، 1972: 176)</w:t>
      </w:r>
      <w:r>
        <w:rPr>
          <w:rStyle w:val="FootnoteReference"/>
          <w:rFonts w:ascii="Traditional Arabic" w:hAnsi="Traditional Arabic" w:cs="Traditional Arabic"/>
          <w:sz w:val="28"/>
          <w:szCs w:val="28"/>
          <w:rtl w:val="1"/>
        </w:rPr>
        <w:footnoteReference w:id="15"/>
      </w:r>
      <w:r>
        <w:rPr>
          <w:rFonts w:ascii="Traditional Arabic" w:hAnsi="Traditional Arabic" w:cs="Traditional Arabic"/>
          <w:b w:val="0"/>
          <w:bCs w:val="0"/>
          <w:i w:val="0"/>
          <w:iCs w:val="0"/>
          <w:sz w:val="28"/>
          <w:szCs w:val="28"/>
          <w:rtl w:val="1"/>
        </w:rPr>
        <w:t>. وفي البيئة الرقمية أضيف عامل جديد: الخوارزمية التي تختار ما يعرض لنا، فتصبح الأولويات ليست اختيار محرر بشري فقط، بل نتيجة حساب معدل تفاعل.</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تاسعاً: قابلية التوجيه والتشكيل.</w:t>
      </w:r>
      <w:r>
        <w:rPr>
          <w:rFonts w:ascii="Traditional Arabic" w:hAnsi="Traditional Arabic" w:cs="Traditional Arabic"/>
          <w:b w:val="0"/>
          <w:bCs w:val="0"/>
          <w:i w:val="0"/>
          <w:iCs w:val="0"/>
          <w:sz w:val="28"/>
          <w:szCs w:val="28"/>
          <w:rtl w:val="1"/>
        </w:rPr>
        <w:t xml:space="preserve"> الرأي العام ليس كتلة صلبة أمام التأثير؛ يمكن توجيهه بالدعاية والإقناع والتأطير، وهو ما يجعل دراسته مسألة أخلاقية قبل أن تكون تقنية. وقد أظهرت مراجعة ميتا تحليلية لاثنتين وستين دراسة عربية أن شبكات التواصل الاجتماعي باتت بيئة رئيسة لتشكيل الوعي السياسي والرأي العام في المنطقة العربية، وأن قسما من هذه الدراسات رصد أثراً استقطابياً واضحاً لهذه الشبكات (حمدي وآخرون، 2024)</w:t>
      </w:r>
      <w:r>
        <w:rPr>
          <w:rStyle w:val="FootnoteReference"/>
          <w:rFonts w:ascii="Traditional Arabic" w:hAnsi="Traditional Arabic" w:cs="Traditional Arabic"/>
          <w:sz w:val="28"/>
          <w:szCs w:val="28"/>
          <w:rtl w:val="1"/>
        </w:rPr>
        <w:footnoteReference w:id="16"/>
      </w:r>
      <w:r>
        <w:rPr>
          <w:rFonts w:ascii="Traditional Arabic" w:hAnsi="Traditional Arabic" w:cs="Traditional Arabic"/>
          <w:b w:val="0"/>
          <w:bCs w:val="0"/>
          <w:i w:val="0"/>
          <w:iCs w:val="0"/>
          <w:sz w:val="28"/>
          <w:szCs w:val="28"/>
          <w:rtl w:val="1"/>
        </w:rPr>
        <w:t>.</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عاشراً: الارتباط بالزمان والمكان.</w:t>
      </w:r>
      <w:r>
        <w:rPr>
          <w:rFonts w:ascii="Traditional Arabic" w:hAnsi="Traditional Arabic" w:cs="Traditional Arabic"/>
          <w:b w:val="0"/>
          <w:bCs w:val="0"/>
          <w:i w:val="0"/>
          <w:iCs w:val="0"/>
          <w:sz w:val="28"/>
          <w:szCs w:val="28"/>
          <w:rtl w:val="1"/>
        </w:rPr>
        <w:t xml:space="preserve"> لكل رأي عام «تاريخ» و«جغرافيا». وقد يكون الموضوع نفسه محط رأي عام في بلد، ومحط صمت في بلد آخر، بحسب حساسيته وبحسب المسموح به في الفضاء العام. وهذه الخاصية تحمي الباحث من تعميم نتائج دراسة محلية على مجتمع أوسع.</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حادي عشر: التعبيرية.</w:t>
      </w:r>
      <w:r>
        <w:rPr>
          <w:rFonts w:ascii="Traditional Arabic" w:hAnsi="Traditional Arabic" w:cs="Traditional Arabic"/>
          <w:b w:val="0"/>
          <w:bCs w:val="0"/>
          <w:i w:val="0"/>
          <w:iCs w:val="0"/>
          <w:sz w:val="28"/>
          <w:szCs w:val="28"/>
          <w:rtl w:val="1"/>
        </w:rPr>
        <w:t xml:space="preserve"> لا وجود للرأي العام من دون تعبير، ظاهراً كان أو مضمراً. لكن التعبير نفسه خاضع للضغط الاجتماعي، وهو ما فسرته نويل-نيومان بدوامة الصمت: يميل من يظن رأيه أقلية إلى الصمت، فيبدو رأي الأغلبية أكبر مما هو في الواقع (نويل-نيومان، 1974: 43)</w:t>
      </w:r>
      <w:r>
        <w:rPr>
          <w:rStyle w:val="FootnoteReference"/>
          <w:rFonts w:ascii="Traditional Arabic" w:hAnsi="Traditional Arabic" w:cs="Traditional Arabic"/>
          <w:sz w:val="28"/>
          <w:szCs w:val="28"/>
          <w:rtl w:val="1"/>
        </w:rPr>
        <w:footnoteReference w:id="17"/>
      </w:r>
      <w:r>
        <w:rPr>
          <w:rFonts w:ascii="Traditional Arabic" w:hAnsi="Traditional Arabic" w:cs="Traditional Arabic"/>
          <w:b w:val="0"/>
          <w:bCs w:val="0"/>
          <w:i w:val="0"/>
          <w:iCs w:val="0"/>
          <w:sz w:val="28"/>
          <w:szCs w:val="28"/>
          <w:rtl w:val="1"/>
        </w:rPr>
        <w:t>. ومن هنا كان الصمت نفسه معطى يجب على الباحث أن يفسره لا أن يتجاهله.</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ثاني عشر: الشرعية والضغط على القرار.</w:t>
      </w:r>
      <w:r>
        <w:rPr>
          <w:rFonts w:ascii="Traditional Arabic" w:hAnsi="Traditional Arabic" w:cs="Traditional Arabic"/>
          <w:b w:val="0"/>
          <w:bCs w:val="0"/>
          <w:i w:val="0"/>
          <w:iCs w:val="0"/>
          <w:sz w:val="28"/>
          <w:szCs w:val="28"/>
          <w:rtl w:val="1"/>
        </w:rPr>
        <w:t xml:space="preserve"> حين يكتسب الرأي العام صفة العلن والاستمرار، يصبح مرجعاً يستند إليه متخذ القرار أو يخشاه. وقد أشارت دراسات عربية إلى أن استطلاعات الرأي تستخدم مرجعاً تشخيصياً في قرارات عامة كثيرة، وأن إهمالها ينتج قرارات منفصلة عن الواقع (الشمري، 2019)</w:t>
      </w:r>
      <w:r>
        <w:rPr>
          <w:rStyle w:val="FootnoteReference"/>
          <w:rFonts w:ascii="Traditional Arabic" w:hAnsi="Traditional Arabic" w:cs="Traditional Arabic"/>
          <w:sz w:val="28"/>
          <w:szCs w:val="28"/>
          <w:rtl w:val="1"/>
        </w:rPr>
        <w:footnoteReference w:id="18"/>
      </w:r>
      <w:r>
        <w:rPr>
          <w:rFonts w:ascii="Traditional Arabic" w:hAnsi="Traditional Arabic" w:cs="Traditional Arabic"/>
          <w:b w:val="0"/>
          <w:bCs w:val="0"/>
          <w:i w:val="0"/>
          <w:iCs w:val="0"/>
          <w:sz w:val="28"/>
          <w:szCs w:val="28"/>
          <w:rtl w:val="1"/>
        </w:rPr>
        <w:t>.</w:t>
      </w:r>
    </w:p>
    <w:p>
      <w:pPr>
        <w:pStyle w:val="Heading2"/>
        <w:keepNext/>
        <w:bidi/>
        <w:spacing w:line="312" w:lineRule="auto" w:before="200" w:after="120"/>
        <w:ind w:firstLine="0"/>
        <w:jc w:val="right"/>
      </w:pPr>
      <w:r>
        <w:rPr>
          <w:rFonts w:ascii="Traditional Arabic" w:hAnsi="Traditional Arabic" w:cs="Traditional Arabic"/>
          <w:b w:val="1"/>
          <w:bCs w:val="1"/>
          <w:i w:val="0"/>
          <w:iCs w:val="0"/>
          <w:sz w:val="32"/>
          <w:szCs w:val="32"/>
          <w:rtl w:val="1"/>
        </w:rPr>
        <w:t>2.3 الخصائص شبكة لا قائمة</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الملاحظة التركيبية الأهم في هذا المبحث أن هذه الخصائص لا تعمل منفردة، بل تتضافر. فالديناميكية تفسرها القابلية للتوجيه، والقابلية للقياس تحدها النسبية، والتعبيرية تشوهها دوامة الصمت. وعلى سبيل التمثيل: حين تنتشر قضية ما على منصة رقمية، يعمل ترتيب الأولويات على جعلها «مهمة»، ويعمل التأطير على تحديد زاوية فهمها، ويعمل الخوف من العزلة على كتم الآراء المخالفة، فتظهر النتيجة أمام الباحث كأنها إجماع، وهي في الحقيقة حصيلة سلسلة من المرشحات. ومن يفهم هذه السلسلة يستطيع أن يقرأ الرقم قراءة صحيحة، ومن لا يفهمها يقرأ رقمه كما لو كان حقيقة.</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ولهذا السبب كان الجدول (4) الآتي ضرورياً: فهو يحول الخصائص الاثنتي عشرة من صفات نظرية إلى أسئلة بحثية ومؤشرات قياس.</w:t>
      </w:r>
    </w:p>
    <w:p>
      <w:pPr>
        <w:keepNext/>
        <w:bidi/>
        <w:spacing w:line="276" w:lineRule="auto" w:before="120" w:after="80"/>
        <w:ind w:firstLine="0"/>
        <w:jc w:val="center"/>
      </w:pPr>
      <w:bookmarkStart w:id="104" w:name="_Tbl4"/>
      <w:r>
        <w:rPr>
          <w:rFonts w:ascii="Traditional Arabic" w:hAnsi="Traditional Arabic" w:cs="Traditional Arabic"/>
          <w:b w:val="1"/>
          <w:bCs w:val="1"/>
          <w:i w:val="0"/>
          <w:iCs w:val="0"/>
          <w:sz w:val="24"/>
          <w:szCs w:val="24"/>
          <w:rtl w:val="1"/>
        </w:rPr>
        <w:t>الجدول (4): خصائص الرأي العام ومؤشرات قياسها</w:t>
      </w:r>
      <w:bookmarkEnd w:id="104"/>
    </w:p>
    <w:tbl>
      <w:tblPr>
        <w:tblStyle w:val="TableGrid"/>
        <w:bidiVisual/>
        <w:tblW w:type="auto" w:w="0"/>
        <w:jc w:val="center"/>
        <w:tblLook w:firstColumn="1" w:firstRow="1" w:lastColumn="0" w:lastRow="0" w:noHBand="0" w:noVBand="1" w:val="04A0"/>
      </w:tblPr>
      <w:tblGrid>
        <w:gridCol w:w="3024"/>
        <w:gridCol w:w="3024"/>
        <w:gridCol w:w="3024"/>
      </w:tblGrid>
      <w:tr>
        <w:trPr>
          <w:cantSplit/>
          <w:tblHeader/>
        </w:trPr>
        <w:tc>
          <w:tcPr>
            <w:tcW w:type="dxa" w:w="1814"/>
            <w:shd w:val="clear" w:fill="E8E8E8"/>
          </w:tcPr>
          <w:p>
            <w:pPr>
              <w:bidi/>
              <w:spacing w:line="276" w:lineRule="auto" w:before="40" w:after="40"/>
              <w:ind w:firstLine="0"/>
              <w:jc w:val="center"/>
            </w:pPr>
            <w:r/>
            <w:r>
              <w:rPr>
                <w:rFonts w:ascii="Traditional Arabic" w:hAnsi="Traditional Arabic" w:cs="Traditional Arabic"/>
                <w:b w:val="1"/>
                <w:bCs w:val="1"/>
                <w:i w:val="0"/>
                <w:iCs w:val="0"/>
                <w:sz w:val="21"/>
                <w:szCs w:val="21"/>
                <w:rtl w:val="1"/>
              </w:rPr>
              <w:t>الخاصية</w:t>
            </w:r>
          </w:p>
        </w:tc>
        <w:tc>
          <w:tcPr>
            <w:tcW w:type="dxa" w:w="3969"/>
            <w:shd w:val="clear" w:fill="E8E8E8"/>
          </w:tcPr>
          <w:p>
            <w:pPr>
              <w:bidi/>
              <w:spacing w:line="276" w:lineRule="auto" w:before="40" w:after="40"/>
              <w:ind w:firstLine="0"/>
              <w:jc w:val="center"/>
            </w:pPr>
            <w:r/>
            <w:r>
              <w:rPr>
                <w:rFonts w:ascii="Traditional Arabic" w:hAnsi="Traditional Arabic" w:cs="Traditional Arabic"/>
                <w:b w:val="1"/>
                <w:bCs w:val="1"/>
                <w:i w:val="0"/>
                <w:iCs w:val="0"/>
                <w:sz w:val="21"/>
                <w:szCs w:val="21"/>
                <w:rtl w:val="1"/>
              </w:rPr>
              <w:t>المعنى</w:t>
            </w:r>
          </w:p>
        </w:tc>
        <w:tc>
          <w:tcPr>
            <w:tcW w:type="dxa" w:w="3288"/>
            <w:shd w:val="clear" w:fill="E8E8E8"/>
          </w:tcPr>
          <w:p>
            <w:pPr>
              <w:bidi/>
              <w:spacing w:line="276" w:lineRule="auto" w:before="40" w:after="40"/>
              <w:ind w:firstLine="0"/>
              <w:jc w:val="center"/>
            </w:pPr>
            <w:r/>
            <w:r>
              <w:rPr>
                <w:rFonts w:ascii="Traditional Arabic" w:hAnsi="Traditional Arabic" w:cs="Traditional Arabic"/>
                <w:b w:val="1"/>
                <w:bCs w:val="1"/>
                <w:i w:val="0"/>
                <w:iCs w:val="0"/>
                <w:sz w:val="21"/>
                <w:szCs w:val="21"/>
                <w:rtl w:val="1"/>
              </w:rPr>
              <w:t>مؤشر عملي للقياس</w:t>
            </w:r>
          </w:p>
        </w:tc>
      </w:tr>
      <w:tr>
        <w:trPr>
          <w:cantSplit/>
        </w:trPr>
        <w:tc>
          <w:tcPr>
            <w:tcW w:type="dxa" w:w="1814"/>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العمومية</w:t>
            </w:r>
          </w:p>
        </w:tc>
        <w:tc>
          <w:tcPr>
            <w:tcW w:type="dxa" w:w="3969"/>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تجاوز الموضوع لدائرة الفرد إلى قضية تمس جماعة وتطرح علناً</w:t>
            </w:r>
          </w:p>
        </w:tc>
        <w:tc>
          <w:tcPr>
            <w:tcW w:type="dxa" w:w="3288"/>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نسبة من يعتبرون الموضوع مهماً من أفراد الجمهور المستهدف</w:t>
            </w:r>
          </w:p>
        </w:tc>
      </w:tr>
      <w:tr>
        <w:trPr>
          <w:cantSplit/>
        </w:trPr>
        <w:tc>
          <w:tcPr>
            <w:tcW w:type="dxa" w:w="1814"/>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الجدلية</w:t>
            </w:r>
          </w:p>
        </w:tc>
        <w:tc>
          <w:tcPr>
            <w:tcW w:type="dxa" w:w="3969"/>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تكون الرأي من تفاعل الآراء واحتكاكها لا من جمعها الحسابي</w:t>
            </w:r>
          </w:p>
        </w:tc>
        <w:tc>
          <w:tcPr>
            <w:tcW w:type="dxa" w:w="3288"/>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عدد المشاركين في النقاش، ودرجة تبادل الحجج والردود</w:t>
            </w:r>
          </w:p>
        </w:tc>
      </w:tr>
      <w:tr>
        <w:trPr>
          <w:cantSplit/>
        </w:trPr>
        <w:tc>
          <w:tcPr>
            <w:tcW w:type="dxa" w:w="1814"/>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الديناميكية والتغير</w:t>
            </w:r>
          </w:p>
        </w:tc>
        <w:tc>
          <w:tcPr>
            <w:tcW w:type="dxa" w:w="3969"/>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تحرك الاتجاه صعوداً وهبوطاً بحسب تغير الوقائع والمعلومات</w:t>
            </w:r>
          </w:p>
        </w:tc>
        <w:tc>
          <w:tcPr>
            <w:tcW w:type="dxa" w:w="3288"/>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معدل تغير النسبة المؤيدة بين قياسين متتاليين</w:t>
            </w:r>
          </w:p>
        </w:tc>
      </w:tr>
      <w:tr>
        <w:trPr>
          <w:cantSplit/>
        </w:trPr>
        <w:tc>
          <w:tcPr>
            <w:tcW w:type="dxa" w:w="1814"/>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النسبية</w:t>
            </w:r>
          </w:p>
        </w:tc>
        <w:tc>
          <w:tcPr>
            <w:tcW w:type="dxa" w:w="3969"/>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ارتباط الرأي بالجمهور والموضوع والزمان والمكان</w:t>
            </w:r>
          </w:p>
        </w:tc>
        <w:tc>
          <w:tcPr>
            <w:tcW w:type="dxa" w:w="3288"/>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تباين النتائج بين جمهورين أو نطاقين جغرافيين للقضية نفسها</w:t>
            </w:r>
          </w:p>
        </w:tc>
      </w:tr>
      <w:tr>
        <w:trPr>
          <w:cantSplit/>
        </w:trPr>
        <w:tc>
          <w:tcPr>
            <w:tcW w:type="dxa" w:w="1814"/>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القابلية للقياس</w:t>
            </w:r>
          </w:p>
        </w:tc>
        <w:tc>
          <w:tcPr>
            <w:tcW w:type="dxa" w:w="3969"/>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إمكان تحويل الاتجاه إلى مؤشرات معلنة قابلة للتكرار</w:t>
            </w:r>
          </w:p>
        </w:tc>
        <w:tc>
          <w:tcPr>
            <w:tcW w:type="dxa" w:w="3288"/>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وجود أداة موثقة تحدد العينة وصياغة الأسئلة وتاريخ الجمع</w:t>
            </w:r>
          </w:p>
        </w:tc>
      </w:tr>
      <w:tr>
        <w:trPr>
          <w:cantSplit/>
        </w:trPr>
        <w:tc>
          <w:tcPr>
            <w:tcW w:type="dxa" w:w="1814"/>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الارتباط بالمصلحة العامة</w:t>
            </w:r>
          </w:p>
        </w:tc>
        <w:tc>
          <w:tcPr>
            <w:tcW w:type="dxa" w:w="3969"/>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تحرك الرأي حيث توجد مصلحة ملموسة لا حيث تكون القضية مجردة</w:t>
            </w:r>
          </w:p>
        </w:tc>
        <w:tc>
          <w:tcPr>
            <w:tcW w:type="dxa" w:w="3288"/>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درجة إدراك المصلحة الشخصية في القضية مقارنة بدرجة الاهتمام العام</w:t>
            </w:r>
          </w:p>
        </w:tc>
      </w:tr>
      <w:tr>
        <w:trPr>
          <w:cantSplit/>
        </w:trPr>
        <w:tc>
          <w:tcPr>
            <w:tcW w:type="dxa" w:w="1814"/>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التفاوت في الشدة</w:t>
            </w:r>
          </w:p>
        </w:tc>
        <w:tc>
          <w:tcPr>
            <w:tcW w:type="dxa" w:w="3969"/>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اختلاف قوة الاتجاه بين مؤيد قوي ومؤيد ضعيف</w:t>
            </w:r>
          </w:p>
        </w:tc>
        <w:tc>
          <w:tcPr>
            <w:tcW w:type="dxa" w:w="3288"/>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مقياس شدة مستقل (من ضعيف إلى شديد) إلى جانب سؤال الاتجاه</w:t>
            </w:r>
          </w:p>
        </w:tc>
      </w:tr>
      <w:tr>
        <w:trPr>
          <w:cantSplit/>
        </w:trPr>
        <w:tc>
          <w:tcPr>
            <w:tcW w:type="dxa" w:w="1814"/>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التأثر بوسائل الإعلام والخوارزميات</w:t>
            </w:r>
          </w:p>
        </w:tc>
        <w:tc>
          <w:tcPr>
            <w:tcW w:type="dxa" w:w="3969"/>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تأثر أهمية الموضوع وزاويته بما تعرضه الوسائل وأنظمة التوصية</w:t>
            </w:r>
          </w:p>
        </w:tc>
        <w:tc>
          <w:tcPr>
            <w:tcW w:type="dxa" w:w="3288"/>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قياس ترابط ترتيب الموضوعات في التغطية بترتيبها في أولويات الجمهور</w:t>
            </w:r>
          </w:p>
        </w:tc>
      </w:tr>
      <w:tr>
        <w:trPr>
          <w:cantSplit/>
        </w:trPr>
        <w:tc>
          <w:tcPr>
            <w:tcW w:type="dxa" w:w="1814"/>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قابلية التوجيه والتشكيل</w:t>
            </w:r>
          </w:p>
        </w:tc>
        <w:tc>
          <w:tcPr>
            <w:tcW w:type="dxa" w:w="3969"/>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إمكان تعديل الاتجاه بالإقناع والتأطير والدعاية</w:t>
            </w:r>
          </w:p>
        </w:tc>
        <w:tc>
          <w:tcPr>
            <w:tcW w:type="dxa" w:w="3288"/>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قياس أثر تعرض الجمهور لرسالة مضللة أو مؤطرة على اتجاهه</w:t>
            </w:r>
          </w:p>
        </w:tc>
      </w:tr>
      <w:tr>
        <w:trPr>
          <w:cantSplit/>
        </w:trPr>
        <w:tc>
          <w:tcPr>
            <w:tcW w:type="dxa" w:w="1814"/>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الارتباط بالزمان والمكان</w:t>
            </w:r>
          </w:p>
        </w:tc>
        <w:tc>
          <w:tcPr>
            <w:tcW w:type="dxa" w:w="3969"/>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لكل رأي عام تاريخ وجغرافيا تحكمان ظهوره أو كتمانه</w:t>
            </w:r>
          </w:p>
        </w:tc>
        <w:tc>
          <w:tcPr>
            <w:tcW w:type="dxa" w:w="3288"/>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تسجيل تاريخ القياس ونطاقه الجغرافي في كل دراسة</w:t>
            </w:r>
          </w:p>
        </w:tc>
      </w:tr>
      <w:tr>
        <w:trPr>
          <w:cantSplit/>
        </w:trPr>
        <w:tc>
          <w:tcPr>
            <w:tcW w:type="dxa" w:w="1814"/>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التعبيرية</w:t>
            </w:r>
          </w:p>
        </w:tc>
        <w:tc>
          <w:tcPr>
            <w:tcW w:type="dxa" w:w="3969"/>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اشتراط وجود تعبير ظاهر (قول أو فعل أو صمت دال)</w:t>
            </w:r>
          </w:p>
        </w:tc>
        <w:tc>
          <w:tcPr>
            <w:tcW w:type="dxa" w:w="3288"/>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نسبة المستعدين للتعبير علناً مقارنة بنسبة المصرحين بموقفهم سراً</w:t>
            </w:r>
          </w:p>
        </w:tc>
      </w:tr>
      <w:tr>
        <w:trPr>
          <w:cantSplit/>
        </w:trPr>
        <w:tc>
          <w:tcPr>
            <w:tcW w:type="dxa" w:w="1814"/>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الشرعية والضغط على القرار</w:t>
            </w:r>
          </w:p>
        </w:tc>
        <w:tc>
          <w:tcPr>
            <w:tcW w:type="dxa" w:w="3969"/>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تحول الرأي العام إلى مرجع يستند إليه القرار أو يخشاه</w:t>
            </w:r>
          </w:p>
        </w:tc>
        <w:tc>
          <w:tcPr>
            <w:tcW w:type="dxa" w:w="3288"/>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عدد الإشارات إليه في وثائق السياسات والتصريحات الرسمية</w:t>
            </w:r>
          </w:p>
        </w:tc>
      </w:tr>
    </w:tbl>
    <w:p>
      <w:pPr>
        <w:bidi/>
        <w:spacing w:line="240" w:lineRule="auto" w:before="0" w:after="0"/>
        <w:jc w:val="both"/>
      </w:pPr>
    </w:p>
    <w:p>
      <w:pPr>
        <w:pStyle w:val="Heading1"/>
        <w:keepNext/>
        <w:pageBreakBefore/>
        <w:bidi/>
        <w:spacing w:line="312" w:lineRule="auto" w:before="0" w:after="160"/>
        <w:ind w:firstLine="0"/>
        <w:jc w:val="right"/>
      </w:pPr>
      <w:r>
        <w:rPr>
          <w:rFonts w:ascii="Traditional Arabic" w:hAnsi="Traditional Arabic" w:cs="Traditional Arabic"/>
          <w:b w:val="1"/>
          <w:bCs w:val="1"/>
          <w:i w:val="0"/>
          <w:iCs w:val="0"/>
          <w:sz w:val="36"/>
          <w:szCs w:val="36"/>
          <w:rtl w:val="1"/>
        </w:rPr>
        <w:t>المبحث الثالث: النظريات التي تفسر تشكل الرأي العام</w:t>
      </w:r>
    </w:p>
    <w:p>
      <w:pPr>
        <w:bidi/>
        <w:spacing w:line="276" w:lineRule="auto" w:before="0" w:after="200"/>
        <w:ind w:firstLine="0"/>
        <w:jc w:val="right"/>
      </w:pPr>
      <w:r>
        <w:rPr>
          <w:rFonts w:ascii="Traditional Arabic" w:hAnsi="Traditional Arabic" w:cs="Traditional Arabic"/>
          <w:b w:val="1"/>
          <w:bCs w:val="1"/>
          <w:sz w:val="24"/>
          <w:szCs w:val="24"/>
          <w:rtl w:val="1"/>
        </w:rPr>
        <w:t>بقلم: جان شادي عبود (الرقم الجامعي: jan_436439)</w:t>
      </w:r>
    </w:p>
    <w:p>
      <w:pPr>
        <w:pStyle w:val="Heading2"/>
        <w:keepNext/>
        <w:bidi/>
        <w:spacing w:line="312" w:lineRule="auto" w:before="200" w:after="120"/>
        <w:ind w:firstLine="0"/>
        <w:jc w:val="right"/>
      </w:pPr>
      <w:r>
        <w:rPr>
          <w:rFonts w:ascii="Traditional Arabic" w:hAnsi="Traditional Arabic" w:cs="Traditional Arabic"/>
          <w:b w:val="1"/>
          <w:bCs w:val="1"/>
          <w:i w:val="0"/>
          <w:iCs w:val="0"/>
          <w:sz w:val="32"/>
          <w:szCs w:val="32"/>
          <w:rtl w:val="1"/>
        </w:rPr>
        <w:t>3.1 من سؤال «هل تؤثر الوسائل؟» إلى سؤال «كيف يبنى الرأي؟»</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تطور الدرس النظري للرأي العام على ثلاث مراحل. في المرحلة الأولى كان السؤال: هل الرأي العام عقلاني أم انفعالي؟ وفي المرحلة الثانية انتقل السؤال إلى: من يصنع الرأي، النخبة أم الجمهور؟ وفي المرحلة الثالثة أصبح السؤال: بأي آلية ينتقل الرأي من مصدره إلى الجمهور، وما الذي يعدله في الطريق؟ هذا الانتقال ليس تراكماً معرفياً فحسب، بل تغير في وحدة التحليل: من الفرد، إلى الجماعة، إلى الشبكة. وفيما يأتي عشر نظريات مرتبة ترتيباً تاريخياً ومنطقياً، نعرض لكل منها فرضيتها وآليتها ونقدها ومثالها المعاصر.</w:t>
      </w:r>
    </w:p>
    <w:p>
      <w:pPr>
        <w:pStyle w:val="Heading2"/>
        <w:keepNext/>
        <w:bidi/>
        <w:spacing w:line="312" w:lineRule="auto" w:before="200" w:after="120"/>
        <w:ind w:firstLine="0"/>
        <w:jc w:val="right"/>
      </w:pPr>
      <w:r>
        <w:rPr>
          <w:rFonts w:ascii="Traditional Arabic" w:hAnsi="Traditional Arabic" w:cs="Traditional Arabic"/>
          <w:b w:val="1"/>
          <w:bCs w:val="1"/>
          <w:i w:val="0"/>
          <w:iCs w:val="0"/>
          <w:sz w:val="32"/>
          <w:szCs w:val="32"/>
          <w:rtl w:val="1"/>
        </w:rPr>
        <w:t>3.2 النظرية العقلانية الكلاسيكية</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تنسب هذه النظرية إلى التقليد الفلسفي الذي يمثله جان جاك روسو وجون ستيوارت ميل، وفرضيتها الأساسية أن الرأي العام - حين تتوافر الحرية والتعليم - يميل إلى الصواب لأنه حصيلة نقاش بين عقلاء. والآلية التي تفترضها هي آلية الحوار العلني: تطرح الحجج، وتختبر بالنقد، فيتضح الرأي الأرجح. وقد دافع ميل عن قيمة الرأي العام في مواجهة السلطة، لكنه حذر من أن الأغلبية قد تمارس ضغطاً على الأقلية يخالف الحرية نفسها التي تبرر حكمها.</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ويلاحظ على هذه النظرية أنها تفترض ما تريد أن تثبته: فهي تفترض عقلانية مسبقة ثم تستنتج رأياً عقلانياً. وقد أثبتت الدراسات النفسية أن الأفراد يميلون إلى انتقاء المعلومة التي تؤكد ما يعتقدونه، وهو ما يعرف بالانحياز التأكيدي (فيستنجر، 1957: الفصل الأول)</w:t>
      </w:r>
      <w:r>
        <w:rPr>
          <w:rStyle w:val="FootnoteReference"/>
          <w:rFonts w:ascii="Traditional Arabic" w:hAnsi="Traditional Arabic" w:cs="Traditional Arabic"/>
          <w:sz w:val="28"/>
          <w:szCs w:val="28"/>
          <w:rtl w:val="1"/>
        </w:rPr>
        <w:footnoteReference w:id="19"/>
      </w:r>
      <w:r>
        <w:rPr>
          <w:rFonts w:ascii="Traditional Arabic" w:hAnsi="Traditional Arabic" w:cs="Traditional Arabic"/>
          <w:b w:val="0"/>
          <w:bCs w:val="0"/>
          <w:i w:val="0"/>
          <w:iCs w:val="0"/>
          <w:sz w:val="28"/>
          <w:szCs w:val="28"/>
          <w:rtl w:val="1"/>
        </w:rPr>
        <w:t xml:space="preserve">. ومع ذلك تبقى للنظرية قيمة معيارية: فهي تحدد الشروط التي </w:t>
      </w:r>
      <w:r>
        <w:rPr>
          <w:rFonts w:ascii="Traditional Arabic" w:hAnsi="Traditional Arabic" w:cs="Traditional Arabic"/>
          <w:b w:val="1"/>
          <w:bCs w:val="1"/>
          <w:i w:val="0"/>
          <w:iCs w:val="0"/>
          <w:sz w:val="28"/>
          <w:szCs w:val="28"/>
          <w:rtl w:val="1"/>
        </w:rPr>
        <w:t>ينبغي</w:t>
      </w:r>
      <w:r>
        <w:rPr>
          <w:rFonts w:ascii="Traditional Arabic" w:hAnsi="Traditional Arabic" w:cs="Traditional Arabic"/>
          <w:b w:val="0"/>
          <w:bCs w:val="0"/>
          <w:i w:val="0"/>
          <w:iCs w:val="0"/>
          <w:sz w:val="28"/>
          <w:szCs w:val="28"/>
          <w:rtl w:val="1"/>
        </w:rPr>
        <w:t xml:space="preserve"> أن تتوافر لكي يكون الرأي العام رشيداً، ومنها التعليم وحرية التعبير، وهما شرطان يربطان هذه النظرية مباشرة بمشكلة وظيفتنا.</w:t>
      </w:r>
    </w:p>
    <w:p>
      <w:pPr>
        <w:pStyle w:val="Heading2"/>
        <w:keepNext/>
        <w:bidi/>
        <w:spacing w:line="312" w:lineRule="auto" w:before="200" w:after="120"/>
        <w:ind w:firstLine="0"/>
        <w:jc w:val="right"/>
      </w:pPr>
      <w:r>
        <w:rPr>
          <w:rFonts w:ascii="Traditional Arabic" w:hAnsi="Traditional Arabic" w:cs="Traditional Arabic"/>
          <w:b w:val="1"/>
          <w:bCs w:val="1"/>
          <w:i w:val="0"/>
          <w:iCs w:val="0"/>
          <w:sz w:val="32"/>
          <w:szCs w:val="32"/>
          <w:rtl w:val="1"/>
        </w:rPr>
        <w:t>3.3 النظرية النخبوية النقدية: ليبمان (1922)</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قدم ليبمان في كتابه «الرأي العام» فرضية مغايرة: الجمهور لا يستطيع أن يعرف الواقع مباشرة، لأنه يعيش داخل «صور ذهنية» مختزلة، وهو مشغول بمعيشته عن متابعة تفاصيل الشأن العام. وتبعاً لذلك فإن صناعة الرأي العام تقع فعلياً على نخبة من الخبراء والمحررين الذين يبنون «الواقع» الذي يتعامل معه الجمهور. والآلية هنا آلية وساطة: تنتج النخبة رموزاً مبسطة («صور نمطية»)، فيتعامل الجمهور مع الرموز لا مع الوقائع (ليبمان، 1922: 3)</w:t>
      </w:r>
      <w:r>
        <w:rPr>
          <w:rStyle w:val="FootnoteReference"/>
          <w:rFonts w:ascii="Traditional Arabic" w:hAnsi="Traditional Arabic" w:cs="Traditional Arabic"/>
          <w:sz w:val="28"/>
          <w:szCs w:val="28"/>
          <w:rtl w:val="1"/>
        </w:rPr>
        <w:footnoteReference w:id="20"/>
      </w:r>
      <w:r>
        <w:rPr>
          <w:rFonts w:ascii="Traditional Arabic" w:hAnsi="Traditional Arabic" w:cs="Traditional Arabic"/>
          <w:b w:val="0"/>
          <w:bCs w:val="0"/>
          <w:i w:val="0"/>
          <w:iCs w:val="0"/>
          <w:sz w:val="28"/>
          <w:szCs w:val="28"/>
          <w:rtl w:val="1"/>
        </w:rPr>
        <w:t>.</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وقوة هذه النظرية أنها تفسر فجوة نراها كل يوم بين تعقيد الملفات وتبسيط النقاش العام، وفي البيئة الرقمية يمكن ملاحظة الآلية نفسها وهي تعمل عبر «العناوين» و«المقاطع القصيرة» التي تختزل قضية معقدة في صورة. أما نقدها الأساسي فهو أنها تفتقر إلى الثقة في قدرة الجمهور على التعلم، وتتجاهل أشكال الوساطة الجديدة التي لم تكن نخبوية بالضرورة.</w:t>
      </w:r>
    </w:p>
    <w:p>
      <w:pPr>
        <w:pStyle w:val="Heading2"/>
        <w:keepNext/>
        <w:bidi/>
        <w:spacing w:line="312" w:lineRule="auto" w:before="200" w:after="120"/>
        <w:ind w:firstLine="0"/>
        <w:jc w:val="right"/>
      </w:pPr>
      <w:r>
        <w:rPr>
          <w:rFonts w:ascii="Traditional Arabic" w:hAnsi="Traditional Arabic" w:cs="Traditional Arabic"/>
          <w:b w:val="1"/>
          <w:bCs w:val="1"/>
          <w:i w:val="0"/>
          <w:iCs w:val="0"/>
          <w:sz w:val="32"/>
          <w:szCs w:val="32"/>
          <w:rtl w:val="1"/>
        </w:rPr>
        <w:t>3.4 نظرية المجال العام التشاركي: هابرماس (1962)</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رد هابرماس على النخبوية بتقديم مفهوم «المجال العام»: فضاء اجتماعي وسيط بين الدولة والمجتمع، يلتقي فيه المواطنون كنداء، ويناقشون الشأن العام بعقلانية، ويتكون الرأي العام نتيجة هذا النقاش لا نتيجة فرضه من فوق (هابرماس، 1962: الفصل الثاني)</w:t>
      </w:r>
      <w:r>
        <w:rPr>
          <w:rStyle w:val="FootnoteReference"/>
          <w:rFonts w:ascii="Traditional Arabic" w:hAnsi="Traditional Arabic" w:cs="Traditional Arabic"/>
          <w:sz w:val="28"/>
          <w:szCs w:val="28"/>
          <w:rtl w:val="1"/>
        </w:rPr>
        <w:footnoteReference w:id="21"/>
      </w:r>
      <w:r>
        <w:rPr>
          <w:rFonts w:ascii="Traditional Arabic" w:hAnsi="Traditional Arabic" w:cs="Traditional Arabic"/>
          <w:b w:val="0"/>
          <w:bCs w:val="0"/>
          <w:i w:val="0"/>
          <w:iCs w:val="0"/>
          <w:sz w:val="28"/>
          <w:szCs w:val="28"/>
          <w:rtl w:val="1"/>
        </w:rPr>
        <w:t>. وآلية التشكل هنا هي «النقاش المعلن الموجه بالنقد»، وتتطلب جمهوراً متعلماً ووسائل اتصال حرة ومكاناً للاجتماع.</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وقد انتقد هابرماس نفسه لاحقاً تحول المجال العام إلى مجال «استهلاكي» تتحكم فيه الصناعة الإعلامية. وهذا النقد يزداد وجاهة في البيئة الرقمية: فالمنصات وسعت المشاركة كماً، لكنها لم تضمن بالضرورة جودة النقاش. ومن هنا كان سؤال وظيفتنا مشروعاً: هل ارتفاع التعليم وانتشار الاتصال يوسع المجال العام أم يوسع الضجيج؟</w:t>
      </w:r>
    </w:p>
    <w:p>
      <w:pPr>
        <w:pStyle w:val="Heading2"/>
        <w:keepNext/>
        <w:bidi/>
        <w:spacing w:line="312" w:lineRule="auto" w:before="200" w:after="120"/>
        <w:ind w:firstLine="0"/>
        <w:jc w:val="right"/>
      </w:pPr>
      <w:r>
        <w:rPr>
          <w:rFonts w:ascii="Traditional Arabic" w:hAnsi="Traditional Arabic" w:cs="Traditional Arabic"/>
          <w:b w:val="1"/>
          <w:bCs w:val="1"/>
          <w:i w:val="0"/>
          <w:iCs w:val="0"/>
          <w:sz w:val="32"/>
          <w:szCs w:val="32"/>
          <w:rtl w:val="1"/>
        </w:rPr>
        <w:t>3.5 سيكولوجية الجماهير والعدوى الاجتماعية: لوبون (1895)</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قدم لوبون تفسيراً انفعالياً لتشكل الرأي داخل الجماهير، فرأى أن الفرد حين ينصهر في جمهور يفقد جزءاً من كوابحه العقلية، وتسيطر عليه ثلاثة عوامل: العدوى، والانفعال المشترك، وقابلية الإيحاء (لوبون، 1895: الفصل الأول)</w:t>
      </w:r>
      <w:r>
        <w:rPr>
          <w:rStyle w:val="FootnoteReference"/>
          <w:rFonts w:ascii="Traditional Arabic" w:hAnsi="Traditional Arabic" w:cs="Traditional Arabic"/>
          <w:sz w:val="28"/>
          <w:szCs w:val="28"/>
          <w:rtl w:val="1"/>
        </w:rPr>
        <w:footnoteReference w:id="22"/>
      </w:r>
      <w:r>
        <w:rPr>
          <w:rFonts w:ascii="Traditional Arabic" w:hAnsi="Traditional Arabic" w:cs="Traditional Arabic"/>
          <w:b w:val="0"/>
          <w:bCs w:val="0"/>
          <w:i w:val="0"/>
          <w:iCs w:val="0"/>
          <w:sz w:val="28"/>
          <w:szCs w:val="28"/>
          <w:rtl w:val="1"/>
        </w:rPr>
        <w:t>. والآلية هنا نفسية-جمعية: تختزل الأفكار إلى صور بسيطة، ثم تنتقل بالتقليد.</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ويلاحظ أن لوبون كتب في سياق متحرك يجعله عرضة للتعميم والتحقير، وأن نظريته تشرح الانفعال الجماعي أكثر مما تشرح الرأي العام المنظم. لكنها تبقى مفيدة في تفسير موجات الغضب الرقمي السريعة، حيث تنتقل الشرارة من منشور إلى آخر بسرعة تفوق قدرة المؤسسات على التفسير.</w:t>
      </w:r>
    </w:p>
    <w:p>
      <w:pPr>
        <w:pStyle w:val="Heading2"/>
        <w:keepNext/>
        <w:bidi/>
        <w:spacing w:line="312" w:lineRule="auto" w:before="200" w:after="120"/>
        <w:ind w:firstLine="0"/>
        <w:jc w:val="right"/>
      </w:pPr>
      <w:r>
        <w:rPr>
          <w:rFonts w:ascii="Traditional Arabic" w:hAnsi="Traditional Arabic" w:cs="Traditional Arabic"/>
          <w:b w:val="1"/>
          <w:bCs w:val="1"/>
          <w:i w:val="0"/>
          <w:iCs w:val="0"/>
          <w:sz w:val="32"/>
          <w:szCs w:val="32"/>
          <w:rtl w:val="1"/>
        </w:rPr>
        <w:t>3.6 التدفق على مرحلتين وقادة الرأي: لازارسفيلد وكاتس (1944/1955)</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غيرت هذه المدرسة اتجاه البحث كلياً. فقد وجد لازارسفيلد وزملاؤه في دراسة السلوك الانتخابي أن تأثير وسائل الإعلام محدود، وأن التأثير يمر عبر وسطاء: قادة رأي داخل الجماعات الصغيرة يقرؤون المعلومة ويفلترونها ويعيدون صياغتها (كاتس ولازارسفيلد، 1955: الفصل الأول)</w:t>
      </w:r>
      <w:r>
        <w:rPr>
          <w:rStyle w:val="FootnoteReference"/>
          <w:rFonts w:ascii="Traditional Arabic" w:hAnsi="Traditional Arabic" w:cs="Traditional Arabic"/>
          <w:sz w:val="28"/>
          <w:szCs w:val="28"/>
          <w:rtl w:val="1"/>
        </w:rPr>
        <w:footnoteReference w:id="23"/>
      </w:r>
      <w:r>
        <w:rPr>
          <w:rFonts w:ascii="Traditional Arabic" w:hAnsi="Traditional Arabic" w:cs="Traditional Arabic"/>
          <w:b w:val="0"/>
          <w:bCs w:val="0"/>
          <w:i w:val="0"/>
          <w:iCs w:val="0"/>
          <w:sz w:val="28"/>
          <w:szCs w:val="28"/>
          <w:rtl w:val="1"/>
        </w:rPr>
        <w:t>. أما الآلية فهي «تدفق على مرحلتين»: من الوسيلة إلى قادة الرأي، ومنهم إلى بقية الجماعة عبر الاتصال الشخصي.</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وأكبر دليل على صدق هذه الفكرة في حياتنا الرقمية أن كثيراً من الناس لا يقرؤون الخبر من مصدره، بل من منشور صديق يثقون به. وقد لاحظت في مجموعتي الكشفية أن المعلومة تصل إلى الأغلبية عبر اثنين أو ثلاثة من الأعضاء الأكثر متابعة، وأن صياغتهم لها تترك أثراً أكبر من صياغة المصدر الأصلي. وهذا يعني أن دراسة الرأي العام الرقمي التي تكتفي بالتحليل الآلي للنصوص تخطئ حين تتجاهل بنية العلاقات الشخصية التي يمر عبرها المعنى.</w:t>
      </w:r>
    </w:p>
    <w:p>
      <w:pPr>
        <w:pStyle w:val="Heading2"/>
        <w:keepNext/>
        <w:bidi/>
        <w:spacing w:line="312" w:lineRule="auto" w:before="200" w:after="120"/>
        <w:ind w:firstLine="0"/>
        <w:jc w:val="right"/>
      </w:pPr>
      <w:r>
        <w:rPr>
          <w:rFonts w:ascii="Traditional Arabic" w:hAnsi="Traditional Arabic" w:cs="Traditional Arabic"/>
          <w:b w:val="1"/>
          <w:bCs w:val="1"/>
          <w:i w:val="0"/>
          <w:iCs w:val="0"/>
          <w:sz w:val="32"/>
          <w:szCs w:val="32"/>
          <w:rtl w:val="1"/>
        </w:rPr>
        <w:t>3.7 دوامة الصمت: نويل-نيومان (1974)</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تفسر هذه النظرية لماذا يظهر الرأي العام أقوى مما هو في الواقع. فالأفراد يمتلكون حساً شبه إحصائي لقراءة مناخ الرأي، ويخافون العزلة الاجتماعية، فيميلون إلى إعلان رأيهم حين يظنونه سائداً، وإلى الصمت حين يظنونه مخالفاً. ونتيجة تراكم الصمت تصبح الأقلية أقل ظهوراً والأغلبية أكثر بروزاً، فيكبر الاثنان أو يصغران بحسب مكانهما من المناخ (نويل-نيومان، 1974: 43)</w:t>
      </w:r>
      <w:r>
        <w:rPr>
          <w:rStyle w:val="FootnoteReference"/>
          <w:rFonts w:ascii="Traditional Arabic" w:hAnsi="Traditional Arabic" w:cs="Traditional Arabic"/>
          <w:sz w:val="28"/>
          <w:szCs w:val="28"/>
          <w:rtl w:val="1"/>
        </w:rPr>
        <w:footnoteReference w:id="24"/>
      </w:r>
      <w:r>
        <w:rPr>
          <w:rFonts w:ascii="Traditional Arabic" w:hAnsi="Traditional Arabic" w:cs="Traditional Arabic"/>
          <w:b w:val="0"/>
          <w:bCs w:val="0"/>
          <w:i w:val="0"/>
          <w:iCs w:val="0"/>
          <w:sz w:val="28"/>
          <w:szCs w:val="28"/>
          <w:rtl w:val="1"/>
        </w:rPr>
        <w:t>.</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وقد اختبرت هذه الفكرة في البيئة الرقمية ووجدت دعماً جزئياً فقط؛ لأن المنصات قد تمنح الأقليات فرصاً للتجمع في فضاءات مغلقة. ونقدها المنهجي أن «الحس شبه الإحصائي» مفهوم صعب القياس، وأن النظرية تفترض ثقلاً متساوياً للعزلة في كل المجتمعات. ورغم ذلك تبقى أفضل تفسير متاح لظاهرة «القياس المتحيز»: نحن لا نسمع إلا من يجرؤ على الكلام.</w:t>
      </w:r>
    </w:p>
    <w:p>
      <w:pPr>
        <w:pStyle w:val="Heading2"/>
        <w:keepNext/>
        <w:bidi/>
        <w:spacing w:line="312" w:lineRule="auto" w:before="200" w:after="120"/>
        <w:ind w:firstLine="0"/>
        <w:jc w:val="right"/>
      </w:pPr>
      <w:r>
        <w:rPr>
          <w:rFonts w:ascii="Traditional Arabic" w:hAnsi="Traditional Arabic" w:cs="Traditional Arabic"/>
          <w:b w:val="1"/>
          <w:bCs w:val="1"/>
          <w:i w:val="0"/>
          <w:iCs w:val="0"/>
          <w:sz w:val="32"/>
          <w:szCs w:val="32"/>
          <w:rtl w:val="1"/>
        </w:rPr>
        <w:t>3.8 ترتيب الأولويات: ماكومبس وشو (1972)</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 xml:space="preserve">خلاصة هذه النظرية أن وسائل الإعلام لا تنجح عادة في إخبارنا </w:t>
      </w:r>
      <w:r>
        <w:rPr>
          <w:rFonts w:ascii="Traditional Arabic" w:hAnsi="Traditional Arabic" w:cs="Traditional Arabic"/>
          <w:b w:val="1"/>
          <w:bCs w:val="1"/>
          <w:i w:val="0"/>
          <w:iCs w:val="0"/>
          <w:sz w:val="28"/>
          <w:szCs w:val="28"/>
          <w:rtl w:val="1"/>
        </w:rPr>
        <w:t>بماذا نفكر</w:t>
      </w:r>
      <w:r>
        <w:rPr>
          <w:rFonts w:ascii="Traditional Arabic" w:hAnsi="Traditional Arabic" w:cs="Traditional Arabic"/>
          <w:b w:val="0"/>
          <w:bCs w:val="0"/>
          <w:i w:val="0"/>
          <w:iCs w:val="0"/>
          <w:sz w:val="28"/>
          <w:szCs w:val="28"/>
          <w:rtl w:val="1"/>
        </w:rPr>
        <w:t xml:space="preserve">، لكنها تنجح في إخبارنا </w:t>
      </w:r>
      <w:r>
        <w:rPr>
          <w:rFonts w:ascii="Traditional Arabic" w:hAnsi="Traditional Arabic" w:cs="Traditional Arabic"/>
          <w:b w:val="1"/>
          <w:bCs w:val="1"/>
          <w:i w:val="0"/>
          <w:iCs w:val="0"/>
          <w:sz w:val="28"/>
          <w:szCs w:val="28"/>
          <w:rtl w:val="1"/>
        </w:rPr>
        <w:t>بماذا نفكر فيه</w:t>
      </w:r>
      <w:r>
        <w:rPr>
          <w:rFonts w:ascii="Traditional Arabic" w:hAnsi="Traditional Arabic" w:cs="Traditional Arabic"/>
          <w:b w:val="0"/>
          <w:bCs w:val="0"/>
          <w:i w:val="0"/>
          <w:iCs w:val="0"/>
          <w:sz w:val="28"/>
          <w:szCs w:val="28"/>
          <w:rtl w:val="1"/>
        </w:rPr>
        <w:t>؛ فالموضوع الذي يعرض أكثر ويبرز أكثر يصبح أكثر أهمية في نظر الجمهور (ماكومبس وشو، 1972: 176)</w:t>
      </w:r>
      <w:r>
        <w:rPr>
          <w:rStyle w:val="FootnoteReference"/>
          <w:rFonts w:ascii="Traditional Arabic" w:hAnsi="Traditional Arabic" w:cs="Traditional Arabic"/>
          <w:sz w:val="28"/>
          <w:szCs w:val="28"/>
          <w:rtl w:val="1"/>
        </w:rPr>
        <w:footnoteReference w:id="25"/>
      </w:r>
      <w:r>
        <w:rPr>
          <w:rFonts w:ascii="Traditional Arabic" w:hAnsi="Traditional Arabic" w:cs="Traditional Arabic"/>
          <w:b w:val="0"/>
          <w:bCs w:val="0"/>
          <w:i w:val="0"/>
          <w:iCs w:val="0"/>
          <w:sz w:val="28"/>
          <w:szCs w:val="28"/>
          <w:rtl w:val="1"/>
        </w:rPr>
        <w:t>. والآلية هي تكرار التغطية وإبراز الموضع والحجم وكثافة التناول، وهي آليات بسيطة لكن أثرها تراكمي.</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وفي البيئة الرقمية انتقل هذا الدور جزئياً من غرفة الأخبار إلى الخوارزمية، فصار «المهم» هو ما يقيسه النظام تفاعلاً. وهنا يتولد سؤال أخلاقي وعلمي في الوقت نفسه: إذا كانت الأولويات تصنع بهذه الطريقة، فهل يعبر الاستطلاع عن رأي الجمهور أم عن قائمة موضوعات صنعها نظام التوصية؟</w:t>
      </w:r>
    </w:p>
    <w:p>
      <w:pPr>
        <w:pStyle w:val="Heading2"/>
        <w:keepNext/>
        <w:bidi/>
        <w:spacing w:line="312" w:lineRule="auto" w:before="200" w:after="120"/>
        <w:ind w:firstLine="0"/>
        <w:jc w:val="right"/>
      </w:pPr>
      <w:r>
        <w:rPr>
          <w:rFonts w:ascii="Traditional Arabic" w:hAnsi="Traditional Arabic" w:cs="Traditional Arabic"/>
          <w:b w:val="1"/>
          <w:bCs w:val="1"/>
          <w:i w:val="0"/>
          <w:iCs w:val="0"/>
          <w:sz w:val="32"/>
          <w:szCs w:val="32"/>
          <w:rtl w:val="1"/>
        </w:rPr>
        <w:t>3.9 نظرية الاعتماد على وسائل الإعلام</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قدم بال-روكيتش ودي فلور إطاراً يربط أثر الوسائل بحاجة الجمهور إليها، فالأفراد والمجتمعات يعتمدون على وسائل الإعلام للحصول على معلومات لا يستطيعون الحصول عليها بأنفسهم، ويزداد هذا الاعتماد في أوقات الأزمات والتغير الاجتماعي السريع، وكلما زاد الاعتماد زاد احتمال التأثر بالرسائل (بال-روكيتش ودي فلور، 1976: 3)</w:t>
      </w:r>
      <w:r>
        <w:rPr>
          <w:rStyle w:val="FootnoteReference"/>
          <w:rFonts w:ascii="Traditional Arabic" w:hAnsi="Traditional Arabic" w:cs="Traditional Arabic"/>
          <w:sz w:val="28"/>
          <w:szCs w:val="28"/>
          <w:rtl w:val="1"/>
        </w:rPr>
        <w:footnoteReference w:id="26"/>
      </w:r>
      <w:r>
        <w:rPr>
          <w:rFonts w:ascii="Traditional Arabic" w:hAnsi="Traditional Arabic" w:cs="Traditional Arabic"/>
          <w:b w:val="0"/>
          <w:bCs w:val="0"/>
          <w:i w:val="0"/>
          <w:iCs w:val="0"/>
          <w:sz w:val="28"/>
          <w:szCs w:val="28"/>
          <w:rtl w:val="1"/>
        </w:rPr>
        <w:t>.</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وقيمة هذه النظرية أنها تفسر لماذا يكون الرأي العام أكثر قابلية للتشكيل في لحظات الغموض: أزمة اقتصادية، أو انقطاع خدمة، أو كارثة. وآليتها ليست خطية بل دورية: يزداد الاعتماد فيزداد التأثر فيزداد الاعتماد. أما نقدها فهو أنها تصف شرطاً عاماً للتأثير أكثر مما تفسر مضمونه.</w:t>
      </w:r>
    </w:p>
    <w:p>
      <w:pPr>
        <w:pStyle w:val="Heading2"/>
        <w:keepNext/>
        <w:bidi/>
        <w:spacing w:line="312" w:lineRule="auto" w:before="200" w:after="120"/>
        <w:ind w:firstLine="0"/>
        <w:jc w:val="right"/>
      </w:pPr>
      <w:r>
        <w:rPr>
          <w:rFonts w:ascii="Traditional Arabic" w:hAnsi="Traditional Arabic" w:cs="Traditional Arabic"/>
          <w:b w:val="1"/>
          <w:bCs w:val="1"/>
          <w:i w:val="0"/>
          <w:iCs w:val="0"/>
          <w:sz w:val="32"/>
          <w:szCs w:val="32"/>
          <w:rtl w:val="1"/>
        </w:rPr>
        <w:t>3.10 نظرية التأطير</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بين إنتمان أن التأطير هو اختيار جوانب معينة من الواقع وإبرازها، بحيث يقدم الموضوع من زاوية تحدد المشكلة وتشخيص أسبابها وتقييمها واقتراح حل لها (إنتمان، 1993: 51–52)</w:t>
      </w:r>
      <w:r>
        <w:rPr>
          <w:rStyle w:val="FootnoteReference"/>
          <w:rFonts w:ascii="Traditional Arabic" w:hAnsi="Traditional Arabic" w:cs="Traditional Arabic"/>
          <w:sz w:val="28"/>
          <w:szCs w:val="28"/>
          <w:rtl w:val="1"/>
        </w:rPr>
        <w:footnoteReference w:id="27"/>
      </w:r>
      <w:r>
        <w:rPr>
          <w:rFonts w:ascii="Traditional Arabic" w:hAnsi="Traditional Arabic" w:cs="Traditional Arabic"/>
          <w:b w:val="0"/>
          <w:bCs w:val="0"/>
          <w:i w:val="0"/>
          <w:iCs w:val="0"/>
          <w:sz w:val="28"/>
          <w:szCs w:val="28"/>
          <w:rtl w:val="1"/>
        </w:rPr>
        <w:t>. والآلية ذهنية-لغوية: الكلمات والصور والأمثلة تنشئ إطاراً، والإطار يحدد ما يرى وما يهمل. ولذلك قد تكون المعلومة صحيحة والإطار مضللاً في الوقت نفسه.</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وتفسر هذه النظرية كثيراً من الخلافات الاقتصادية: هل تعرض زيادة الأسعار كـ«فشل سياسة» أم كـ«ضغط خارجي» أم كـ«إصلاح ضروري»؟ إن تغيير الإطار يغير الرأي من دون أن يتغير الرقم.</w:t>
      </w:r>
    </w:p>
    <w:p>
      <w:pPr>
        <w:pStyle w:val="Heading2"/>
        <w:keepNext/>
        <w:bidi/>
        <w:spacing w:line="312" w:lineRule="auto" w:before="200" w:after="120"/>
        <w:ind w:firstLine="0"/>
        <w:jc w:val="right"/>
      </w:pPr>
      <w:r>
        <w:rPr>
          <w:rFonts w:ascii="Traditional Arabic" w:hAnsi="Traditional Arabic" w:cs="Traditional Arabic"/>
          <w:b w:val="1"/>
          <w:bCs w:val="1"/>
          <w:i w:val="0"/>
          <w:iCs w:val="0"/>
          <w:sz w:val="32"/>
          <w:szCs w:val="32"/>
          <w:rtl w:val="1"/>
        </w:rPr>
        <w:t>3.11 القراءة الشبكية الرقمية: الفقاعات والخوارزميات</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أضافت الكتابات الحديثة بعداً جديداً، فباريسر يرى أن أنظمة التوصية تحاصر المستخدم في «فقاعة ترشيح» تعرض عليه ما يشبه ما اختاره سابقاً، فتضيق مساحة التعارض المعرفي (باريسر، 2011: الفصل الثالث)</w:t>
      </w:r>
      <w:r>
        <w:rPr>
          <w:rStyle w:val="FootnoteReference"/>
          <w:rFonts w:ascii="Traditional Arabic" w:hAnsi="Traditional Arabic" w:cs="Traditional Arabic"/>
          <w:sz w:val="28"/>
          <w:szCs w:val="28"/>
          <w:rtl w:val="1"/>
        </w:rPr>
        <w:footnoteReference w:id="28"/>
      </w:r>
      <w:r>
        <w:rPr>
          <w:rFonts w:ascii="Traditional Arabic" w:hAnsi="Traditional Arabic" w:cs="Traditional Arabic"/>
          <w:b w:val="0"/>
          <w:bCs w:val="0"/>
          <w:i w:val="0"/>
          <w:iCs w:val="0"/>
          <w:sz w:val="28"/>
          <w:szCs w:val="28"/>
          <w:rtl w:val="1"/>
        </w:rPr>
        <w:t>، وسانستين كان قد حذر من أثر «الأصداء المتجانسة» على جودة النقاش العام (سانستين، 2001: الفصل الثاني)</w:t>
      </w:r>
      <w:r>
        <w:rPr>
          <w:rStyle w:val="FootnoteReference"/>
          <w:rFonts w:ascii="Traditional Arabic" w:hAnsi="Traditional Arabic" w:cs="Traditional Arabic"/>
          <w:sz w:val="28"/>
          <w:szCs w:val="28"/>
          <w:rtl w:val="1"/>
        </w:rPr>
        <w:footnoteReference w:id="29"/>
      </w:r>
      <w:r>
        <w:rPr>
          <w:rFonts w:ascii="Traditional Arabic" w:hAnsi="Traditional Arabic" w:cs="Traditional Arabic"/>
          <w:b w:val="0"/>
          <w:bCs w:val="0"/>
          <w:i w:val="0"/>
          <w:iCs w:val="0"/>
          <w:sz w:val="28"/>
          <w:szCs w:val="28"/>
          <w:rtl w:val="1"/>
        </w:rPr>
        <w:t>.</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والآلية تقنية بالدرجة الأولى: تستخدم بيانات التفاعل لتوقع ما يستهلكه المستخدم، فيعرض له ما يزيد احتمال بقائه فترة أطول، فيتعلم النظام من انحيازه ويتعلم المستخدم من إطاره. والنقد هنا يجب أن يكون دقيقاً: الفقاعات ليست سجوناً كاملة، وكثير من المستخدمين يتعرضون لمحتوى متنوع، لكن الأثر التراكمي لجودة النقاش العام يبقى موضع قلق مشروع.</w:t>
      </w:r>
    </w:p>
    <w:p>
      <w:pPr>
        <w:pStyle w:val="Heading2"/>
        <w:keepNext/>
        <w:bidi/>
        <w:spacing w:line="312" w:lineRule="auto" w:before="200" w:after="120"/>
        <w:ind w:firstLine="0"/>
        <w:jc w:val="right"/>
      </w:pPr>
      <w:r>
        <w:rPr>
          <w:rFonts w:ascii="Traditional Arabic" w:hAnsi="Traditional Arabic" w:cs="Traditional Arabic"/>
          <w:b w:val="1"/>
          <w:bCs w:val="1"/>
          <w:i w:val="0"/>
          <w:iCs w:val="0"/>
          <w:sz w:val="32"/>
          <w:szCs w:val="32"/>
          <w:rtl w:val="1"/>
        </w:rPr>
        <w:t>3.12 جدول مقارنة النظريات والشكل التوضيحي</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يجمع الجدول (5) الآتي أطراف المقارنة بين النظريات العشر في صيغة واحدة (الفرضية، والآلية، والنقد، والمثال المعاصر)، ليتمكن القارئ من رؤية موضع كل نظرية في الخريطة العامة.</w:t>
      </w:r>
    </w:p>
    <w:p>
      <w:pPr>
        <w:keepNext/>
        <w:bidi/>
        <w:spacing w:line="276" w:lineRule="auto" w:before="120" w:after="80"/>
        <w:ind w:firstLine="0"/>
        <w:jc w:val="center"/>
      </w:pPr>
      <w:bookmarkStart w:id="105" w:name="_Tbl5"/>
      <w:r>
        <w:rPr>
          <w:rFonts w:ascii="Traditional Arabic" w:hAnsi="Traditional Arabic" w:cs="Traditional Arabic"/>
          <w:b w:val="1"/>
          <w:bCs w:val="1"/>
          <w:i w:val="0"/>
          <w:iCs w:val="0"/>
          <w:sz w:val="24"/>
          <w:szCs w:val="24"/>
          <w:rtl w:val="1"/>
        </w:rPr>
        <w:t>الجدول (5): مقارنة النظريات المفسرة لتشكل الرأي العام</w:t>
      </w:r>
      <w:bookmarkEnd w:id="105"/>
    </w:p>
    <w:tbl>
      <w:tblPr>
        <w:tblStyle w:val="TableGrid"/>
        <w:bidiVisual/>
        <w:tblW w:type="auto" w:w="0"/>
        <w:jc w:val="center"/>
        <w:tblLook w:firstColumn="1" w:firstRow="1" w:lastColumn="0" w:lastRow="0" w:noHBand="0" w:noVBand="1" w:val="04A0"/>
      </w:tblPr>
      <w:tblGrid>
        <w:gridCol w:w="1814"/>
        <w:gridCol w:w="1814"/>
        <w:gridCol w:w="1814"/>
        <w:gridCol w:w="1814"/>
        <w:gridCol w:w="1814"/>
      </w:tblGrid>
      <w:tr>
        <w:trPr>
          <w:cantSplit/>
          <w:tblHeader/>
        </w:trPr>
        <w:tc>
          <w:tcPr>
            <w:tcW w:type="dxa" w:w="1701"/>
            <w:shd w:val="clear" w:fill="E8E8E8"/>
          </w:tcPr>
          <w:p>
            <w:pPr>
              <w:bidi/>
              <w:spacing w:line="276" w:lineRule="auto" w:before="40" w:after="40"/>
              <w:ind w:firstLine="0"/>
              <w:jc w:val="center"/>
            </w:pPr>
            <w:r/>
            <w:r>
              <w:rPr>
                <w:rFonts w:ascii="Traditional Arabic" w:hAnsi="Traditional Arabic" w:cs="Traditional Arabic"/>
                <w:b w:val="1"/>
                <w:bCs w:val="1"/>
                <w:i w:val="0"/>
                <w:iCs w:val="0"/>
                <w:sz w:val="21"/>
                <w:szCs w:val="21"/>
                <w:rtl w:val="1"/>
              </w:rPr>
              <w:t>النظرية والرائد والسنة</w:t>
            </w:r>
          </w:p>
        </w:tc>
        <w:tc>
          <w:tcPr>
            <w:tcW w:type="dxa" w:w="1928"/>
            <w:shd w:val="clear" w:fill="E8E8E8"/>
          </w:tcPr>
          <w:p>
            <w:pPr>
              <w:bidi/>
              <w:spacing w:line="276" w:lineRule="auto" w:before="40" w:after="40"/>
              <w:ind w:firstLine="0"/>
              <w:jc w:val="center"/>
            </w:pPr>
            <w:r/>
            <w:r>
              <w:rPr>
                <w:rFonts w:ascii="Traditional Arabic" w:hAnsi="Traditional Arabic" w:cs="Traditional Arabic"/>
                <w:b w:val="1"/>
                <w:bCs w:val="1"/>
                <w:i w:val="0"/>
                <w:iCs w:val="0"/>
                <w:sz w:val="21"/>
                <w:szCs w:val="21"/>
                <w:rtl w:val="1"/>
              </w:rPr>
              <w:t>الفرضية الأساسية</w:t>
            </w:r>
          </w:p>
        </w:tc>
        <w:tc>
          <w:tcPr>
            <w:tcW w:type="dxa" w:w="1928"/>
            <w:shd w:val="clear" w:fill="E8E8E8"/>
          </w:tcPr>
          <w:p>
            <w:pPr>
              <w:bidi/>
              <w:spacing w:line="276" w:lineRule="auto" w:before="40" w:after="40"/>
              <w:ind w:firstLine="0"/>
              <w:jc w:val="center"/>
            </w:pPr>
            <w:r/>
            <w:r>
              <w:rPr>
                <w:rFonts w:ascii="Traditional Arabic" w:hAnsi="Traditional Arabic" w:cs="Traditional Arabic"/>
                <w:b w:val="1"/>
                <w:bCs w:val="1"/>
                <w:i w:val="0"/>
                <w:iCs w:val="0"/>
                <w:sz w:val="21"/>
                <w:szCs w:val="21"/>
                <w:rtl w:val="1"/>
              </w:rPr>
              <w:t>آلية التشكل</w:t>
            </w:r>
          </w:p>
        </w:tc>
        <w:tc>
          <w:tcPr>
            <w:tcW w:type="dxa" w:w="1814"/>
            <w:shd w:val="clear" w:fill="E8E8E8"/>
          </w:tcPr>
          <w:p>
            <w:pPr>
              <w:bidi/>
              <w:spacing w:line="276" w:lineRule="auto" w:before="40" w:after="40"/>
              <w:ind w:firstLine="0"/>
              <w:jc w:val="center"/>
            </w:pPr>
            <w:r/>
            <w:r>
              <w:rPr>
                <w:rFonts w:ascii="Traditional Arabic" w:hAnsi="Traditional Arabic" w:cs="Traditional Arabic"/>
                <w:b w:val="1"/>
                <w:bCs w:val="1"/>
                <w:i w:val="0"/>
                <w:iCs w:val="0"/>
                <w:sz w:val="21"/>
                <w:szCs w:val="21"/>
                <w:rtl w:val="1"/>
              </w:rPr>
              <w:t>النقد الموجز</w:t>
            </w:r>
          </w:p>
        </w:tc>
        <w:tc>
          <w:tcPr>
            <w:tcW w:type="dxa" w:w="1701"/>
            <w:shd w:val="clear" w:fill="E8E8E8"/>
          </w:tcPr>
          <w:p>
            <w:pPr>
              <w:bidi/>
              <w:spacing w:line="276" w:lineRule="auto" w:before="40" w:after="40"/>
              <w:ind w:firstLine="0"/>
              <w:jc w:val="center"/>
            </w:pPr>
            <w:r/>
            <w:r>
              <w:rPr>
                <w:rFonts w:ascii="Traditional Arabic" w:hAnsi="Traditional Arabic" w:cs="Traditional Arabic"/>
                <w:b w:val="1"/>
                <w:bCs w:val="1"/>
                <w:i w:val="0"/>
                <w:iCs w:val="0"/>
                <w:sz w:val="21"/>
                <w:szCs w:val="21"/>
                <w:rtl w:val="1"/>
              </w:rPr>
              <w:t>مثال معاصر</w:t>
            </w:r>
          </w:p>
        </w:tc>
      </w:tr>
      <w:tr>
        <w:trPr>
          <w:cantSplit/>
        </w:trPr>
        <w:tc>
          <w:tcPr>
            <w:tcW w:type="dxa" w:w="1701"/>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العقلانية الكلاسيكية (روسو، ميل)</w:t>
            </w:r>
          </w:p>
        </w:tc>
        <w:tc>
          <w:tcPr>
            <w:tcW w:type="dxa" w:w="1928"/>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الرأي العام يميل إلى الصواب حين تتوافر الحرية والتعليم</w:t>
            </w:r>
          </w:p>
        </w:tc>
        <w:tc>
          <w:tcPr>
            <w:tcW w:type="dxa" w:w="1928"/>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حوار علني تختبر فيه الحجج بالنقد</w:t>
            </w:r>
          </w:p>
        </w:tc>
        <w:tc>
          <w:tcPr>
            <w:tcW w:type="dxa" w:w="1814"/>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تفترض العقلانية بدل أن تثبتها، وتغفل الانحياز التأكيدي</w:t>
            </w:r>
          </w:p>
        </w:tc>
        <w:tc>
          <w:tcPr>
            <w:tcW w:type="dxa" w:w="1701"/>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النقاشات الطويلة في منتديات تقنية تنتج قراراً أفضل من تصويت سريع</w:t>
            </w:r>
          </w:p>
        </w:tc>
      </w:tr>
      <w:tr>
        <w:trPr>
          <w:cantSplit/>
        </w:trPr>
        <w:tc>
          <w:tcPr>
            <w:tcW w:type="dxa" w:w="1701"/>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النخبوية النقدية (ليبمان، 1922)</w:t>
            </w:r>
          </w:p>
        </w:tc>
        <w:tc>
          <w:tcPr>
            <w:tcW w:type="dxa" w:w="1928"/>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الجمهور يتعامل مع صور ذهنية مختزلة لا مع الواقع</w:t>
            </w:r>
          </w:p>
        </w:tc>
        <w:tc>
          <w:tcPr>
            <w:tcW w:type="dxa" w:w="1928"/>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وساطة نخبة الخبراء والمحررين في بناء «الواقع»</w:t>
            </w:r>
          </w:p>
        </w:tc>
        <w:tc>
          <w:tcPr>
            <w:tcW w:type="dxa" w:w="1814"/>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تقلل من قدرة الجمهور على التعلم، وتتجاهل الوساطات الجديدة</w:t>
            </w:r>
          </w:p>
        </w:tc>
        <w:tc>
          <w:tcPr>
            <w:tcW w:type="dxa" w:w="1701"/>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اختزال ملف اقتصادي معقد في عنوان واحد ومقطع قصير</w:t>
            </w:r>
          </w:p>
        </w:tc>
      </w:tr>
      <w:tr>
        <w:trPr>
          <w:cantSplit/>
        </w:trPr>
        <w:tc>
          <w:tcPr>
            <w:tcW w:type="dxa" w:w="1701"/>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المجال العام (هابرماس، 1962)</w:t>
            </w:r>
          </w:p>
        </w:tc>
        <w:tc>
          <w:tcPr>
            <w:tcW w:type="dxa" w:w="1928"/>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الرأي العام نتاج نقاش عقلاني معلن بين نداء</w:t>
            </w:r>
          </w:p>
        </w:tc>
        <w:tc>
          <w:tcPr>
            <w:tcW w:type="dxa" w:w="1928"/>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فضاء عام حر ينتج رأياً عبر النقد المتبادل</w:t>
            </w:r>
          </w:p>
        </w:tc>
        <w:tc>
          <w:tcPr>
            <w:tcW w:type="dxa" w:w="1814"/>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يفترض شروطاً مثالية، ويصعب قياس «العلنية» و«جودة النقاش»</w:t>
            </w:r>
          </w:p>
        </w:tc>
        <w:tc>
          <w:tcPr>
            <w:tcW w:type="dxa" w:w="1701"/>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مساحات النقاش المفتوحة التي تجمع خبراء وغير خبراء</w:t>
            </w:r>
          </w:p>
        </w:tc>
      </w:tr>
      <w:tr>
        <w:trPr>
          <w:cantSplit/>
        </w:trPr>
        <w:tc>
          <w:tcPr>
            <w:tcW w:type="dxa" w:w="1701"/>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سيكولوجية الجماهير (لوبون، 1895)</w:t>
            </w:r>
          </w:p>
        </w:tc>
        <w:tc>
          <w:tcPr>
            <w:tcW w:type="dxa" w:w="1928"/>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الفرد في الجمهور يفقد جزءاً من كوابحه العقلية</w:t>
            </w:r>
          </w:p>
        </w:tc>
        <w:tc>
          <w:tcPr>
            <w:tcW w:type="dxa" w:w="1928"/>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العدوى والانفعال المشترك وقابلية الإيحاء</w:t>
            </w:r>
          </w:p>
        </w:tc>
        <w:tc>
          <w:tcPr>
            <w:tcW w:type="dxa" w:w="1814"/>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تعميمية وتحقيرية، وتفسر الانفعال لا الرأي المنظم</w:t>
            </w:r>
          </w:p>
        </w:tc>
        <w:tc>
          <w:tcPr>
            <w:tcW w:type="dxa" w:w="1701"/>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موجات الغضب الرقمية السريعة بعد حادثة واحدة</w:t>
            </w:r>
          </w:p>
        </w:tc>
      </w:tr>
      <w:tr>
        <w:trPr>
          <w:cantSplit/>
        </w:trPr>
        <w:tc>
          <w:tcPr>
            <w:tcW w:type="dxa" w:w="1701"/>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التدفق على مرحلتين (لازارسفيلد وكاتس، 1944 و1955)</w:t>
            </w:r>
          </w:p>
        </w:tc>
        <w:tc>
          <w:tcPr>
            <w:tcW w:type="dxa" w:w="1928"/>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تأثير الوسائل محدود ويمر عبر وسطاء بشريين</w:t>
            </w:r>
          </w:p>
        </w:tc>
        <w:tc>
          <w:tcPr>
            <w:tcW w:type="dxa" w:w="1928"/>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من الوسيلة إلى قادة الرأي ثم إلى الجماعة بالاتصال الشخصي</w:t>
            </w:r>
          </w:p>
        </w:tc>
        <w:tc>
          <w:tcPr>
            <w:tcW w:type="dxa" w:w="1814"/>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تفترض قادة رأي ثابتين، وتصعب في الشبكات المتشابكة</w:t>
            </w:r>
          </w:p>
        </w:tc>
        <w:tc>
          <w:tcPr>
            <w:tcW w:type="dxa" w:w="1701"/>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وصول الخبر إلى مجموعة العمل عبر زميل موثوق لا عبر المصدر</w:t>
            </w:r>
          </w:p>
        </w:tc>
      </w:tr>
      <w:tr>
        <w:trPr>
          <w:cantSplit/>
        </w:trPr>
        <w:tc>
          <w:tcPr>
            <w:tcW w:type="dxa" w:w="1701"/>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دوامة الصمت (نويل-نيومان، 1974)</w:t>
            </w:r>
          </w:p>
        </w:tc>
        <w:tc>
          <w:tcPr>
            <w:tcW w:type="dxa" w:w="1928"/>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الخوف من العزلة يدفع الأقليات إلى الصمت</w:t>
            </w:r>
          </w:p>
        </w:tc>
        <w:tc>
          <w:tcPr>
            <w:tcW w:type="dxa" w:w="1928"/>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قراءة مناخ الرأي ثم إعلان الموقف أو كتمانه</w:t>
            </w:r>
          </w:p>
        </w:tc>
        <w:tc>
          <w:tcPr>
            <w:tcW w:type="dxa" w:w="1814"/>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صعوبة قياس «الحس شبه الإحصائي»، وافتراض تساوي كلفة العزلة</w:t>
            </w:r>
          </w:p>
        </w:tc>
        <w:tc>
          <w:tcPr>
            <w:tcW w:type="dxa" w:w="1701"/>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تراجع ظهور رأي مخالف في مجموعة واسعة بعد سخرية علنية منه</w:t>
            </w:r>
          </w:p>
        </w:tc>
      </w:tr>
      <w:tr>
        <w:trPr>
          <w:cantSplit/>
        </w:trPr>
        <w:tc>
          <w:tcPr>
            <w:tcW w:type="dxa" w:w="1701"/>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ترتيب الأولويات (ماكومبس وشو، 1972)</w:t>
            </w:r>
          </w:p>
        </w:tc>
        <w:tc>
          <w:tcPr>
            <w:tcW w:type="dxa" w:w="1928"/>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الوسائل تخبرنا بماذا نفكر فيه لا بماذا نفكر</w:t>
            </w:r>
          </w:p>
        </w:tc>
        <w:tc>
          <w:tcPr>
            <w:tcW w:type="dxa" w:w="1928"/>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تكرار التغطية وإبراز الموضع والحجم</w:t>
            </w:r>
          </w:p>
        </w:tc>
        <w:tc>
          <w:tcPr>
            <w:tcW w:type="dxa" w:w="1814"/>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يتحول في البيئة الرقمية إلى ترتيب خوارزمي يصعب فحصه</w:t>
            </w:r>
          </w:p>
        </w:tc>
        <w:tc>
          <w:tcPr>
            <w:tcW w:type="dxa" w:w="1701"/>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تصدر موضوع واحد قوائم «الأكثر تداولاً» فيعد أهم الموضوعات</w:t>
            </w:r>
          </w:p>
        </w:tc>
      </w:tr>
      <w:tr>
        <w:trPr>
          <w:cantSplit/>
        </w:trPr>
        <w:tc>
          <w:tcPr>
            <w:tcW w:type="dxa" w:w="1701"/>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الاعتماد على وسائل الإعلام (بال-روكيتش ودي فلور، 1976)</w:t>
            </w:r>
          </w:p>
        </w:tc>
        <w:tc>
          <w:tcPr>
            <w:tcW w:type="dxa" w:w="1928"/>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كلما زاد اعتماد الجمهور على الوسيلة زاد احتمال التأثر</w:t>
            </w:r>
          </w:p>
        </w:tc>
        <w:tc>
          <w:tcPr>
            <w:tcW w:type="dxa" w:w="1928"/>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حلقة دورية بين الحاجة إلى المعلومة وقوة الرسالة</w:t>
            </w:r>
          </w:p>
        </w:tc>
        <w:tc>
          <w:tcPr>
            <w:tcW w:type="dxa" w:w="1814"/>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يصف شرط التأثير أكثر مما يفسر مضمونه</w:t>
            </w:r>
          </w:p>
        </w:tc>
        <w:tc>
          <w:tcPr>
            <w:tcW w:type="dxa" w:w="1701"/>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تضاعف متابعة الأخبار الاقتصادية في أوقات انقطاع الخدمات</w:t>
            </w:r>
          </w:p>
        </w:tc>
      </w:tr>
      <w:tr>
        <w:trPr>
          <w:cantSplit/>
        </w:trPr>
        <w:tc>
          <w:tcPr>
            <w:tcW w:type="dxa" w:w="1701"/>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التأطير (إنتمان، 1993)</w:t>
            </w:r>
          </w:p>
        </w:tc>
        <w:tc>
          <w:tcPr>
            <w:tcW w:type="dxa" w:w="1928"/>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إبراز جوانب من الواقع يحدد فهم الموضوع والحل المقترح</w:t>
            </w:r>
          </w:p>
        </w:tc>
        <w:tc>
          <w:tcPr>
            <w:tcW w:type="dxa" w:w="1928"/>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اختيار الكلمات والأمثلة والصور لبناء إطار</w:t>
            </w:r>
          </w:p>
        </w:tc>
        <w:tc>
          <w:tcPr>
            <w:tcW w:type="dxa" w:w="1814"/>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يصعب الفصل بين الإطار والمضمون عند التحليل</w:t>
            </w:r>
          </w:p>
        </w:tc>
        <w:tc>
          <w:tcPr>
            <w:tcW w:type="dxa" w:w="1701"/>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وصف زيادة الأسعار مرة «بضغط خارجي» ومرة «بفشل سياسة»</w:t>
            </w:r>
          </w:p>
        </w:tc>
      </w:tr>
      <w:tr>
        <w:trPr>
          <w:cantSplit/>
        </w:trPr>
        <w:tc>
          <w:tcPr>
            <w:tcW w:type="dxa" w:w="1701"/>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القراءة الشبكية (سانستين، 2001؛ باريسر، 2011)</w:t>
            </w:r>
          </w:p>
        </w:tc>
        <w:tc>
          <w:tcPr>
            <w:tcW w:type="dxa" w:w="1928"/>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أنظمة التوصية تحاصر المستخدم في محتوى مشابه لما اختاره</w:t>
            </w:r>
          </w:p>
        </w:tc>
        <w:tc>
          <w:tcPr>
            <w:tcW w:type="dxa" w:w="1928"/>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تعلم آلي من بيانات التفاعل يعيد إنتاج الانحياز</w:t>
            </w:r>
          </w:p>
        </w:tc>
        <w:tc>
          <w:tcPr>
            <w:tcW w:type="dxa" w:w="1814"/>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الفقاعات ليست كاملة، وكثير من المستخدمين يتعرضون لمحتوى متنوع</w:t>
            </w:r>
          </w:p>
        </w:tc>
        <w:tc>
          <w:tcPr>
            <w:tcW w:type="dxa" w:w="1701"/>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توصيات متكررة لموضوع واحد بعد نقرة عابرة عليه</w:t>
            </w:r>
          </w:p>
        </w:tc>
      </w:tr>
    </w:tbl>
    <w:p>
      <w:pPr>
        <w:bidi/>
        <w:spacing w:line="240" w:lineRule="auto" w:before="0" w:after="0"/>
        <w:jc w:val="both"/>
      </w:pPr>
    </w:p>
    <w:p>
      <w:pPr>
        <w:bidi/>
        <w:spacing w:line="360" w:lineRule="auto" w:before="0" w:after="120"/>
        <w:ind w:firstLine="567"/>
        <w:jc w:val="both"/>
      </w:pPr>
      <w:r>
        <w:rPr>
          <w:rFonts w:ascii="Traditional Arabic" w:hAnsi="Traditional Arabic" w:cs="Traditional Arabic"/>
          <w:b w:val="0"/>
          <w:bCs w:val="0"/>
          <w:i w:val="0"/>
          <w:iCs w:val="0"/>
          <w:sz w:val="28"/>
          <w:szCs w:val="28"/>
          <w:rtl w:val="1"/>
        </w:rPr>
        <w:t>ويلخص الشكل (1) الآتي مسار انتقال الرأي من الحدث إلى الجمهور، وفق تركيب بين ترتيب الأولويات والتدفق على مرحلتين والتأطير ودوامة الصمت.</w:t>
      </w:r>
    </w:p>
    <w:p>
      <w:pPr>
        <w:keepNext/>
        <w:bidi/>
        <w:spacing w:line="240" w:lineRule="auto" w:before="120" w:after="40"/>
        <w:ind w:firstLine="0"/>
        <w:jc w:val="center"/>
      </w:pPr>
      <w:r>
        <w:drawing>
          <wp:inline xmlns:a="http://schemas.openxmlformats.org/drawingml/2006/main" xmlns:pic="http://schemas.openxmlformats.org/drawingml/2006/picture">
            <wp:extent cx="4752000" cy="5104603"/>
            <wp:docPr id="1" name="Picture 1"/>
            <wp:cNvGraphicFramePr>
              <a:graphicFrameLocks noChangeAspect="1"/>
            </wp:cNvGraphicFramePr>
            <a:graphic>
              <a:graphicData uri="http://schemas.openxmlformats.org/drawingml/2006/picture">
                <pic:pic>
                  <pic:nvPicPr>
                    <pic:cNvPr id="0" name="fig1.png"/>
                    <pic:cNvPicPr/>
                  </pic:nvPicPr>
                  <pic:blipFill>
                    <a:blip r:embed="rId11"/>
                    <a:stretch>
                      <a:fillRect/>
                    </a:stretch>
                  </pic:blipFill>
                  <pic:spPr>
                    <a:xfrm>
                      <a:off x="0" y="0"/>
                      <a:ext cx="4752000" cy="5104603"/>
                    </a:xfrm>
                    <a:prstGeom prst="rect"/>
                  </pic:spPr>
                </pic:pic>
              </a:graphicData>
            </a:graphic>
          </wp:inline>
        </w:drawing>
      </w:r>
    </w:p>
    <w:p>
      <w:pPr>
        <w:keepNext/>
        <w:bidi/>
        <w:spacing w:line="276" w:lineRule="auto" w:before="80" w:after="200"/>
        <w:ind w:firstLine="0"/>
        <w:jc w:val="center"/>
      </w:pPr>
      <w:bookmarkStart w:id="106" w:name="_Fig1"/>
      <w:r>
        <w:rPr>
          <w:rFonts w:ascii="Traditional Arabic" w:hAnsi="Traditional Arabic" w:cs="Traditional Arabic"/>
          <w:b w:val="1"/>
          <w:bCs w:val="1"/>
          <w:i w:val="0"/>
          <w:iCs w:val="0"/>
          <w:sz w:val="24"/>
          <w:szCs w:val="24"/>
          <w:rtl w:val="1"/>
        </w:rPr>
        <w:t>الشكل (1): مسار انتقال الرأي من الحدث إلى الجمهور (من إعداد الباحثين)</w:t>
      </w:r>
      <w:bookmarkEnd w:id="106"/>
    </w:p>
    <w:p>
      <w:pPr>
        <w:pStyle w:val="Heading2"/>
        <w:keepNext/>
        <w:bidi/>
        <w:spacing w:line="312" w:lineRule="auto" w:before="200" w:after="120"/>
        <w:ind w:firstLine="0"/>
        <w:jc w:val="right"/>
      </w:pPr>
      <w:r>
        <w:rPr>
          <w:rFonts w:ascii="Traditional Arabic" w:hAnsi="Traditional Arabic" w:cs="Traditional Arabic"/>
          <w:b w:val="1"/>
          <w:bCs w:val="1"/>
          <w:i w:val="0"/>
          <w:iCs w:val="0"/>
          <w:sz w:val="32"/>
          <w:szCs w:val="32"/>
          <w:rtl w:val="1"/>
        </w:rPr>
        <w:t>3.13 تركيب نظري: خمس حلقات في مسار التشكل</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يمكن الآن تركيب النظريات السابقة في نموذج من خمس حلقات:</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الحلقة الأولى: الحدث أو القضية.</w:t>
      </w:r>
      <w:r>
        <w:rPr>
          <w:rFonts w:ascii="Traditional Arabic" w:hAnsi="Traditional Arabic" w:cs="Traditional Arabic"/>
          <w:b w:val="0"/>
          <w:bCs w:val="0"/>
          <w:i w:val="0"/>
          <w:iCs w:val="0"/>
          <w:sz w:val="28"/>
          <w:szCs w:val="28"/>
          <w:rtl w:val="1"/>
        </w:rPr>
        <w:t xml:space="preserve"> يقع الحدث في العالم، لكنه لا يصل إلى الناس إلا بعد أن يصاغ في خبر أو منشور.</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الحلقة الثانية: البوابة.</w:t>
      </w:r>
      <w:r>
        <w:rPr>
          <w:rFonts w:ascii="Traditional Arabic" w:hAnsi="Traditional Arabic" w:cs="Traditional Arabic"/>
          <w:b w:val="0"/>
          <w:bCs w:val="0"/>
          <w:i w:val="0"/>
          <w:iCs w:val="0"/>
          <w:sz w:val="28"/>
          <w:szCs w:val="28"/>
          <w:rtl w:val="1"/>
        </w:rPr>
        <w:t xml:space="preserve"> هنا تعمل الوسيلة أو المنصة كمرشح: تختار ما ينشر، وترتب ما يهم، وتؤطر ما تنشر.</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الحلقة الثالثة: الوسيط البشري.</w:t>
      </w:r>
      <w:r>
        <w:rPr>
          <w:rFonts w:ascii="Traditional Arabic" w:hAnsi="Traditional Arabic" w:cs="Traditional Arabic"/>
          <w:b w:val="0"/>
          <w:bCs w:val="0"/>
          <w:i w:val="0"/>
          <w:iCs w:val="0"/>
          <w:sz w:val="28"/>
          <w:szCs w:val="28"/>
          <w:rtl w:val="1"/>
        </w:rPr>
        <w:t xml:space="preserve"> يعيد قادة الرأي في الجماعات الصغيرة صياغة الرسالة وتمريرها، فتفقد بعض دقتها وتكسب بعض الثقة.</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الحلقة الرابعة: المناخ الاجتماعي.</w:t>
      </w:r>
      <w:r>
        <w:rPr>
          <w:rFonts w:ascii="Traditional Arabic" w:hAnsi="Traditional Arabic" w:cs="Traditional Arabic"/>
          <w:b w:val="0"/>
          <w:bCs w:val="0"/>
          <w:i w:val="0"/>
          <w:iCs w:val="0"/>
          <w:sz w:val="28"/>
          <w:szCs w:val="28"/>
          <w:rtl w:val="1"/>
        </w:rPr>
        <w:t xml:space="preserve"> يقرأ الفرد ما يظنه موقف الأغلبية، فيعلن رأيه أو يكتمه، فتتغير بذلك صورة الأغلبية نفسها.</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الحلقة الخامسة: التعبير المقيس.</w:t>
      </w:r>
      <w:r>
        <w:rPr>
          <w:rFonts w:ascii="Traditional Arabic" w:hAnsi="Traditional Arabic" w:cs="Traditional Arabic"/>
          <w:b w:val="0"/>
          <w:bCs w:val="0"/>
          <w:i w:val="0"/>
          <w:iCs w:val="0"/>
          <w:sz w:val="28"/>
          <w:szCs w:val="28"/>
          <w:rtl w:val="1"/>
        </w:rPr>
        <w:t xml:space="preserve"> تلتقط الأداة (استطلاع، تحليل مشاعر، ملاحظة) ما ظهر من الآراء، فتنتج صورة قد تكون دقيقة في القياس وخاطئة في التفسير إن لم تقرأ في ضوء الحلقات الأربع السابقة.</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 xml:space="preserve">وخلاصة هذا المبحث أن الرأي العام ليس معطى جاهزاً نلتقطه، بل </w:t>
      </w:r>
      <w:r>
        <w:rPr>
          <w:rFonts w:ascii="Traditional Arabic" w:hAnsi="Traditional Arabic" w:cs="Traditional Arabic"/>
          <w:b w:val="1"/>
          <w:bCs w:val="1"/>
          <w:i w:val="0"/>
          <w:iCs w:val="0"/>
          <w:sz w:val="28"/>
          <w:szCs w:val="28"/>
          <w:rtl w:val="1"/>
        </w:rPr>
        <w:t>حصيلة سلسلة من الوساطات</w:t>
      </w:r>
      <w:r>
        <w:rPr>
          <w:rFonts w:ascii="Traditional Arabic" w:hAnsi="Traditional Arabic" w:cs="Traditional Arabic"/>
          <w:b w:val="0"/>
          <w:bCs w:val="0"/>
          <w:i w:val="0"/>
          <w:iCs w:val="0"/>
          <w:sz w:val="28"/>
          <w:szCs w:val="28"/>
          <w:rtl w:val="1"/>
        </w:rPr>
        <w:t>. ومن ثم فإن الإجابة عن سؤال وظيفتنا - كيف يزيد التعليم والاتصال وزن الرأي العام؟ - لا تكتمل إلا إذا أضفنا: إن التعليم والاتصال يزيدان وزن الرأي العام، لكنهما يزيدان في الوقت نفسه عدد الوساطات التي تعمل عليه قبل أن يصل إلى القرار.</w:t>
      </w:r>
    </w:p>
    <w:p>
      <w:pPr>
        <w:pStyle w:val="Heading1"/>
        <w:keepNext/>
        <w:pageBreakBefore/>
        <w:bidi/>
        <w:spacing w:line="312" w:lineRule="auto" w:before="0" w:after="160"/>
        <w:ind w:firstLine="0"/>
        <w:jc w:val="right"/>
      </w:pPr>
      <w:r>
        <w:rPr>
          <w:rFonts w:ascii="Traditional Arabic" w:hAnsi="Traditional Arabic" w:cs="Traditional Arabic"/>
          <w:b w:val="1"/>
          <w:bCs w:val="1"/>
          <w:i w:val="0"/>
          <w:iCs w:val="0"/>
          <w:sz w:val="36"/>
          <w:szCs w:val="36"/>
          <w:rtl w:val="1"/>
        </w:rPr>
        <w:t>المبحث الرابع: الخلفية الثقافية والنفسية والاجتماعية للرأي العام</w:t>
      </w:r>
    </w:p>
    <w:p>
      <w:pPr>
        <w:bidi/>
        <w:spacing w:line="276" w:lineRule="auto" w:before="0" w:after="200"/>
        <w:ind w:firstLine="0"/>
        <w:jc w:val="right"/>
      </w:pPr>
      <w:r>
        <w:rPr>
          <w:rFonts w:ascii="Traditional Arabic" w:hAnsi="Traditional Arabic" w:cs="Traditional Arabic"/>
          <w:b w:val="1"/>
          <w:bCs w:val="1"/>
          <w:sz w:val="24"/>
          <w:szCs w:val="24"/>
          <w:rtl w:val="1"/>
        </w:rPr>
        <w:t>بقلم: وديع هيثم سلوم (الرقم الجامعي: wadee_440350)</w:t>
      </w:r>
    </w:p>
    <w:p>
      <w:pPr>
        <w:pStyle w:val="Heading2"/>
        <w:keepNext/>
        <w:bidi/>
        <w:spacing w:line="312" w:lineRule="auto" w:before="200" w:after="120"/>
        <w:ind w:firstLine="0"/>
        <w:jc w:val="right"/>
      </w:pPr>
      <w:r>
        <w:rPr>
          <w:rFonts w:ascii="Traditional Arabic" w:hAnsi="Traditional Arabic" w:cs="Traditional Arabic"/>
          <w:b w:val="1"/>
          <w:bCs w:val="1"/>
          <w:i w:val="0"/>
          <w:iCs w:val="0"/>
          <w:sz w:val="32"/>
          <w:szCs w:val="32"/>
          <w:rtl w:val="1"/>
        </w:rPr>
        <w:t>4.1 مقدمة: ثلاث طبقات لا ثلاث قوائم</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حين يسأل أحدنا: لماذا يرى الناس في قضية واحدة آراء متباعدة إلى هذا الحد؟ يسهل الجواب بأن «الأذواق مختلفة» أو «الناس لا تفهم». لكن هذا الجواب لا يشرح شيئاً، لأنه يعيد الظاهرة إلى نفسها. والواقع أن الرأي الذي نراه في الشارع أو على الشاشة هو النتيجة الظاهرة لثلاث طبقات تعمل في وقت واحد: طبقة ثقافية تعطي الرأي مفرداته ومعانيه، وطبقة نفسية تعطي الرأي حدته ودرجة تعبير صاحبه عنه، وطبقة اجتماعية تعطي الرأي موقعه في شبكة علاقات صاحبه ومصالحه.</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وسأحاول في هذا المبحث أن أظهر هذه الطبقات كما تظهر في الحياة اليومية، لا كما ترتب في الكتب. وسأستعين بموضعين أعرفهما جيداً: عملي في المصرف، ومجموعتي الكشفية. وأشير منذ البداية إلى أن هذه ملاحظات محدودة، غير ممثلة إحصائياً، ولا يصح تحويلها إلى أحكام عامة، وإنما تصلح أمثلة توضيحية بشرط أن تختبر لاحقاً بأدوات منظمة.</w:t>
      </w:r>
    </w:p>
    <w:p>
      <w:pPr>
        <w:pStyle w:val="Heading2"/>
        <w:keepNext/>
        <w:bidi/>
        <w:spacing w:line="312" w:lineRule="auto" w:before="200" w:after="120"/>
        <w:ind w:firstLine="0"/>
        <w:jc w:val="right"/>
      </w:pPr>
      <w:r>
        <w:rPr>
          <w:rFonts w:ascii="Traditional Arabic" w:hAnsi="Traditional Arabic" w:cs="Traditional Arabic"/>
          <w:b w:val="1"/>
          <w:bCs w:val="1"/>
          <w:i w:val="0"/>
          <w:iCs w:val="0"/>
          <w:sz w:val="32"/>
          <w:szCs w:val="32"/>
          <w:rtl w:val="1"/>
        </w:rPr>
        <w:t>4.2 الخلفية الثقافية: ما يجعل الرأي مفهوماً قبل أن يكون صحيحاً</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الثقافة ليست معلومات يكتسبها الإنسان، بل هي «الشبكة» التي يفهم بها العالم، وهي تعمل على مستويات عدة:</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القيم.</w:t>
      </w:r>
      <w:r>
        <w:rPr>
          <w:rFonts w:ascii="Traditional Arabic" w:hAnsi="Traditional Arabic" w:cs="Traditional Arabic"/>
          <w:b w:val="0"/>
          <w:bCs w:val="0"/>
          <w:i w:val="0"/>
          <w:iCs w:val="0"/>
          <w:sz w:val="28"/>
          <w:szCs w:val="28"/>
          <w:rtl w:val="1"/>
        </w:rPr>
        <w:t xml:space="preserve"> تتحدد أهمية القضية بحسب موقعها من قيم الجماعة. فمجتمع يقدم الأسرة على الفرد سيفسر قضية سكن أو تعليم بطريقة مختلفة عن مجتمع يقدم الحرية الفردية. وفي عملي في المصرف لاحظت أن العميل الذي يعتبر «الستر» قيمة عليا يستحي من الشكوى من رسوم صغيرة، بينما يعتبر آخر الشكوى حقاً شخصياً لا يتنازل عنه. الواقعة نفسها، والقيمة مختلفة، والرأي مختلف.</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اللغة.</w:t>
      </w:r>
      <w:r>
        <w:rPr>
          <w:rFonts w:ascii="Traditional Arabic" w:hAnsi="Traditional Arabic" w:cs="Traditional Arabic"/>
          <w:b w:val="0"/>
          <w:bCs w:val="0"/>
          <w:i w:val="0"/>
          <w:iCs w:val="0"/>
          <w:sz w:val="28"/>
          <w:szCs w:val="28"/>
          <w:rtl w:val="1"/>
        </w:rPr>
        <w:t xml:space="preserve"> للغة أثر مباشر في تشكيل الرأي، لأن الكلمة لا تصف الموضوع فقط بل تقيمه. فوصف رسم مصرفي بأنه «عمولة» أو «اقتطاع» أو «خدمة» يغير استجابة الناس قبل أن تتغير الأرقام. وقد أشار ليبمان إلى أن الصور النمطية تتكون لغوياً وثقافياً قبل أن تختبر تجريبياً (ليبمان، 1922: 3)</w:t>
      </w:r>
      <w:r>
        <w:rPr>
          <w:rStyle w:val="FootnoteReference"/>
          <w:rFonts w:ascii="Traditional Arabic" w:hAnsi="Traditional Arabic" w:cs="Traditional Arabic"/>
          <w:sz w:val="28"/>
          <w:szCs w:val="28"/>
          <w:rtl w:val="1"/>
        </w:rPr>
        <w:footnoteReference w:id="30"/>
      </w:r>
      <w:r>
        <w:rPr>
          <w:rFonts w:ascii="Traditional Arabic" w:hAnsi="Traditional Arabic" w:cs="Traditional Arabic"/>
          <w:b w:val="0"/>
          <w:bCs w:val="0"/>
          <w:i w:val="0"/>
          <w:iCs w:val="0"/>
          <w:sz w:val="28"/>
          <w:szCs w:val="28"/>
          <w:rtl w:val="1"/>
        </w:rPr>
        <w:t>.</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العادات.</w:t>
      </w:r>
      <w:r>
        <w:rPr>
          <w:rFonts w:ascii="Traditional Arabic" w:hAnsi="Traditional Arabic" w:cs="Traditional Arabic"/>
          <w:b w:val="0"/>
          <w:bCs w:val="0"/>
          <w:i w:val="0"/>
          <w:iCs w:val="0"/>
          <w:sz w:val="28"/>
          <w:szCs w:val="28"/>
          <w:rtl w:val="1"/>
        </w:rPr>
        <w:t xml:space="preserve"> تنتج العادات ما يمكن تسميته «الرأي الجاهز»: أحكام متكررة تتخذ من دون فحص، لأن الجماعة اعتادت عليها. ومن هنا كان تغيير العادات أصعب من تغيير المعلومات، وهو ما يفسر مقاومة كثير من الناس للتحول إلى الدفع الإلكتروني رغم اقتناعهم بفائدته.</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الذاكرة الجماعية.</w:t>
      </w:r>
      <w:r>
        <w:rPr>
          <w:rFonts w:ascii="Traditional Arabic" w:hAnsi="Traditional Arabic" w:cs="Traditional Arabic"/>
          <w:b w:val="0"/>
          <w:bCs w:val="0"/>
          <w:i w:val="0"/>
          <w:iCs w:val="0"/>
          <w:sz w:val="28"/>
          <w:szCs w:val="28"/>
          <w:rtl w:val="1"/>
        </w:rPr>
        <w:t xml:space="preserve"> للأحداث الكبرى ذاكرة تنتقل بين الأجيال وتؤثر في الاستجابات الجديدة. فالأزمة الاقتصادية الماضية قد تصبح إطاراً يقرأ به أي إجراء اقتصادي جديد، حتى لو اختلفت ظروفه. وهذه الذاكرة تفسر لماذا تكون ردود الفعل في بعض المجتمعات أسرع وأشد مما تستدعيه الواقعة الحاضرة.</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مستوى التعليم.</w:t>
      </w:r>
      <w:r>
        <w:rPr>
          <w:rFonts w:ascii="Traditional Arabic" w:hAnsi="Traditional Arabic" w:cs="Traditional Arabic"/>
          <w:b w:val="0"/>
          <w:bCs w:val="0"/>
          <w:i w:val="0"/>
          <w:iCs w:val="0"/>
          <w:sz w:val="28"/>
          <w:szCs w:val="28"/>
          <w:rtl w:val="1"/>
        </w:rPr>
        <w:t xml:space="preserve"> التعليم يزيد القدرة على فهم القضايا العامة، لكنه لا يضمن الرأي الصحيح؛ فهو يمنح أدوات التحليل ولا يمنح بالضرورة الاستعداد للتحقق. ولهذا نجد أن بعض أكثر الناس تعليماً قد يقع في أخطاء تفسيرية بسبب الثقة الزائدة، وهو ما يجعل مشكلة وظيفتنا أدق مما تبدو: التعليم يرفع سقف النقاش، لكنه لا يلغي الحاجة إلى الضبط المنهجي.</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الثقافة الرقمية.</w:t>
      </w:r>
      <w:r>
        <w:rPr>
          <w:rFonts w:ascii="Traditional Arabic" w:hAnsi="Traditional Arabic" w:cs="Traditional Arabic"/>
          <w:b w:val="0"/>
          <w:bCs w:val="0"/>
          <w:i w:val="0"/>
          <w:iCs w:val="0"/>
          <w:sz w:val="28"/>
          <w:szCs w:val="28"/>
          <w:rtl w:val="1"/>
        </w:rPr>
        <w:t xml:space="preserve"> وهي اليوم جزء أصيل من الخلفية الثقافية، لأنها تحدد كيف يبحث الناس، ومن يثقون به، وما يعتبرونه دليلاً. وقد أظهر تقرير البنك الدولي للتنمية أن الفوائد الرقمية لا تتحقق تلقائياً بمجرد انتشار التقنية، بل تتوقف على المهارات والمؤسسات وشروط الاستخدام</w:t>
      </w:r>
      <w:r>
        <w:rPr>
          <w:rStyle w:val="FootnoteReference"/>
          <w:rFonts w:ascii="Traditional Arabic" w:hAnsi="Traditional Arabic" w:cs="Traditional Arabic"/>
          <w:sz w:val="28"/>
          <w:szCs w:val="28"/>
          <w:rtl w:val="1"/>
        </w:rPr>
        <w:footnoteReference w:id="31"/>
      </w:r>
      <w:r>
        <w:rPr>
          <w:rFonts w:ascii="Traditional Arabic" w:hAnsi="Traditional Arabic" w:cs="Traditional Arabic"/>
          <w:b w:val="0"/>
          <w:bCs w:val="0"/>
          <w:i w:val="0"/>
          <w:iCs w:val="0"/>
          <w:sz w:val="28"/>
          <w:szCs w:val="28"/>
          <w:rtl w:val="1"/>
        </w:rPr>
        <w:t>.</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الاحتكاك بين الشعوب والثقافة العابرة للحدود.</w:t>
      </w:r>
      <w:r>
        <w:rPr>
          <w:rFonts w:ascii="Traditional Arabic" w:hAnsi="Traditional Arabic" w:cs="Traditional Arabic"/>
          <w:b w:val="0"/>
          <w:bCs w:val="0"/>
          <w:i w:val="0"/>
          <w:iCs w:val="0"/>
          <w:sz w:val="28"/>
          <w:szCs w:val="28"/>
          <w:rtl w:val="1"/>
        </w:rPr>
        <w:t xml:space="preserve"> لم تعد الخلفية الثقافية محصورة داخل حدود البلد؛ فالتعرض لتجارب مجتمعات أخرى - عبر العمل أو الدراسة أو الهجرة أو المحتوى الرقمي - ينتج ما يمكن تسميته «أثر المظاهرة»: حين يرى الناس أن مجتمعاً آخر يعيش بمستوى معيشة أو بجودة خدمة معينة، تتغير معاييرهم عن ما ينبغي أن يكون. وقد أشار تقرير البنك الدولي إلى أن تدفق المعلومة الرقمية لا ينتج أثره تلقائياً، بل يمر عبر المهارات والمؤسسات وشروط الاستخدام</w:t>
      </w:r>
      <w:r>
        <w:rPr>
          <w:rStyle w:val="FootnoteReference"/>
          <w:rFonts w:ascii="Traditional Arabic" w:hAnsi="Traditional Arabic" w:cs="Traditional Arabic"/>
          <w:sz w:val="28"/>
          <w:szCs w:val="28"/>
          <w:rtl w:val="1"/>
        </w:rPr>
        <w:footnoteReference w:id="32"/>
      </w:r>
      <w:r>
        <w:rPr>
          <w:rFonts w:ascii="Traditional Arabic" w:hAnsi="Traditional Arabic" w:cs="Traditional Arabic"/>
          <w:b w:val="0"/>
          <w:bCs w:val="0"/>
          <w:i w:val="0"/>
          <w:iCs w:val="0"/>
          <w:sz w:val="28"/>
          <w:szCs w:val="28"/>
          <w:rtl w:val="1"/>
        </w:rPr>
        <w:t>. وترجمة ذلك أن الاحتكاك يرفع سقف التوقعات، وكلما ارتفعت التوقعات زادت حساسية الرأي العام تجاه أي تقصير، وهي نقطة ينبغي أن يتنبه إليها المخطط الاقتصادي.</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وأعود إلى مجموعتي الكشفية: حين اقترحت تغيير موعد الاجتماع الأسبوعي، رفض الأعضاء الاقتراح قبل أن أشرح سببه. وبعد أن شرحت أن التغيير مرتبط بمواعيد الدراسة، تغير الموقف. لم يكن الرفض موجهاً إلى الفكرة، بل إلى ما ظنوه إهمالاً للعادة. وهذا مثال صغير على أن الثقافة تعمل كمرشح يسبق المعلومة.</w:t>
      </w:r>
    </w:p>
    <w:p>
      <w:pPr>
        <w:pStyle w:val="Heading2"/>
        <w:keepNext/>
        <w:bidi/>
        <w:spacing w:line="312" w:lineRule="auto" w:before="200" w:after="120"/>
        <w:ind w:firstLine="0"/>
        <w:jc w:val="right"/>
      </w:pPr>
      <w:r>
        <w:rPr>
          <w:rFonts w:ascii="Traditional Arabic" w:hAnsi="Traditional Arabic" w:cs="Traditional Arabic"/>
          <w:b w:val="1"/>
          <w:bCs w:val="1"/>
          <w:i w:val="0"/>
          <w:iCs w:val="0"/>
          <w:sz w:val="32"/>
          <w:szCs w:val="32"/>
          <w:rtl w:val="1"/>
        </w:rPr>
        <w:t>4.3 الخلفية النفسية: كيف يعالج الفرد المعلومة؟</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إذا كانت الثقافة توفر مفردات الرأي، فإن النفس توفر آلياته. وأهم هذه الآليات:</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الإدراك الانتقائي.</w:t>
      </w:r>
      <w:r>
        <w:rPr>
          <w:rFonts w:ascii="Traditional Arabic" w:hAnsi="Traditional Arabic" w:cs="Traditional Arabic"/>
          <w:b w:val="0"/>
          <w:bCs w:val="0"/>
          <w:i w:val="0"/>
          <w:iCs w:val="0"/>
          <w:sz w:val="28"/>
          <w:szCs w:val="28"/>
          <w:rtl w:val="1"/>
        </w:rPr>
        <w:t xml:space="preserve"> لا يستقبل الإنسان كل ما أمامه، بل ينتقي ما يوافق حاجته ويجنبه ما يزعجه. وفي المصرف يظهر ذلك واضحاً في قراءة العقود: العميل يقرأ البند الذي يهمه (العمولة، أو مدة السداد) ويتجاوز بقية البنود، ثم يقول إنه «لم يكن يعلم».</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الصور النمطية.</w:t>
      </w:r>
      <w:r>
        <w:rPr>
          <w:rFonts w:ascii="Traditional Arabic" w:hAnsi="Traditional Arabic" w:cs="Traditional Arabic"/>
          <w:b w:val="0"/>
          <w:bCs w:val="0"/>
          <w:i w:val="0"/>
          <w:iCs w:val="0"/>
          <w:sz w:val="28"/>
          <w:szCs w:val="28"/>
          <w:rtl w:val="1"/>
        </w:rPr>
        <w:t xml:space="preserve"> هي اختزال يسبق الحكم. وأثرها في الرأي العام خطير لأنها تجعل الفرد يفسر سلوك المؤسسة كلها من خلال تجربة واحدة. ومن خلال عملي في المصرف لاحظت أن عميلاً تعرض مرة لتأخير في معاملة قد يصف المصرف كله بالبطء لسنوات، وأن موقفه هذا لا يتغير بأي إجراء لاحق.</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الخوف من العزلة.</w:t>
      </w:r>
      <w:r>
        <w:rPr>
          <w:rFonts w:ascii="Traditional Arabic" w:hAnsi="Traditional Arabic" w:cs="Traditional Arabic"/>
          <w:b w:val="0"/>
          <w:bCs w:val="0"/>
          <w:i w:val="0"/>
          <w:iCs w:val="0"/>
          <w:sz w:val="28"/>
          <w:szCs w:val="28"/>
          <w:rtl w:val="1"/>
        </w:rPr>
        <w:t xml:space="preserve"> يدفع هذا الخوف الفرد إلى مراقبة محيطه قبل أن يعلن رأيه، وهو الأساس النفسي الذي بنت عليه نويل-نيومان تفسيرها لدوامة الصمت (نويل-نيومان، 1974: 43)</w:t>
      </w:r>
      <w:r>
        <w:rPr>
          <w:rStyle w:val="FootnoteReference"/>
          <w:rFonts w:ascii="Traditional Arabic" w:hAnsi="Traditional Arabic" w:cs="Traditional Arabic"/>
          <w:sz w:val="28"/>
          <w:szCs w:val="28"/>
          <w:rtl w:val="1"/>
        </w:rPr>
        <w:footnoteReference w:id="33"/>
      </w:r>
      <w:r>
        <w:rPr>
          <w:rFonts w:ascii="Traditional Arabic" w:hAnsi="Traditional Arabic" w:cs="Traditional Arabic"/>
          <w:b w:val="0"/>
          <w:bCs w:val="0"/>
          <w:i w:val="0"/>
          <w:iCs w:val="0"/>
          <w:sz w:val="28"/>
          <w:szCs w:val="28"/>
          <w:rtl w:val="1"/>
        </w:rPr>
        <w:t>. وقد لاحظت أن الزميل الذي يخالف الأغلبية في اجتماع عمل يصمت، لا لأنه غير مقتنع، بل لأنه يحسب كلفة الكلام. وقد أشار مسح مؤسسي واسع إلى أن النقاش عبر منصات التواصل لم يكن دائماً أكثر انفتاحاً من النقاش المباشر، وأن قسماً من المستخدمين يتحرج من إبداء آرائه في السياقات المختلطة</w:t>
      </w:r>
      <w:r>
        <w:rPr>
          <w:rStyle w:val="FootnoteReference"/>
          <w:rFonts w:ascii="Traditional Arabic" w:hAnsi="Traditional Arabic" w:cs="Traditional Arabic"/>
          <w:sz w:val="28"/>
          <w:szCs w:val="28"/>
          <w:rtl w:val="1"/>
        </w:rPr>
        <w:footnoteReference w:id="34"/>
      </w:r>
      <w:r>
        <w:rPr>
          <w:rFonts w:ascii="Traditional Arabic" w:hAnsi="Traditional Arabic" w:cs="Traditional Arabic"/>
          <w:b w:val="0"/>
          <w:bCs w:val="0"/>
          <w:i w:val="0"/>
          <w:iCs w:val="0"/>
          <w:sz w:val="28"/>
          <w:szCs w:val="28"/>
          <w:rtl w:val="1"/>
        </w:rPr>
        <w:t>.</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الانحياز التأكيدي.</w:t>
      </w:r>
      <w:r>
        <w:rPr>
          <w:rFonts w:ascii="Traditional Arabic" w:hAnsi="Traditional Arabic" w:cs="Traditional Arabic"/>
          <w:b w:val="0"/>
          <w:bCs w:val="0"/>
          <w:i w:val="0"/>
          <w:iCs w:val="0"/>
          <w:sz w:val="28"/>
          <w:szCs w:val="28"/>
          <w:rtl w:val="1"/>
        </w:rPr>
        <w:t xml:space="preserve"> يميل الفرد إلى البحث عن المعلومة التي تؤكد رأيه وتجنب ما يخالفه، ويشتد هذا الميل حين يكون الرأي مرتبطاً بهويته (فيستنجر، 1957: الفصل الأول)</w:t>
      </w:r>
      <w:r>
        <w:rPr>
          <w:rStyle w:val="FootnoteReference"/>
          <w:rFonts w:ascii="Traditional Arabic" w:hAnsi="Traditional Arabic" w:cs="Traditional Arabic"/>
          <w:sz w:val="28"/>
          <w:szCs w:val="28"/>
          <w:rtl w:val="1"/>
        </w:rPr>
        <w:footnoteReference w:id="35"/>
      </w:r>
      <w:r>
        <w:rPr>
          <w:rFonts w:ascii="Traditional Arabic" w:hAnsi="Traditional Arabic" w:cs="Traditional Arabic"/>
          <w:b w:val="0"/>
          <w:bCs w:val="0"/>
          <w:i w:val="0"/>
          <w:iCs w:val="0"/>
          <w:sz w:val="28"/>
          <w:szCs w:val="28"/>
          <w:rtl w:val="1"/>
        </w:rPr>
        <w:t>.</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العاطفة.</w:t>
      </w:r>
      <w:r>
        <w:rPr>
          <w:rFonts w:ascii="Traditional Arabic" w:hAnsi="Traditional Arabic" w:cs="Traditional Arabic"/>
          <w:b w:val="0"/>
          <w:bCs w:val="0"/>
          <w:i w:val="0"/>
          <w:iCs w:val="0"/>
          <w:sz w:val="28"/>
          <w:szCs w:val="28"/>
          <w:rtl w:val="1"/>
        </w:rPr>
        <w:t xml:space="preserve"> ليست العاطفة عيباً في الرأي، بل شرط لحركته. فمن دون عاطفة لا يصبح الموضوع مهماً. لكن العاطفة حين تستثار صناعياً - بالخوف أو الغضب - تخرج الرأي من دائرة التقدير إلى دائرة رد الفعل.</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الثقة.</w:t>
      </w:r>
      <w:r>
        <w:rPr>
          <w:rFonts w:ascii="Traditional Arabic" w:hAnsi="Traditional Arabic" w:cs="Traditional Arabic"/>
          <w:b w:val="0"/>
          <w:bCs w:val="0"/>
          <w:i w:val="0"/>
          <w:iCs w:val="0"/>
          <w:sz w:val="28"/>
          <w:szCs w:val="28"/>
          <w:rtl w:val="1"/>
        </w:rPr>
        <w:t xml:space="preserve"> الثقة هي المكون النفسي الذي يربط الفرد بالمؤسسة، وهي متغير قابل للقياس. وقد أظهر مسح مؤسسي حديث أن نسبة من يثقون ثقة عالية أو متوسطة في حكوماتهم بلغت نحو تسعة وثلاثين في المئة في ثلاثين بلداً، وأن نسبة من يثقون ثقة منخفضة أو معدومة بلغت نحو أربعة وأربعين في المئة</w:t>
      </w:r>
      <w:r>
        <w:rPr>
          <w:rStyle w:val="FootnoteReference"/>
          <w:rFonts w:ascii="Traditional Arabic" w:hAnsi="Traditional Arabic" w:cs="Traditional Arabic"/>
          <w:sz w:val="28"/>
          <w:szCs w:val="28"/>
          <w:rtl w:val="1"/>
        </w:rPr>
        <w:footnoteReference w:id="36"/>
      </w:r>
      <w:r>
        <w:rPr>
          <w:rFonts w:ascii="Traditional Arabic" w:hAnsi="Traditional Arabic" w:cs="Traditional Arabic"/>
          <w:b w:val="0"/>
          <w:bCs w:val="0"/>
          <w:i w:val="0"/>
          <w:iCs w:val="0"/>
          <w:sz w:val="28"/>
          <w:szCs w:val="28"/>
          <w:rtl w:val="1"/>
        </w:rPr>
        <w:t>. وهذه الأرقام لا تنقل إلى سياقنا مباشرة، لكنها تدل على أن الثقة قابلة للانخفاض المستمر، وأن استعادتها لا تكون بالخطاب وحده.</w:t>
      </w:r>
    </w:p>
    <w:p>
      <w:pPr>
        <w:pStyle w:val="Heading2"/>
        <w:keepNext/>
        <w:bidi/>
        <w:spacing w:line="312" w:lineRule="auto" w:before="200" w:after="120"/>
        <w:ind w:firstLine="0"/>
        <w:jc w:val="right"/>
      </w:pPr>
      <w:r>
        <w:rPr>
          <w:rFonts w:ascii="Traditional Arabic" w:hAnsi="Traditional Arabic" w:cs="Traditional Arabic"/>
          <w:b w:val="1"/>
          <w:bCs w:val="1"/>
          <w:i w:val="0"/>
          <w:iCs w:val="0"/>
          <w:sz w:val="32"/>
          <w:szCs w:val="32"/>
          <w:rtl w:val="1"/>
        </w:rPr>
        <w:t>4.4 الخلفية الاجتماعية: أين يقف الفرد من الجماعة؟</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لا يتكون الرأي في ذهن منفرد، بل في موقع اجتماعي محدد. وأهم عناصر هذه الخلفية:</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الأسرة.</w:t>
      </w:r>
      <w:r>
        <w:rPr>
          <w:rFonts w:ascii="Traditional Arabic" w:hAnsi="Traditional Arabic" w:cs="Traditional Arabic"/>
          <w:b w:val="0"/>
          <w:bCs w:val="0"/>
          <w:i w:val="0"/>
          <w:iCs w:val="0"/>
          <w:sz w:val="28"/>
          <w:szCs w:val="28"/>
          <w:rtl w:val="1"/>
        </w:rPr>
        <w:t xml:space="preserve"> هي أول مؤسسة تنشئة، وفيها يتعلم الفرد ما يقال وما لا يقال. وفي كثير من البيئات العربية تبقى الأسرة مرجعاً في القضايا الاقتصادية الكبرى: الادخار، الاقتراض، اختيار العمل.</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الطبقة الاجتماعية.</w:t>
      </w:r>
      <w:r>
        <w:rPr>
          <w:rFonts w:ascii="Traditional Arabic" w:hAnsi="Traditional Arabic" w:cs="Traditional Arabic"/>
          <w:b w:val="0"/>
          <w:bCs w:val="0"/>
          <w:i w:val="0"/>
          <w:iCs w:val="0"/>
          <w:sz w:val="28"/>
          <w:szCs w:val="28"/>
          <w:rtl w:val="1"/>
        </w:rPr>
        <w:t xml:space="preserve"> تحدد الطبقة ما يهم الناس فعلاً. فالعامل الذي ينفق معظم راتبه على الغذاء يقرأ خبر ارتفاع الأسعار قراءة مختلفة عن الموظف الذي يدخر. ولا يعني هذا أن الرأي محدد طبقياً بشكل آلي، لكنه يعني أن المصلحة تسبق التحليل غالباً.</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الجماعة المرجعية.</w:t>
      </w:r>
      <w:r>
        <w:rPr>
          <w:rFonts w:ascii="Traditional Arabic" w:hAnsi="Traditional Arabic" w:cs="Traditional Arabic"/>
          <w:b w:val="0"/>
          <w:bCs w:val="0"/>
          <w:i w:val="0"/>
          <w:iCs w:val="0"/>
          <w:sz w:val="28"/>
          <w:szCs w:val="28"/>
          <w:rtl w:val="1"/>
        </w:rPr>
        <w:t xml:space="preserve"> يحكم الفرد على نفسه وعلى العالم بمقارنته بجماعة ينتمي إليها أو يطمح إليها. وفي مجموعتي الكشفية لاحظت أن سلوك الأعضاء في الحملات التطوعية يتأثر بمن يعتبر «قدوة» داخل المجموعة أكثر من تأثره بالتعليمات المكتوبة.</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المؤسسات.</w:t>
      </w:r>
      <w:r>
        <w:rPr>
          <w:rFonts w:ascii="Traditional Arabic" w:hAnsi="Traditional Arabic" w:cs="Traditional Arabic"/>
          <w:b w:val="0"/>
          <w:bCs w:val="0"/>
          <w:i w:val="0"/>
          <w:iCs w:val="0"/>
          <w:sz w:val="28"/>
          <w:szCs w:val="28"/>
          <w:rtl w:val="1"/>
        </w:rPr>
        <w:t xml:space="preserve"> المدرسة والجامعة والمسجد والنادي والنقابة والعمل: كلها تنتج خبرة مباشرة بالمؤسسات، وهذه الخبرة تنتج رأياً عاماً تجاه «الدولة» نفسها. ومن هنا كان ضعف الخدمة في مؤسسة واحدة قادراً على إضعاف الثقة في المنظومة كلها.</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المؤسسة التعليمية.</w:t>
      </w:r>
      <w:r>
        <w:rPr>
          <w:rFonts w:ascii="Traditional Arabic" w:hAnsi="Traditional Arabic" w:cs="Traditional Arabic"/>
          <w:b w:val="0"/>
          <w:bCs w:val="0"/>
          <w:i w:val="0"/>
          <w:iCs w:val="0"/>
          <w:sz w:val="28"/>
          <w:szCs w:val="28"/>
          <w:rtl w:val="1"/>
        </w:rPr>
        <w:t xml:space="preserve"> للمدرسة والجامعة أثر مزدوج: فهما تنقلان المعرفة، وتنشئان عادات التعامل مع المعلومة في الوقت نفسه. فالطالب الذي اعتاد أن يسأل «ما مصدر هذا الكلام؟» يختلف عن الطالب الذي اعتاد الحفظ فقط، مع أن الاثنين قد يحملان الشهادة نفسها. ومن هنا كانت المؤسسة التعليمية أهم مورد طويل الأمد لتكوين رأي عام قادر على التمييز، وأهم مورد لتكوين جمهور سهل التوجيه في الوقت نفسه، بحسب ما تزرعه من مهارات. وهذا ما يجعل مشكلة وظيفتنا أدق: ارتفاع مستوى التعليم مؤشر على اتساع الجمهور، لا على ارتفاع جودة رأيه بالضرورة.</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وسائل الإعلام.</w:t>
      </w:r>
      <w:r>
        <w:rPr>
          <w:rFonts w:ascii="Traditional Arabic" w:hAnsi="Traditional Arabic" w:cs="Traditional Arabic"/>
          <w:b w:val="0"/>
          <w:bCs w:val="0"/>
          <w:i w:val="0"/>
          <w:iCs w:val="0"/>
          <w:sz w:val="28"/>
          <w:szCs w:val="28"/>
          <w:rtl w:val="1"/>
        </w:rPr>
        <w:t xml:space="preserve"> لم تعد وسائل الإعلام مصدر معلومة فقط، بل أصبحت بيئة يعيش فيها الفرد. وقد بينت مراجعة عربية شاملة أن الشبكات الاجتماعية صارت مجالاً رئيساً لتشكيل الوعي والرأي في المنطقة العربية، مع ميل إلى الاستقطاب في كثير من الحالات (حمدي وآخرون، 2024)</w:t>
      </w:r>
      <w:r>
        <w:rPr>
          <w:rStyle w:val="FootnoteReference"/>
          <w:rFonts w:ascii="Traditional Arabic" w:hAnsi="Traditional Arabic" w:cs="Traditional Arabic"/>
          <w:sz w:val="28"/>
          <w:szCs w:val="28"/>
          <w:rtl w:val="1"/>
        </w:rPr>
        <w:footnoteReference w:id="37"/>
      </w:r>
      <w:r>
        <w:rPr>
          <w:rFonts w:ascii="Traditional Arabic" w:hAnsi="Traditional Arabic" w:cs="Traditional Arabic"/>
          <w:b w:val="0"/>
          <w:bCs w:val="0"/>
          <w:i w:val="0"/>
          <w:iCs w:val="0"/>
          <w:sz w:val="28"/>
          <w:szCs w:val="28"/>
          <w:rtl w:val="1"/>
        </w:rPr>
        <w:t>.</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الأزمات.</w:t>
      </w:r>
      <w:r>
        <w:rPr>
          <w:rFonts w:ascii="Traditional Arabic" w:hAnsi="Traditional Arabic" w:cs="Traditional Arabic"/>
          <w:b w:val="0"/>
          <w:bCs w:val="0"/>
          <w:i w:val="0"/>
          <w:iCs w:val="0"/>
          <w:sz w:val="28"/>
          <w:szCs w:val="28"/>
          <w:rtl w:val="1"/>
        </w:rPr>
        <w:t xml:space="preserve"> الأزمة تكشف البنية الخفية للرأي العام، لأنها ترفع كلفة الغموض وتدفع الناس إلى طلب التفسير. وفي أثناء الأزمات يزداد اعتماد الجمهور على وسائل الإعلام كما بين بال-روكيتش ودي فلور (1976)</w:t>
      </w:r>
      <w:r>
        <w:rPr>
          <w:rStyle w:val="FootnoteReference"/>
          <w:rFonts w:ascii="Traditional Arabic" w:hAnsi="Traditional Arabic" w:cs="Traditional Arabic"/>
          <w:sz w:val="28"/>
          <w:szCs w:val="28"/>
          <w:rtl w:val="1"/>
        </w:rPr>
        <w:footnoteReference w:id="38"/>
      </w:r>
      <w:r>
        <w:rPr>
          <w:rFonts w:ascii="Traditional Arabic" w:hAnsi="Traditional Arabic" w:cs="Traditional Arabic"/>
          <w:b w:val="0"/>
          <w:bCs w:val="0"/>
          <w:i w:val="0"/>
          <w:iCs w:val="0"/>
          <w:sz w:val="28"/>
          <w:szCs w:val="28"/>
          <w:rtl w:val="1"/>
        </w:rPr>
        <w:t>.</w:t>
      </w:r>
    </w:p>
    <w:p>
      <w:pPr>
        <w:pStyle w:val="Heading2"/>
        <w:keepNext/>
        <w:bidi/>
        <w:spacing w:line="312" w:lineRule="auto" w:before="200" w:after="120"/>
        <w:ind w:firstLine="0"/>
        <w:jc w:val="right"/>
      </w:pPr>
      <w:r>
        <w:rPr>
          <w:rFonts w:ascii="Traditional Arabic" w:hAnsi="Traditional Arabic" w:cs="Traditional Arabic"/>
          <w:b w:val="1"/>
          <w:bCs w:val="1"/>
          <w:i w:val="0"/>
          <w:iCs w:val="0"/>
          <w:sz w:val="32"/>
          <w:szCs w:val="32"/>
          <w:rtl w:val="1"/>
        </w:rPr>
        <w:t>4.5 كيف تتفاعل المحاور الثلاثة؟ مثال واحد من المصرف</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خطر عرض هذه المحاور أن تبقى ثلاثة صناديق منفصلة. ولذلك سأروي واقعة واحدة وأحللها بالطبقات الثلاث معاً، ثم أترك للقارئ أن يحكم.</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في أحد الأيام تكرر تأخر تنفيذ خدمة مصرفية لعدد من العملاء في وقت واحد. لاحظت ردوداً مختلفة تماماً: عميل كبير في السن (خلفية ثقافية: تجربة سابقة مع تأخير مماثل قبل سنوات، وذاكرة جماعية عن أزمة سابقة) قال فوراً: «هذا ما حدث لنا سابقاً»، أي أنه قرأ الحاضر بالماضي. موظف شاب (خلفية نفسية: انحياز تأكيدي عال، وثقة منخفضة أصلاً) بدأ يبحث عن منشورات تؤكد وجود خلل عام. سيدة تعمل في القطاع العام (خلفية اجتماعية: جماعة مرجعية تتبادل الشكاوى في مكان عملها) نقلت الخبر إلى زميلاتها قبل أن تتحقق منه، فصارت الخبر ومصدره في الوقت نفسه.</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هنا تعمل الطبقات معاً: الذاكرة الثقافية أعطت القضية معناها، والانحياز النفسي أعطى الفرد دافعه للبحث عن التأكيد، والجماعة الاجتماعية أعطت الخبر طريقه للانتشار. ولو درس الباحث كل عنصر منفصلاً لخسر النتيجة الكلية. ولهذا فإن أي محاولة لفهم الرأي العام من زاوية واحدة - اقتصادية أو إعلامية - ستنتج تفسيراً ناقصاً، لأن الرأي سلوك مركب لا استجابة بسيطة.</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وأضيف ملاحظة منهجية: في هذه الواقعة لم أجر استبياناً ولم أحسب نسباً، وما أرويه هو انطباع مهني من موقع عمل، وقد أخطأ في تقديره غيري، ولذلك أكرر أن هذه الملاحظات لا تغني عن القياس المنظم الذي اقترحنا أدواته في الملاحق.</w:t>
      </w:r>
    </w:p>
    <w:p>
      <w:pPr>
        <w:pStyle w:val="Heading2"/>
        <w:keepNext/>
        <w:bidi/>
        <w:spacing w:line="312" w:lineRule="auto" w:before="200" w:after="120"/>
        <w:ind w:firstLine="0"/>
        <w:jc w:val="right"/>
      </w:pPr>
      <w:r>
        <w:rPr>
          <w:rFonts w:ascii="Traditional Arabic" w:hAnsi="Traditional Arabic" w:cs="Traditional Arabic"/>
          <w:b w:val="1"/>
          <w:bCs w:val="1"/>
          <w:i w:val="0"/>
          <w:iCs w:val="0"/>
          <w:sz w:val="32"/>
          <w:szCs w:val="32"/>
          <w:rtl w:val="1"/>
        </w:rPr>
        <w:t>4.6 حصيلة المبحث</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يمكن القول إن الخلفيات الثلاث تشكل معاً «جهاز استقبال» للرأي العام: الثقافة تحدد المعنى، والنفس تحدد درجة التعبير، والاجتماع يحدد مسار الانتشار. وهذا الجهاز هو ما يجعل مشكلة وظيفتنا معقدة: فالتعليم يعدل الطبقة الثقافية، ووسائل الاتصال تعدل الطبقة الاجتماعية، أما الطبقة النفسية فتظل الأبطأ تغيراً، وهي التي تفسر لماذا لا يتحول ارتفاع مستوى التعليم بالضرورة إلى رأي عام أكثر رشداً، ولماذا يبقى التخطيط الاقتصادي بحاجة إلى قراءة الرأي العام لا إلى الاكتفاء بمؤشراته الكمية.</w:t>
      </w:r>
    </w:p>
    <w:p>
      <w:pPr>
        <w:pStyle w:val="Heading1"/>
        <w:keepNext/>
        <w:pageBreakBefore/>
        <w:bidi/>
        <w:spacing w:line="312" w:lineRule="auto" w:before="0" w:after="160"/>
        <w:ind w:firstLine="0"/>
        <w:jc w:val="right"/>
      </w:pPr>
      <w:r>
        <w:rPr>
          <w:rFonts w:ascii="Traditional Arabic" w:hAnsi="Traditional Arabic" w:cs="Traditional Arabic"/>
          <w:b w:val="1"/>
          <w:bCs w:val="1"/>
          <w:i w:val="0"/>
          <w:iCs w:val="0"/>
          <w:sz w:val="36"/>
          <w:szCs w:val="36"/>
          <w:rtl w:val="1"/>
        </w:rPr>
        <w:t>المبحث الخامس: الرأي العام وعلاقته بالسياسة الاقتصادية للبلد</w:t>
      </w:r>
    </w:p>
    <w:p>
      <w:pPr>
        <w:bidi/>
        <w:spacing w:line="276" w:lineRule="auto" w:before="0" w:after="200"/>
        <w:ind w:firstLine="0"/>
        <w:jc w:val="right"/>
      </w:pPr>
      <w:r>
        <w:rPr>
          <w:rFonts w:ascii="Traditional Arabic" w:hAnsi="Traditional Arabic" w:cs="Traditional Arabic"/>
          <w:b w:val="1"/>
          <w:bCs w:val="1"/>
          <w:sz w:val="24"/>
          <w:szCs w:val="24"/>
          <w:rtl w:val="1"/>
        </w:rPr>
        <w:t>بقلم: وديع هيثم سلوم (الرقم الجامعي: wadee_440350)</w:t>
      </w:r>
    </w:p>
    <w:p>
      <w:pPr>
        <w:pStyle w:val="Heading2"/>
        <w:keepNext/>
        <w:bidi/>
        <w:spacing w:line="312" w:lineRule="auto" w:before="200" w:after="120"/>
        <w:ind w:firstLine="0"/>
        <w:jc w:val="right"/>
      </w:pPr>
      <w:r>
        <w:rPr>
          <w:rFonts w:ascii="Traditional Arabic" w:hAnsi="Traditional Arabic" w:cs="Traditional Arabic"/>
          <w:b w:val="1"/>
          <w:bCs w:val="1"/>
          <w:i w:val="0"/>
          <w:iCs w:val="0"/>
          <w:sz w:val="32"/>
          <w:szCs w:val="32"/>
          <w:rtl w:val="1"/>
        </w:rPr>
        <w:t>5.1 موقفي من العلاقة: اتجاهان في حلقة واحدة</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 xml:space="preserve">لا أعتقد أن السؤال المطروح في هذه الوظيفة يقبل جواباً محايداً، لأن الحياد في موضوع كهذا يعني في الغالب الهروب من التبني. وموقفي، بصراحة ومسؤولية، هو الآتي: </w:t>
      </w:r>
      <w:r>
        <w:rPr>
          <w:rFonts w:ascii="Traditional Arabic" w:hAnsi="Traditional Arabic" w:cs="Traditional Arabic"/>
          <w:b w:val="1"/>
          <w:bCs w:val="1"/>
          <w:i w:val="0"/>
          <w:iCs w:val="0"/>
          <w:sz w:val="28"/>
          <w:szCs w:val="28"/>
          <w:rtl w:val="1"/>
        </w:rPr>
        <w:t>العلاقة بين الرأي العام والسياسة الاقتصادية علاقة تبادلية مضاعفة، لكنها ليست متساوية في القوة في كل الأوقات؛ فالسياسة الاقتصادية تستطيع أن تشكل الرأي العام بسرعة أكبر مما يستطيع الرأي العام أن يعدل السياسة الاقتصادية، لأن الأثر الأول مباشر ومحسوس في جيب الناس، أما الثاني فغير مباشر ويمر عبر مؤسسات وقرارات ووسائط.</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وأساس هذا الموقف أن الاقتصاد ليس أرقاماً فقط، بل تجربة معيشية تنتج توقعات. والتوقعات ليست انعكاساً للواقع فقط، بل هي الواقع الذي يتصرف الناس على أساسه. فحين يتوقع الناس ارتفاع الأسعار يسرعون في الشراء، فيزيد الطلب ويزيد الضغط على الأسعار، فتتحقق توقعاتهم. وهذه الحلقة ليست خيالاً نظرياً؛ إنها ما يجعل «الثقة» متغيراً اقتصادياً لا مجرد شعور. وقد أشار الشمري (2019: 376) إلى أن الاستطلاعات لم تعد ترفاً معرفياً، بل صارت مرجعاً تشخيصياً في قرارات عامة كثيرة، وأن تجاهلها ينتج قرارات منفصلة عن الواقع الاجتماعي</w:t>
      </w:r>
      <w:r>
        <w:rPr>
          <w:rStyle w:val="FootnoteReference"/>
          <w:rFonts w:ascii="Traditional Arabic" w:hAnsi="Traditional Arabic" w:cs="Traditional Arabic"/>
          <w:sz w:val="28"/>
          <w:szCs w:val="28"/>
          <w:rtl w:val="1"/>
        </w:rPr>
        <w:footnoteReference w:id="39"/>
      </w:r>
      <w:r>
        <w:rPr>
          <w:rFonts w:ascii="Traditional Arabic" w:hAnsi="Traditional Arabic" w:cs="Traditional Arabic"/>
          <w:b w:val="0"/>
          <w:bCs w:val="0"/>
          <w:i w:val="0"/>
          <w:iCs w:val="0"/>
          <w:sz w:val="28"/>
          <w:szCs w:val="28"/>
          <w:rtl w:val="1"/>
        </w:rPr>
        <w:t>.</w:t>
      </w:r>
    </w:p>
    <w:p>
      <w:pPr>
        <w:pStyle w:val="Heading2"/>
        <w:keepNext/>
        <w:bidi/>
        <w:spacing w:line="312" w:lineRule="auto" w:before="200" w:after="120"/>
        <w:ind w:firstLine="0"/>
        <w:jc w:val="right"/>
      </w:pPr>
      <w:r>
        <w:rPr>
          <w:rFonts w:ascii="Traditional Arabic" w:hAnsi="Traditional Arabic" w:cs="Traditional Arabic"/>
          <w:b w:val="1"/>
          <w:bCs w:val="1"/>
          <w:i w:val="0"/>
          <w:iCs w:val="0"/>
          <w:sz w:val="32"/>
          <w:szCs w:val="32"/>
          <w:rtl w:val="1"/>
        </w:rPr>
        <w:t>5.2 أثر الرأي العام في السياسة الاقتصادية</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أولاً: الثقة والاستثمار.</w:t>
      </w:r>
      <w:r>
        <w:rPr>
          <w:rFonts w:ascii="Traditional Arabic" w:hAnsi="Traditional Arabic" w:cs="Traditional Arabic"/>
          <w:b w:val="0"/>
          <w:bCs w:val="0"/>
          <w:i w:val="0"/>
          <w:iCs w:val="0"/>
          <w:sz w:val="28"/>
          <w:szCs w:val="28"/>
          <w:rtl w:val="1"/>
        </w:rPr>
        <w:t xml:space="preserve"> الثقة ليست قراراً فردياً بل مناخاً جماعياً. فالمستثمر الصغير قبل الكبير يقرأ مزاج السوق قبل أن يقرأ الأرقام، والمزاج يتكون من الرأي العام. وقد أظهرت مسوح مؤسسية أن الثقة في المؤسسات ترتبط بتجربة الناس اليومية في الخدمات أكثر مما ترتبط بالخطاب العام (منظمة التعاون الاقتصادي والتنمية، 2024)</w:t>
      </w:r>
      <w:r>
        <w:rPr>
          <w:rStyle w:val="FootnoteReference"/>
          <w:rFonts w:ascii="Traditional Arabic" w:hAnsi="Traditional Arabic" w:cs="Traditional Arabic"/>
          <w:sz w:val="28"/>
          <w:szCs w:val="28"/>
          <w:rtl w:val="1"/>
        </w:rPr>
        <w:footnoteReference w:id="40"/>
      </w:r>
      <w:r>
        <w:rPr>
          <w:rFonts w:ascii="Traditional Arabic" w:hAnsi="Traditional Arabic" w:cs="Traditional Arabic"/>
          <w:b w:val="0"/>
          <w:bCs w:val="0"/>
          <w:i w:val="0"/>
          <w:iCs w:val="0"/>
          <w:sz w:val="28"/>
          <w:szCs w:val="28"/>
          <w:rtl w:val="1"/>
        </w:rPr>
        <w:t>. وترجمة ذلك أن إصلاحاً اقتصادياً سليماً في جو من انعدام الثقة قد يفشل، لا لأنه خاطئ، بل لأن الناس لا يثقون بمن ينفذه ولا يتوقعون استمراره.</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ثانياً: الاستهلاك والادخار.</w:t>
      </w:r>
      <w:r>
        <w:rPr>
          <w:rFonts w:ascii="Traditional Arabic" w:hAnsi="Traditional Arabic" w:cs="Traditional Arabic"/>
          <w:b w:val="0"/>
          <w:bCs w:val="0"/>
          <w:i w:val="0"/>
          <w:iCs w:val="0"/>
          <w:sz w:val="28"/>
          <w:szCs w:val="28"/>
          <w:rtl w:val="1"/>
        </w:rPr>
        <w:t xml:space="preserve"> يميل الناس إلى الادخار حين يسيطر الخوف على الرأي العام، وإلى الاستهلاك حين تسود الطمأنينة. وهذا يعني أن الرأي العام يعمل كـ«مضخم» أو «مكبح» للطلب الكلي، وبالتالي للإنتاج والتوظيف. وفي عملي في المصرف لاحظت هذا مباشرة: في الفترات التي ينتشر فيها القلق من تقلبات الأسعار يزيد إقبال العملاء على السحب النقدي، وتنخفض ثقتهم بالودائع لأجل، لا لأن الأرقام تغيرت، بل لأن حديث الناس تغير.</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ثالثاً: قبول الإصلاحات أو رفضها.</w:t>
      </w:r>
      <w:r>
        <w:rPr>
          <w:rFonts w:ascii="Traditional Arabic" w:hAnsi="Traditional Arabic" w:cs="Traditional Arabic"/>
          <w:b w:val="0"/>
          <w:bCs w:val="0"/>
          <w:i w:val="0"/>
          <w:iCs w:val="0"/>
          <w:sz w:val="28"/>
          <w:szCs w:val="28"/>
          <w:rtl w:val="1"/>
        </w:rPr>
        <w:t xml:space="preserve"> نجاح الإصلاح لا يعتمد على جودته الفنية وحدها، بل على عدالته كما يراها الناس. فإصلاح الدعم مثلاً قد يكون ضرورياً مالياً، لكنه يقاوم إذا اعتبره الجمهور انتقائياً. وهنا تظهر أهمية التأطير: هل يقدم الإصلاح كحماية للفقراء أم كتخفيف لأعباء الموازنة؟ إن الإطار يحدد الاستجابة قبل أن تحددها الأرقام (إنتمان، 1993: 51–52)</w:t>
      </w:r>
      <w:r>
        <w:rPr>
          <w:rStyle w:val="FootnoteReference"/>
          <w:rFonts w:ascii="Traditional Arabic" w:hAnsi="Traditional Arabic" w:cs="Traditional Arabic"/>
          <w:sz w:val="28"/>
          <w:szCs w:val="28"/>
          <w:rtl w:val="1"/>
        </w:rPr>
        <w:footnoteReference w:id="41"/>
      </w:r>
      <w:r>
        <w:rPr>
          <w:rFonts w:ascii="Traditional Arabic" w:hAnsi="Traditional Arabic" w:cs="Traditional Arabic"/>
          <w:b w:val="0"/>
          <w:bCs w:val="0"/>
          <w:i w:val="0"/>
          <w:iCs w:val="0"/>
          <w:sz w:val="28"/>
          <w:szCs w:val="28"/>
          <w:rtl w:val="1"/>
        </w:rPr>
        <w:t>.</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رابعاً: الالتزام الضريبي والقواعد المشتركة.</w:t>
      </w:r>
      <w:r>
        <w:rPr>
          <w:rFonts w:ascii="Traditional Arabic" w:hAnsi="Traditional Arabic" w:cs="Traditional Arabic"/>
          <w:b w:val="0"/>
          <w:bCs w:val="0"/>
          <w:i w:val="0"/>
          <w:iCs w:val="0"/>
          <w:sz w:val="28"/>
          <w:szCs w:val="28"/>
          <w:rtl w:val="1"/>
        </w:rPr>
        <w:t xml:space="preserve"> لا تدار الاقتصادات بالقوانين وحدها، بل بالالتزام الطوعي أيضاً. وحين يشعر الناس أن النظام عادل يزيد التزامهم، وحين يشعرون بأن غيرهم يتهرب يتراجع التزامهم. ولا أتحدث هنا عن التهرب الكبير فقط، بل عن السلوك اليومي الصغير: تسديد فاتورة، رفض «الواسطة» في طابور، إصرار عميل على إيصال نظامي.</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خامساً: الاستقرار.</w:t>
      </w:r>
      <w:r>
        <w:rPr>
          <w:rFonts w:ascii="Traditional Arabic" w:hAnsi="Traditional Arabic" w:cs="Traditional Arabic"/>
          <w:b w:val="0"/>
          <w:bCs w:val="0"/>
          <w:i w:val="0"/>
          <w:iCs w:val="0"/>
          <w:sz w:val="28"/>
          <w:szCs w:val="28"/>
          <w:rtl w:val="1"/>
        </w:rPr>
        <w:t xml:space="preserve"> الرأي العام المتوقع سلوكه يسهل التخطيط، والرأي العام المضطرب يرفع كلفة التأمين والتمويل. ومن هنا كان الاستقرار الاجتماعي أصلاً اقتصادياً لا مجرد قيمة سياسية.</w:t>
      </w:r>
    </w:p>
    <w:p>
      <w:pPr>
        <w:pStyle w:val="Heading2"/>
        <w:keepNext/>
        <w:bidi/>
        <w:spacing w:line="312" w:lineRule="auto" w:before="200" w:after="120"/>
        <w:ind w:firstLine="0"/>
        <w:jc w:val="right"/>
      </w:pPr>
      <w:r>
        <w:rPr>
          <w:rFonts w:ascii="Traditional Arabic" w:hAnsi="Traditional Arabic" w:cs="Traditional Arabic"/>
          <w:b w:val="1"/>
          <w:bCs w:val="1"/>
          <w:i w:val="0"/>
          <w:iCs w:val="0"/>
          <w:sz w:val="32"/>
          <w:szCs w:val="32"/>
          <w:rtl w:val="1"/>
        </w:rPr>
        <w:t>5.3 أثر السياسة الاقتصادية في الرأي العام</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الاتجاه الآخر أوضح في أثره، ويظهر في خمس قنوات:</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التضخم.</w:t>
      </w:r>
      <w:r>
        <w:rPr>
          <w:rFonts w:ascii="Traditional Arabic" w:hAnsi="Traditional Arabic" w:cs="Traditional Arabic"/>
          <w:b w:val="0"/>
          <w:bCs w:val="0"/>
          <w:i w:val="0"/>
          <w:iCs w:val="0"/>
          <w:sz w:val="28"/>
          <w:szCs w:val="28"/>
          <w:rtl w:val="1"/>
        </w:rPr>
        <w:t xml:space="preserve"> هو أسرع القنوات أثراً، لأنه يمس الجميع بالدرجة نفسها تقريباً. ونتيجته الأولى ليست الفقر وحده، بل فقدان الثقة في الأرقام الرسمية: يبدأ الناس بمقارنة الأسعار في السوق بما يقال لهم، فتنشأ «قراءة شعبية» للتضخم موازية للقراءة الرسمية. وهذه القراءة الشعبية هي مادة الرأي العام الحقيقية.</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سعر الصرف.</w:t>
      </w:r>
      <w:r>
        <w:rPr>
          <w:rFonts w:ascii="Traditional Arabic" w:hAnsi="Traditional Arabic" w:cs="Traditional Arabic"/>
          <w:b w:val="0"/>
          <w:bCs w:val="0"/>
          <w:i w:val="0"/>
          <w:iCs w:val="0"/>
          <w:sz w:val="28"/>
          <w:szCs w:val="28"/>
          <w:rtl w:val="1"/>
        </w:rPr>
        <w:t xml:space="preserve"> في اقتصادات تعتمد على الاستيراد، يتحول سعر الصرف إلى مؤشر شعبي للأمان. ولذلك فإن أي تحرك فيه لا يبقى خبراً اقتصادياً، بل يصبح حدثاً نفسياً جماعياً يعيد ترتيب توقعات الناس من الغد.</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الدعم.</w:t>
      </w:r>
      <w:r>
        <w:rPr>
          <w:rFonts w:ascii="Traditional Arabic" w:hAnsi="Traditional Arabic" w:cs="Traditional Arabic"/>
          <w:b w:val="0"/>
          <w:bCs w:val="0"/>
          <w:i w:val="0"/>
          <w:iCs w:val="0"/>
          <w:sz w:val="28"/>
          <w:szCs w:val="28"/>
          <w:rtl w:val="1"/>
        </w:rPr>
        <w:t xml:space="preserve"> سياسة الدعم تنتج رأياً عاماً سريعاً لأنها لمس مباشر بميزانية الأسرة. وحين تتغير شروط الدعم تتغير معها مشاعر الثقة والانتماء، ومن هنا كانت القرارات المتعلقة به أكثر القرارات حاجة إلى شرح مسبق لا إلى تبرير لاحق.</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الأجور.</w:t>
      </w:r>
      <w:r>
        <w:rPr>
          <w:rFonts w:ascii="Traditional Arabic" w:hAnsi="Traditional Arabic" w:cs="Traditional Arabic"/>
          <w:b w:val="0"/>
          <w:bCs w:val="0"/>
          <w:i w:val="0"/>
          <w:iCs w:val="0"/>
          <w:sz w:val="28"/>
          <w:szCs w:val="28"/>
          <w:rtl w:val="1"/>
        </w:rPr>
        <w:t xml:space="preserve"> الأجر ليس رقماً في كشف، بل اعتراف اجتماعي بقيمة العمل. ولذلك فإن تجميد الأجور أو تأخر صرفها ينتج رأياً عاماً يتجاوز الاقتصاد إلى الشعور بالكرامة.</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التحول الرقمي والدفع الإلكتروني.</w:t>
      </w:r>
      <w:r>
        <w:rPr>
          <w:rFonts w:ascii="Traditional Arabic" w:hAnsi="Traditional Arabic" w:cs="Traditional Arabic"/>
          <w:b w:val="0"/>
          <w:bCs w:val="0"/>
          <w:i w:val="0"/>
          <w:iCs w:val="0"/>
          <w:sz w:val="28"/>
          <w:szCs w:val="28"/>
          <w:rtl w:val="1"/>
        </w:rPr>
        <w:t xml:space="preserve"> هذه القناة أحدث القنوات وأكثرها إثارة للجدل. فالتحول إلى الدفع الإلكتروني قد يزيد الشفافية ويقلل الكلفة، لكنه في الوقت نفسه ينتج قلقاً عند الفئات الأقل مهارة والأقل ثقة بالتقنية، وقد ينتج شعوراً بالإقصاء. وقد أشار تقرير البنك الدولي إلى أن العوائد الرقمية لا تتحقق تلقائياً بمجرد توفر التقنية، بل تتوقف على المهارات والمؤسسات وشروط الاستخدام (البنك الدولي، 2016)</w:t>
      </w:r>
      <w:r>
        <w:rPr>
          <w:rStyle w:val="FootnoteReference"/>
          <w:rFonts w:ascii="Traditional Arabic" w:hAnsi="Traditional Arabic" w:cs="Traditional Arabic"/>
          <w:sz w:val="28"/>
          <w:szCs w:val="28"/>
          <w:rtl w:val="1"/>
        </w:rPr>
        <w:footnoteReference w:id="42"/>
      </w:r>
      <w:r>
        <w:rPr>
          <w:rFonts w:ascii="Traditional Arabic" w:hAnsi="Traditional Arabic" w:cs="Traditional Arabic"/>
          <w:b w:val="0"/>
          <w:bCs w:val="0"/>
          <w:i w:val="0"/>
          <w:iCs w:val="0"/>
          <w:sz w:val="28"/>
          <w:szCs w:val="28"/>
          <w:rtl w:val="1"/>
        </w:rPr>
        <w:t>. وهذا يعني أن السياسة الاقتصادية الرقمية تنتج رأياً عاماً جديداً، وأن نجاحها يقاس بقبول الناس لا بعدد الأجهزة الموزعة.</w:t>
      </w:r>
    </w:p>
    <w:p>
      <w:pPr>
        <w:pStyle w:val="Heading2"/>
        <w:keepNext/>
        <w:bidi/>
        <w:spacing w:line="312" w:lineRule="auto" w:before="200" w:after="120"/>
        <w:ind w:firstLine="0"/>
        <w:jc w:val="right"/>
      </w:pPr>
      <w:r>
        <w:rPr>
          <w:rFonts w:ascii="Traditional Arabic" w:hAnsi="Traditional Arabic" w:cs="Traditional Arabic"/>
          <w:b w:val="1"/>
          <w:bCs w:val="1"/>
          <w:i w:val="0"/>
          <w:iCs w:val="0"/>
          <w:sz w:val="32"/>
          <w:szCs w:val="32"/>
          <w:rtl w:val="1"/>
        </w:rPr>
        <w:t>5.4 خصوصية السياق السوري والعربي</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 xml:space="preserve">ينبغي أن نتحرى الدقة عند الحديث عن سياقنا، فنقول بصراحة إن الاقتصاد السوري والعربي يشترك في سمات بنيوية تجعل الرأي العام أكثر حساسية للسياسة الاقتصادية من مجتمعات أخرى، وأهمها خمس: غلبة المشروعات الصغيرة والأسرية في التشغيل، واتساع مساحة العمل غير المنظم، والاعتماد الكبير على النقد في المعاملات، والحساسية العالية لتقلب سعر الصرف وأسعار المواد المستوردة، وأهمية التحويلات المالية من الخارج في معيشة كثير من الأسر. وهذه السمات لا تنتج رأياً عاماً «أفضل» أو «أسوأ»، لكنها تنتج رأياً عاماً </w:t>
      </w:r>
      <w:r>
        <w:rPr>
          <w:rFonts w:ascii="Traditional Arabic" w:hAnsi="Traditional Arabic" w:cs="Traditional Arabic"/>
          <w:b w:val="1"/>
          <w:bCs w:val="1"/>
          <w:i w:val="0"/>
          <w:iCs w:val="0"/>
          <w:sz w:val="28"/>
          <w:szCs w:val="28"/>
          <w:rtl w:val="1"/>
        </w:rPr>
        <w:t>أسرع تأثراً</w:t>
      </w:r>
      <w:r>
        <w:rPr>
          <w:rFonts w:ascii="Traditional Arabic" w:hAnsi="Traditional Arabic" w:cs="Traditional Arabic"/>
          <w:b w:val="0"/>
          <w:bCs w:val="0"/>
          <w:i w:val="0"/>
          <w:iCs w:val="0"/>
          <w:sz w:val="28"/>
          <w:szCs w:val="28"/>
          <w:rtl w:val="1"/>
        </w:rPr>
        <w:t xml:space="preserve"> بالأخبار القريبة من الجيب اليومي.</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وهناك سمة نفسية-اجتماعية مرتبطة بذلك، هي اعتياد الأجيال على تقلبات الأسعار، وهو ما ينتج توقعات تكيفية: الناس لا يتوقعون استقراراً طويلاً، فيتصرفون على أساس أسوأ الاحتمالات. وهذا السلوك، مع كونه عقلانياً من منظور الفرد، يضعف الطلب الكلي ويصعب التخطيط من منظور الاقتصاد الكلي. وبالمقابل، فإن التواصل بين الشعوب - بمفهومه الواسع لا الرقمي فقط - يجعل تجارب البلدان المجاورة مرجعاً للمقارنة، فتقاس السياسة الاقتصادية المحلية بمعايير إقليمية لا محلية، وهو ما يوسع دائرة الرأي العام ويزيد تعقيد إدارته.</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وأما التحول الرقمي في هذا السياق، فهو حالة صافية على العلاقة التبادلية: سياسة تدفع الناس إلى القنوات الإلكترونية، فيتكون رأي عام جديد عنها، ثم يعود هذا الرأي فيبطئ السياسة أو يسرعها. وفي تجربتي المصرفية أن الفئة التي تثق بالدفع الإلكتروني ليست الأصغر سناً بالضرورة، بل الأكثر خبرة بالخدمة والأكثر اطمئناناً إلى وجود جهة تراجع الخطأ. أي أن الثقة تبنى بضمانة محسوسة، لا بعمر المستخدم. وأكرر أن هذا انطباع مهني محدود غير ممثل إحصائياً، ويحتاج إلى تحقق ميداني.</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وختام هذا القسم أن فهم السياق لا يعني تبرير الأداء، بل يعني رفض تفسير الظواهر الاقتصادية بعقلية مستوردة: فالسياسة التي تنجح في مجتمع ذي ثقة مرتفعة بمؤسساته قد تفشل في مجتمع فقد ثقته، لا لأن السياسة خاطئة، بل لأن شرط تنفيذها النفسي والاجتماعي غائب.</w:t>
      </w:r>
    </w:p>
    <w:p>
      <w:pPr>
        <w:pStyle w:val="Heading2"/>
        <w:keepNext/>
        <w:bidi/>
        <w:spacing w:line="312" w:lineRule="auto" w:before="200" w:after="120"/>
        <w:ind w:firstLine="0"/>
        <w:jc w:val="right"/>
      </w:pPr>
      <w:r>
        <w:rPr>
          <w:rFonts w:ascii="Traditional Arabic" w:hAnsi="Traditional Arabic" w:cs="Traditional Arabic"/>
          <w:b w:val="1"/>
          <w:bCs w:val="1"/>
          <w:i w:val="0"/>
          <w:iCs w:val="0"/>
          <w:sz w:val="32"/>
          <w:szCs w:val="32"/>
          <w:rtl w:val="1"/>
        </w:rPr>
        <w:t>5.5 من الخبرة إلى المؤشر: مثال مصرفي ومثال تقني</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المثال المصرفي (من موقعي).</w:t>
      </w:r>
      <w:r>
        <w:rPr>
          <w:rFonts w:ascii="Traditional Arabic" w:hAnsi="Traditional Arabic" w:cs="Traditional Arabic"/>
          <w:b w:val="0"/>
          <w:bCs w:val="0"/>
          <w:i w:val="0"/>
          <w:iCs w:val="0"/>
          <w:sz w:val="28"/>
          <w:szCs w:val="28"/>
          <w:rtl w:val="1"/>
        </w:rPr>
        <w:t xml:space="preserve"> في مصرفنا كان التحول إلى إنجاز قسم من المعاملات إلكترونياً هدفاً إدارياً واضحاً. وقد لاحظت أن الحملات التوعوية التي تشرح «كيف» تفشل غالباً، بينما تنجح المعاملة التي تنجز أمام العميل مرة واحدة بمساعدة موظف. أي أن الثقة تبنى بالتجربة المحسوسة لا بالشرح. وملاحظتي هنا محدودة ولا تعمم، لكنها تتفق مع ما تقوله نظريات الثقة: القرب والتجربة اليومية عاملان حاسمان.</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المثال التقني (من خبرة زميلي جان).</w:t>
      </w:r>
      <w:r>
        <w:rPr>
          <w:rFonts w:ascii="Traditional Arabic" w:hAnsi="Traditional Arabic" w:cs="Traditional Arabic"/>
          <w:b w:val="0"/>
          <w:bCs w:val="0"/>
          <w:i w:val="0"/>
          <w:iCs w:val="0"/>
          <w:sz w:val="28"/>
          <w:szCs w:val="28"/>
          <w:rtl w:val="1"/>
        </w:rPr>
        <w:t xml:space="preserve"> ذكر لي جان أنه حين يدير شبكة أو نظاماً لصالح جهة ما، فإن أول ما يطلبه المستخدمون ليس الأمان ولا السرعة، بل الوضوح: «هل ستفقد بياناتي؟». وأن شعور المستخدمين بالثقة يتكون من تفاصيل صغيرة: رسالة تأكيد، نسخة احتياطية معلنة، استجابة سريعة عند الخلل. وهذا مثال دقيق على أن «السياسة التقنية» - وهي اليوم جزء من السياسة الاقتصادية - تصنع رأياً عاماً عبر مؤشرات صغيرة، لا عبر البيانات الصحفية.</w:t>
      </w:r>
    </w:p>
    <w:p>
      <w:pPr>
        <w:pStyle w:val="Heading2"/>
        <w:keepNext/>
        <w:bidi/>
        <w:spacing w:line="312" w:lineRule="auto" w:before="200" w:after="120"/>
        <w:ind w:firstLine="0"/>
        <w:jc w:val="right"/>
      </w:pPr>
      <w:r>
        <w:rPr>
          <w:rFonts w:ascii="Traditional Arabic" w:hAnsi="Traditional Arabic" w:cs="Traditional Arabic"/>
          <w:b w:val="1"/>
          <w:bCs w:val="1"/>
          <w:i w:val="0"/>
          <w:iCs w:val="0"/>
          <w:sz w:val="32"/>
          <w:szCs w:val="32"/>
          <w:rtl w:val="1"/>
        </w:rPr>
        <w:t>5.6 أدوات القياس ومخاطر تصنيع الموافقة</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لا يمكن الحديث عن علاقة بين الرأي العام والسياسة الاقتصادية من دون تحديد كيف نعرف هذا الرأي. ويعرض الجدول (6) الآتي الأدوات الأساسية لقياس الرأي العام في المجال الاقتصادي، وما تقيسه كل أداة، وحدودها. وقد أوردنا في الملحق (أ) أداة استبيان مقترحة من عشرة أسئلة، وفي الملحق (ب) محاور مقابلة شبه موجهة، ولم ننفذ أياً منهما في هذه الوظيفة:</w:t>
      </w:r>
    </w:p>
    <w:p>
      <w:pPr>
        <w:keepNext/>
        <w:bidi/>
        <w:spacing w:line="276" w:lineRule="auto" w:before="120" w:after="80"/>
        <w:ind w:firstLine="0"/>
        <w:jc w:val="center"/>
      </w:pPr>
      <w:bookmarkStart w:id="107" w:name="_Tbl7"/>
      <w:r>
        <w:rPr>
          <w:rFonts w:ascii="Traditional Arabic" w:hAnsi="Traditional Arabic" w:cs="Traditional Arabic"/>
          <w:b w:val="1"/>
          <w:bCs w:val="1"/>
          <w:i w:val="0"/>
          <w:iCs w:val="0"/>
          <w:sz w:val="24"/>
          <w:szCs w:val="24"/>
          <w:rtl w:val="1"/>
        </w:rPr>
        <w:t>الجدول (6): أدوات قياس الرأي العام في المجال الاقتصادي وحدودها</w:t>
      </w:r>
      <w:bookmarkEnd w:id="107"/>
    </w:p>
    <w:tbl>
      <w:tblPr>
        <w:tblStyle w:val="TableGrid"/>
        <w:bidiVisual/>
        <w:tblW w:type="auto" w:w="0"/>
        <w:jc w:val="center"/>
        <w:tblLook w:firstColumn="1" w:firstRow="1" w:lastColumn="0" w:lastRow="0" w:noHBand="0" w:noVBand="1" w:val="04A0"/>
      </w:tblPr>
      <w:tblGrid>
        <w:gridCol w:w="2268"/>
        <w:gridCol w:w="2268"/>
        <w:gridCol w:w="2268"/>
        <w:gridCol w:w="2268"/>
      </w:tblGrid>
      <w:tr>
        <w:trPr>
          <w:cantSplit/>
          <w:tblHeader/>
        </w:trPr>
        <w:tc>
          <w:tcPr>
            <w:tcW w:type="dxa" w:w="1928"/>
            <w:shd w:val="clear" w:fill="E8E8E8"/>
          </w:tcPr>
          <w:p>
            <w:pPr>
              <w:bidi/>
              <w:spacing w:line="276" w:lineRule="auto" w:before="40" w:after="40"/>
              <w:ind w:firstLine="0"/>
              <w:jc w:val="center"/>
            </w:pPr>
            <w:r/>
            <w:r>
              <w:rPr>
                <w:rFonts w:ascii="Traditional Arabic" w:hAnsi="Traditional Arabic" w:cs="Traditional Arabic"/>
                <w:b w:val="1"/>
                <w:bCs w:val="1"/>
                <w:i w:val="0"/>
                <w:iCs w:val="0"/>
                <w:sz w:val="21"/>
                <w:szCs w:val="21"/>
                <w:rtl w:val="1"/>
              </w:rPr>
              <w:t>الأداة</w:t>
            </w:r>
          </w:p>
        </w:tc>
        <w:tc>
          <w:tcPr>
            <w:tcW w:type="dxa" w:w="2381"/>
            <w:shd w:val="clear" w:fill="E8E8E8"/>
          </w:tcPr>
          <w:p>
            <w:pPr>
              <w:bidi/>
              <w:spacing w:line="276" w:lineRule="auto" w:before="40" w:after="40"/>
              <w:ind w:firstLine="0"/>
              <w:jc w:val="center"/>
            </w:pPr>
            <w:r/>
            <w:r>
              <w:rPr>
                <w:rFonts w:ascii="Traditional Arabic" w:hAnsi="Traditional Arabic" w:cs="Traditional Arabic"/>
                <w:b w:val="1"/>
                <w:bCs w:val="1"/>
                <w:i w:val="0"/>
                <w:iCs w:val="0"/>
                <w:sz w:val="21"/>
                <w:szCs w:val="21"/>
                <w:rtl w:val="1"/>
              </w:rPr>
              <w:t>ما تقيسه</w:t>
            </w:r>
          </w:p>
        </w:tc>
        <w:tc>
          <w:tcPr>
            <w:tcW w:type="dxa" w:w="2041"/>
            <w:shd w:val="clear" w:fill="E8E8E8"/>
          </w:tcPr>
          <w:p>
            <w:pPr>
              <w:bidi/>
              <w:spacing w:line="276" w:lineRule="auto" w:before="40" w:after="40"/>
              <w:ind w:firstLine="0"/>
              <w:jc w:val="center"/>
            </w:pPr>
            <w:r/>
            <w:r>
              <w:rPr>
                <w:rFonts w:ascii="Traditional Arabic" w:hAnsi="Traditional Arabic" w:cs="Traditional Arabic"/>
                <w:b w:val="1"/>
                <w:bCs w:val="1"/>
                <w:i w:val="0"/>
                <w:iCs w:val="0"/>
                <w:sz w:val="21"/>
                <w:szCs w:val="21"/>
                <w:rtl w:val="1"/>
              </w:rPr>
              <w:t>نقاط القوة</w:t>
            </w:r>
          </w:p>
        </w:tc>
        <w:tc>
          <w:tcPr>
            <w:tcW w:type="dxa" w:w="2721"/>
            <w:shd w:val="clear" w:fill="E8E8E8"/>
          </w:tcPr>
          <w:p>
            <w:pPr>
              <w:bidi/>
              <w:spacing w:line="276" w:lineRule="auto" w:before="40" w:after="40"/>
              <w:ind w:firstLine="0"/>
              <w:jc w:val="center"/>
            </w:pPr>
            <w:r/>
            <w:r>
              <w:rPr>
                <w:rFonts w:ascii="Traditional Arabic" w:hAnsi="Traditional Arabic" w:cs="Traditional Arabic"/>
                <w:b w:val="1"/>
                <w:bCs w:val="1"/>
                <w:i w:val="0"/>
                <w:iCs w:val="0"/>
                <w:sz w:val="21"/>
                <w:szCs w:val="21"/>
                <w:rtl w:val="1"/>
              </w:rPr>
              <w:t>الحدود والمخاطر</w:t>
            </w:r>
          </w:p>
        </w:tc>
      </w:tr>
      <w:tr>
        <w:trPr>
          <w:cantSplit/>
        </w:trPr>
        <w:tc>
          <w:tcPr>
            <w:tcW w:type="dxa" w:w="1928"/>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الاستطلاع بالعينة</w:t>
            </w:r>
          </w:p>
        </w:tc>
        <w:tc>
          <w:tcPr>
            <w:tcW w:type="dxa" w:w="2381"/>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توزيع الاتجاهات ونسب التأييد والمعارضة</w:t>
            </w:r>
          </w:p>
        </w:tc>
        <w:tc>
          <w:tcPr>
            <w:tcW w:type="dxa" w:w="2041"/>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قابلية التعميم إذا صممت العينة علمياً</w:t>
            </w:r>
          </w:p>
        </w:tc>
        <w:tc>
          <w:tcPr>
            <w:tcW w:type="dxa" w:w="2721"/>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حساسية صياغة السؤال، وأثر ترتيب الأسئلة، وإمكان التوجيه</w:t>
            </w:r>
          </w:p>
        </w:tc>
      </w:tr>
      <w:tr>
        <w:trPr>
          <w:cantSplit/>
        </w:trPr>
        <w:tc>
          <w:tcPr>
            <w:tcW w:type="dxa" w:w="1928"/>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تحليل المشاعر في النصوص الرقمية</w:t>
            </w:r>
          </w:p>
        </w:tc>
        <w:tc>
          <w:tcPr>
            <w:tcW w:type="dxa" w:w="2381"/>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المشاعر السائدة في منشورات والتعليقات</w:t>
            </w:r>
          </w:p>
        </w:tc>
        <w:tc>
          <w:tcPr>
            <w:tcW w:type="dxa" w:w="2041"/>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حجم بيانات واسع وزمني متصل</w:t>
            </w:r>
          </w:p>
        </w:tc>
        <w:tc>
          <w:tcPr>
            <w:tcW w:type="dxa" w:w="2721"/>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لا يمثل الجمهور كله، ويختلط بالضجيج والحسابات الآلية</w:t>
            </w:r>
          </w:p>
        </w:tc>
      </w:tr>
      <w:tr>
        <w:trPr>
          <w:cantSplit/>
        </w:trPr>
        <w:tc>
          <w:tcPr>
            <w:tcW w:type="dxa" w:w="1928"/>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البيانات الإدارية</w:t>
            </w:r>
          </w:p>
        </w:tc>
        <w:tc>
          <w:tcPr>
            <w:tcW w:type="dxa" w:w="2381"/>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سلوك فعلي: التحصيل، التأخر، الشكاوى، الاستخدام</w:t>
            </w:r>
          </w:p>
        </w:tc>
        <w:tc>
          <w:tcPr>
            <w:tcW w:type="dxa" w:w="2041"/>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موضوعية عالية لأنها تسجل السلوك لا الرأي</w:t>
            </w:r>
          </w:p>
        </w:tc>
        <w:tc>
          <w:tcPr>
            <w:tcW w:type="dxa" w:w="2721"/>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لا تفسر الدافع، وقد تكون ناقصة أو غير متاحة للباحث</w:t>
            </w:r>
          </w:p>
        </w:tc>
      </w:tr>
      <w:tr>
        <w:trPr>
          <w:cantSplit/>
        </w:trPr>
        <w:tc>
          <w:tcPr>
            <w:tcW w:type="dxa" w:w="1928"/>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مجموعات النقاش والمقابلات</w:t>
            </w:r>
          </w:p>
        </w:tc>
        <w:tc>
          <w:tcPr>
            <w:tcW w:type="dxa" w:w="2381"/>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المعاني والمفردات وأسباب الموقف</w:t>
            </w:r>
          </w:p>
        </w:tc>
        <w:tc>
          <w:tcPr>
            <w:tcW w:type="dxa" w:w="2041"/>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تفسر «لماذا» بعد معرفة «كم»</w:t>
            </w:r>
          </w:p>
        </w:tc>
        <w:tc>
          <w:tcPr>
            <w:tcW w:type="dxa" w:w="2721"/>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عينة صغيرة، وتأثر بالباحث، وصعوبة التعميم</w:t>
            </w:r>
          </w:p>
        </w:tc>
      </w:tr>
      <w:tr>
        <w:trPr>
          <w:cantSplit/>
        </w:trPr>
        <w:tc>
          <w:tcPr>
            <w:tcW w:type="dxa" w:w="1928"/>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الاستفتاء المحلي أو المؤسسي</w:t>
            </w:r>
          </w:p>
        </w:tc>
        <w:tc>
          <w:tcPr>
            <w:tcW w:type="dxa" w:w="2381"/>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موقف جمهور محدد من قرار محدد</w:t>
            </w:r>
          </w:p>
        </w:tc>
        <w:tc>
          <w:tcPr>
            <w:tcW w:type="dxa" w:w="2041"/>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واضح النتيجة وسهل الإعلان</w:t>
            </w:r>
          </w:p>
        </w:tc>
        <w:tc>
          <w:tcPr>
            <w:tcW w:type="dxa" w:w="2721"/>
          </w:tcPr>
          <w:p>
            <w:pPr>
              <w:bidi/>
              <w:spacing w:line="276" w:lineRule="auto" w:before="40" w:after="40"/>
              <w:ind w:firstLine="0"/>
              <w:jc w:val="both"/>
            </w:pPr>
            <w:r/>
            <w:r>
              <w:rPr>
                <w:rFonts w:ascii="Traditional Arabic" w:hAnsi="Traditional Arabic" w:cs="Traditional Arabic"/>
                <w:b w:val="0"/>
                <w:bCs w:val="0"/>
                <w:i w:val="0"/>
                <w:iCs w:val="0"/>
                <w:sz w:val="21"/>
                <w:szCs w:val="21"/>
                <w:rtl w:val="1"/>
              </w:rPr>
              <w:t>سؤال واحد لا يلتقط الشدة ولا السياق، وسهل التلاعب به</w:t>
            </w:r>
          </w:p>
        </w:tc>
      </w:tr>
    </w:tbl>
    <w:p>
      <w:pPr>
        <w:bidi/>
        <w:spacing w:line="240" w:lineRule="auto" w:before="0" w:after="0"/>
        <w:jc w:val="both"/>
      </w:pPr>
    </w:p>
    <w:p>
      <w:pPr>
        <w:bidi/>
        <w:spacing w:line="360" w:lineRule="auto" w:before="0" w:after="120"/>
        <w:ind w:firstLine="567"/>
        <w:jc w:val="both"/>
      </w:pPr>
      <w:r>
        <w:rPr>
          <w:rFonts w:ascii="Traditional Arabic" w:hAnsi="Traditional Arabic" w:cs="Traditional Arabic"/>
          <w:b w:val="0"/>
          <w:bCs w:val="0"/>
          <w:i w:val="0"/>
          <w:iCs w:val="0"/>
          <w:sz w:val="28"/>
          <w:szCs w:val="28"/>
          <w:rtl w:val="1"/>
        </w:rPr>
        <w:t xml:space="preserve">وأضيف إلى الجدول تحذيراً جوهرياً: </w:t>
      </w:r>
      <w:r>
        <w:rPr>
          <w:rFonts w:ascii="Traditional Arabic" w:hAnsi="Traditional Arabic" w:cs="Traditional Arabic"/>
          <w:b w:val="1"/>
          <w:bCs w:val="1"/>
          <w:i w:val="0"/>
          <w:iCs w:val="0"/>
          <w:sz w:val="28"/>
          <w:szCs w:val="28"/>
          <w:rtl w:val="1"/>
        </w:rPr>
        <w:t>القياس ليس بريئاً</w:t>
      </w:r>
      <w:r>
        <w:rPr>
          <w:rFonts w:ascii="Traditional Arabic" w:hAnsi="Traditional Arabic" w:cs="Traditional Arabic"/>
          <w:b w:val="0"/>
          <w:bCs w:val="0"/>
          <w:i w:val="0"/>
          <w:iCs w:val="0"/>
          <w:sz w:val="28"/>
          <w:szCs w:val="28"/>
          <w:rtl w:val="1"/>
        </w:rPr>
        <w:t>. فمن يملك الأداة يستطيع أن يصوغ السؤال بما يخدم نتيجته، وأن يختار العينة التي تعطيه الجواب المطلوب، وأن ينشر النتيجة من دون نشر منهجها. وهذا ما يمكن تسميته «تصنيع الموافقة»: أن تنتج صورة رأي عام مؤيدة، ثم تقدم للعامة على أنها واقع يجب التعامل معه. وفي البيئة الرقمية يزداد الخطر لأن التفاعل قابل للشراء، والحسابات قابلة للإنشاء الآلي، والنتائج قابلة للتضخيم. ولا يعني هذا أن كل استطلاع مشبوه، بل يعني أن الرأي العام الذي يقاس بأداة غير معلنة المنهج لا قيمة علمية له، وأن الصحافة التي تنشر أرقاماً بلا منهج تساهم في تشويه الإدراك العام.</w:t>
      </w:r>
    </w:p>
    <w:p>
      <w:pPr>
        <w:pStyle w:val="Heading2"/>
        <w:keepNext/>
        <w:bidi/>
        <w:spacing w:line="312" w:lineRule="auto" w:before="200" w:after="120"/>
        <w:ind w:firstLine="0"/>
        <w:jc w:val="right"/>
      </w:pPr>
      <w:r>
        <w:rPr>
          <w:rFonts w:ascii="Traditional Arabic" w:hAnsi="Traditional Arabic" w:cs="Traditional Arabic"/>
          <w:b w:val="1"/>
          <w:bCs w:val="1"/>
          <w:i w:val="0"/>
          <w:iCs w:val="0"/>
          <w:sz w:val="32"/>
          <w:szCs w:val="32"/>
          <w:rtl w:val="1"/>
        </w:rPr>
        <w:t>5.7 خمس توصيات عملية</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التوصية الأولى: إعلان منهج القياس قبل النتيجة.</w:t>
      </w:r>
      <w:r>
        <w:rPr>
          <w:rFonts w:ascii="Traditional Arabic" w:hAnsi="Traditional Arabic" w:cs="Traditional Arabic"/>
          <w:b w:val="0"/>
          <w:bCs w:val="0"/>
          <w:i w:val="0"/>
          <w:iCs w:val="0"/>
          <w:sz w:val="28"/>
          <w:szCs w:val="28"/>
          <w:rtl w:val="1"/>
        </w:rPr>
        <w:t xml:space="preserve"> كل جهة تنشر استطلاعاً أو مؤشراً للرأي العام الاقتصادي يجب أن تنشر معه: حجم العينة، وطريقة اختيارها، ونص الأسئلة، وتاريخ الجمع. فالشفافية هنا ليست إجراء شكلياً بل شرط للمصداقية.</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التوصية الثانية: قراءة الرأي العام قبل الإصلاح وبعده لا في وسطه.</w:t>
      </w:r>
      <w:r>
        <w:rPr>
          <w:rFonts w:ascii="Traditional Arabic" w:hAnsi="Traditional Arabic" w:cs="Traditional Arabic"/>
          <w:b w:val="0"/>
          <w:bCs w:val="0"/>
          <w:i w:val="0"/>
          <w:iCs w:val="0"/>
          <w:sz w:val="28"/>
          <w:szCs w:val="28"/>
          <w:rtl w:val="1"/>
        </w:rPr>
        <w:t xml:space="preserve"> إصلاح الدعم أو الأجور يحتاج إلى قياس قبلي يحدد المخاوف الحقيقية، وقياس بعدي يحدد الأثر. والاكتفاء بقياس واحد ينتج صورة مبتورة.</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التوصية الثالثة: استكمال الاستطلاع بمجموعات نقاش.</w:t>
      </w:r>
      <w:r>
        <w:rPr>
          <w:rFonts w:ascii="Traditional Arabic" w:hAnsi="Traditional Arabic" w:cs="Traditional Arabic"/>
          <w:b w:val="0"/>
          <w:bCs w:val="0"/>
          <w:i w:val="0"/>
          <w:iCs w:val="0"/>
          <w:sz w:val="28"/>
          <w:szCs w:val="28"/>
          <w:rtl w:val="1"/>
        </w:rPr>
        <w:t xml:space="preserve"> الأرقام تقول «كم»، ولا تقول «لماذا». ومجموعة نقاش من ثمانية إلى عشرة أشخاص تستطيع أن تفسر الرقم وأن تكشف مفردات الناس الحقيقية.</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التوصية الرابعة: تدريب الموظفين على التواصل الاقتصادي.</w:t>
      </w:r>
      <w:r>
        <w:rPr>
          <w:rFonts w:ascii="Traditional Arabic" w:hAnsi="Traditional Arabic" w:cs="Traditional Arabic"/>
          <w:b w:val="0"/>
          <w:bCs w:val="0"/>
          <w:i w:val="0"/>
          <w:iCs w:val="0"/>
          <w:sz w:val="28"/>
          <w:szCs w:val="28"/>
          <w:rtl w:val="1"/>
        </w:rPr>
        <w:t xml:space="preserve"> كثير من سوء الفهم في الخدمات المالية والضريبية ينشأ من صياغة، لا من سياسة. والموظف الذي يشرح بوضوح يصنع رأياً عاماً أفضل من حملة إعلانية مكلفة.</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التوصية الخامسة: حماية الفضاء العام من التضخيم المنظم.</w:t>
      </w:r>
      <w:r>
        <w:rPr>
          <w:rFonts w:ascii="Traditional Arabic" w:hAnsi="Traditional Arabic" w:cs="Traditional Arabic"/>
          <w:b w:val="0"/>
          <w:bCs w:val="0"/>
          <w:i w:val="0"/>
          <w:iCs w:val="0"/>
          <w:sz w:val="28"/>
          <w:szCs w:val="28"/>
          <w:rtl w:val="1"/>
        </w:rPr>
        <w:t xml:space="preserve"> ينبغي التعامل مع الحسابات الآلية والتفاعل المشترى بوصفه تلوثاً معلوماتياً يفسد قياس الرأي العام، وليس مجرد ظاهرة تقنية عابرة. والجهات التي تبني قراراتها على مؤشرات ملوثة تخطئ في التقدير ثم تلوم الجمهور.</w:t>
      </w:r>
    </w:p>
    <w:p>
      <w:pPr>
        <w:pStyle w:val="Heading1"/>
        <w:keepNext/>
        <w:pageBreakBefore/>
        <w:bidi/>
        <w:spacing w:line="312" w:lineRule="auto" w:before="0" w:after="160"/>
        <w:ind w:firstLine="0"/>
        <w:jc w:val="right"/>
      </w:pPr>
      <w:r>
        <w:rPr>
          <w:rFonts w:ascii="Traditional Arabic" w:hAnsi="Traditional Arabic" w:cs="Traditional Arabic"/>
          <w:b w:val="1"/>
          <w:bCs w:val="1"/>
          <w:i w:val="0"/>
          <w:iCs w:val="0"/>
          <w:sz w:val="36"/>
          <w:szCs w:val="36"/>
          <w:rtl w:val="1"/>
        </w:rPr>
        <w:t>الخاتمة والتوصيات</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تناولت هذه الوظيفة الرأي العام من خمسة مداخل متصلة، وحاولنا فيها أن ننتقل من تحرير المفهوم إلى تفسير تكونه، ثم إلى قراءة علاقته بالسياسة الاقتصادية. ويمكن تلخيص ما انتهينا إليه في خمس نتائج تقابل الأسئلة الخمسة.</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أما السؤال الأول، فقد خلصنا فيه إلى أن الرأي العام ليس مجموع آراء الأفراد، بل توزيع لاتجاهات جمهور معرف اجتماعياً تجاه قضية عامة، في زمان ومكان محددين، بتعبير ظاهر ووزن قابل للقياس. وهذا التعريف يفرض علينا أن نسأل دائماً ثلاثة أسئلة قبل أن نقبل أي رقم: من سئل؟ وعن أي قضية؟ وفي أي ظرف؟</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وأما السؤال الثاني، فقد أظهر أن خصائص الرأي العام تعمل شبكة لا قائمة؛ فالديناميكية تفسرها القابلية للتوجيه، والقياس تحده النسبية، والتعبيرية تشوهها دوامة الصمت. ومن ثم فإن فهم خاصية واحدة بمعزل عن غيرها لا ينتج معرفة، بل ينتج وصفاً.</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وأما السؤال الثالث، فقد بين أن النظريات المفسرة لتشكل الرأي العام تنتقل من الفرد إلى الجماعة إلى الشبكة، وأن أياً منها لا يفسر الظاهرة وحدها؛ فالنموذج الأصدق هو نموذج الوساطات المتعددة: بوابة إعلامية، ثم وسيط بشري، ثم مناخ اجتماعي، ثم أداة قياس.</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وأما السؤال الرابع، فقد أوضح أن الخلفيات الثقافية والنفسية والاجتماعية تعمل معاً كجهاز استقبال؛ الثقافة تعطي المعنى، والنفس تعطي درجة التعبير، والاجتماع يعطي مسار الانتشار. والطبقة النفسية هي الأبطأ تغيراً، ولهذا لا يكفي التعليم وحده لتصحيح الرأي العام.</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وأما السؤال الخامس، فقد انتهينا فيه إلى أن العلاقة بين الرأي العام والسياسة الاقتصادية تبادلية غير متساوية: السياسة الاقتصادية تشكل الرأي العام بسرعة لأنها تمس المعيشة مباشرة، والرأي العام يؤثر في السياسة ببطء لأنه يمر عبر الثقة والتوقعات والالتزام. وهذه الخلاصة تعيدنا إلى المشكلة الرئيسة التي بدأنا بها.</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فقد انطلقنا من ملاحظة أن ارتفاع مستوى التعليم وانتشاره، وتطور وسائل الاتصال، وزيادة الاحتكاك بين الشعوب، والتغيرات الاقتصادية، جعلت دراسات الرأي العام ضرورية لتوسيع الإنتاج والتخطيط الاقتصادي. وما توصلنا إليه يؤكد هذه الملاحظة ويعدلها في الوقت نفسه. يؤكدها، لأن الجمهور المتعلم المتصل يصبح طرفاً في القرار الاقتصادي لا متلقياً له، ولا يمكن تخطيط الإنتاج من دون معرفة توقعاته. ويعدلها، لأن التعليم والاتصال لا ينتجان رأياً عاماً رشيداً تلقائياً؛ فالاتصال نفسه قد يضخم الخطأ، والتعليم نفسه قد يزيد الثقة الزائدة. ومن هنا فإن الحاجة إلى دراسات الرأي العام لم تزد فقط بزيادة التعليم والاتصال، بل زادت أيضاً بزيادة مخاطر التضليل والاستقطاب المصاحبة لهما.</w:t>
      </w:r>
    </w:p>
    <w:p>
      <w:pPr>
        <w:pStyle w:val="Heading2"/>
        <w:keepNext/>
        <w:bidi/>
        <w:spacing w:line="312" w:lineRule="auto" w:before="200" w:after="120"/>
        <w:ind w:firstLine="0"/>
        <w:jc w:val="right"/>
      </w:pPr>
      <w:r>
        <w:rPr>
          <w:rFonts w:ascii="Traditional Arabic" w:hAnsi="Traditional Arabic" w:cs="Traditional Arabic"/>
          <w:b w:val="1"/>
          <w:bCs w:val="1"/>
          <w:i w:val="0"/>
          <w:iCs w:val="0"/>
          <w:sz w:val="32"/>
          <w:szCs w:val="32"/>
          <w:rtl w:val="1"/>
        </w:rPr>
        <w:t>التوصيات العامة</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أولاً:</w:t>
      </w:r>
      <w:r>
        <w:rPr>
          <w:rFonts w:ascii="Traditional Arabic" w:hAnsi="Traditional Arabic" w:cs="Traditional Arabic"/>
          <w:b w:val="0"/>
          <w:bCs w:val="0"/>
          <w:i w:val="0"/>
          <w:iCs w:val="0"/>
          <w:sz w:val="28"/>
          <w:szCs w:val="28"/>
          <w:rtl w:val="1"/>
        </w:rPr>
        <w:t xml:space="preserve"> إدماج قياس الرأي العام في دورة القرار الاقتصادي بوصفه مرحلة لازمة، لا خدمة إضافية تطلب بعد اتخاذ القرار.</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ثانياً:</w:t>
      </w:r>
      <w:r>
        <w:rPr>
          <w:rFonts w:ascii="Traditional Arabic" w:hAnsi="Traditional Arabic" w:cs="Traditional Arabic"/>
          <w:b w:val="0"/>
          <w:bCs w:val="0"/>
          <w:i w:val="0"/>
          <w:iCs w:val="0"/>
          <w:sz w:val="28"/>
          <w:szCs w:val="28"/>
          <w:rtl w:val="1"/>
        </w:rPr>
        <w:t xml:space="preserve"> تعليم مهارات التحقق من المعلومة في المراحل التعليمية المبكرة، لأن التعليم الذي يمنح معلومات بلا مهارات نقدية قد يزيد قابلية الجمهور للتوجيه.</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ثالثاً:</w:t>
      </w:r>
      <w:r>
        <w:rPr>
          <w:rFonts w:ascii="Traditional Arabic" w:hAnsi="Traditional Arabic" w:cs="Traditional Arabic"/>
          <w:b w:val="0"/>
          <w:bCs w:val="0"/>
          <w:i w:val="0"/>
          <w:iCs w:val="0"/>
          <w:sz w:val="28"/>
          <w:szCs w:val="28"/>
          <w:rtl w:val="1"/>
        </w:rPr>
        <w:t xml:space="preserve"> إلزام الجهات التي تنشر أرقاماً عن الرأي العام بنشر منهجها، وتأسيس مرجعية مهنية للاستطلاعات تحمي الفضاء العام من التضخيم المنظم.</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رابعاً:</w:t>
      </w:r>
      <w:r>
        <w:rPr>
          <w:rFonts w:ascii="Traditional Arabic" w:hAnsi="Traditional Arabic" w:cs="Traditional Arabic"/>
          <w:b w:val="0"/>
          <w:bCs w:val="0"/>
          <w:i w:val="0"/>
          <w:iCs w:val="0"/>
          <w:sz w:val="28"/>
          <w:szCs w:val="28"/>
          <w:rtl w:val="1"/>
        </w:rPr>
        <w:t xml:space="preserve"> توجيه الدراسات الجامعية نحو الجمع بين النظري والكيفي، لأن الاعتماد الكامل على الاستبيان - كما لاحظنا في مراجعة عربية حديثة - ينتج معرفة بالأرقام بلا فهم للسياق</w:t>
      </w:r>
      <w:r>
        <w:rPr>
          <w:rStyle w:val="FootnoteReference"/>
          <w:rFonts w:ascii="Traditional Arabic" w:hAnsi="Traditional Arabic" w:cs="Traditional Arabic"/>
          <w:sz w:val="28"/>
          <w:szCs w:val="28"/>
          <w:rtl w:val="1"/>
        </w:rPr>
        <w:footnoteReference w:id="43"/>
      </w:r>
      <w:r>
        <w:rPr>
          <w:rFonts w:ascii="Traditional Arabic" w:hAnsi="Traditional Arabic" w:cs="Traditional Arabic"/>
          <w:b w:val="0"/>
          <w:bCs w:val="0"/>
          <w:i w:val="0"/>
          <w:iCs w:val="0"/>
          <w:sz w:val="28"/>
          <w:szCs w:val="28"/>
          <w:rtl w:val="1"/>
        </w:rPr>
        <w:t>.</w:t>
      </w:r>
    </w:p>
    <w:p>
      <w:pPr>
        <w:pStyle w:val="Heading2"/>
        <w:keepNext/>
        <w:bidi/>
        <w:spacing w:line="312" w:lineRule="auto" w:before="200" w:after="120"/>
        <w:ind w:firstLine="0"/>
        <w:jc w:val="right"/>
      </w:pPr>
      <w:r>
        <w:rPr>
          <w:rFonts w:ascii="Traditional Arabic" w:hAnsi="Traditional Arabic" w:cs="Traditional Arabic"/>
          <w:b w:val="1"/>
          <w:bCs w:val="1"/>
          <w:i w:val="0"/>
          <w:iCs w:val="0"/>
          <w:sz w:val="32"/>
          <w:szCs w:val="32"/>
          <w:rtl w:val="1"/>
        </w:rPr>
        <w:t>كلمة أخيرة</w:t>
      </w:r>
    </w:p>
    <w:p>
      <w:pPr>
        <w:pStyle w:val="Heading2"/>
        <w:keepNext/>
        <w:bidi/>
        <w:spacing w:line="312" w:lineRule="auto" w:before="200" w:after="120"/>
        <w:ind w:firstLine="0"/>
        <w:jc w:val="right"/>
      </w:pPr>
      <w:r>
        <w:rPr>
          <w:rFonts w:ascii="Traditional Arabic" w:hAnsi="Traditional Arabic" w:cs="Traditional Arabic"/>
          <w:b w:val="1"/>
          <w:bCs w:val="1"/>
          <w:i w:val="0"/>
          <w:iCs w:val="0"/>
          <w:sz w:val="32"/>
          <w:szCs w:val="32"/>
          <w:rtl w:val="1"/>
        </w:rPr>
        <w:t>كلمة جان شادي عبود (jan_436439)</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 xml:space="preserve">بدأت هذه الوظيفة وأنا أظن أن الرأي العام موضوع «أدبي» لا يمس عملي في الشبكات والبرمجيات. ثم تبين لي العكس: كل نظام تقني يبنى وفق تصور عن سلوك الناس، وكل تصور عن سلوك الناس هو رأي عام مصغر. وحين أدير شبكة وأرى كيف ينتقل خبر عن خلل واحد فيتحول إلى حكم على المؤسسة كلها، أدرك أن ما درسناه في الكتب يجري أمامي في دقائق. وأكثر ما غير تفكيري في هذه الوظيفة هو فهم أن </w:t>
      </w:r>
      <w:r>
        <w:rPr>
          <w:rFonts w:ascii="Traditional Arabic" w:hAnsi="Traditional Arabic" w:cs="Traditional Arabic"/>
          <w:b w:val="1"/>
          <w:bCs w:val="1"/>
          <w:i w:val="0"/>
          <w:iCs w:val="0"/>
          <w:sz w:val="28"/>
          <w:szCs w:val="28"/>
          <w:rtl w:val="1"/>
        </w:rPr>
        <w:t>الوسيط لا يكون محايداً</w:t>
      </w:r>
      <w:r>
        <w:rPr>
          <w:rFonts w:ascii="Traditional Arabic" w:hAnsi="Traditional Arabic" w:cs="Traditional Arabic"/>
          <w:b w:val="0"/>
          <w:bCs w:val="0"/>
          <w:i w:val="0"/>
          <w:iCs w:val="0"/>
          <w:sz w:val="28"/>
          <w:szCs w:val="28"/>
          <w:rtl w:val="1"/>
        </w:rPr>
        <w:t>؛ فخوارزمية التوصية التي صممتها لتظهر «الأهم» هي في الحقيقة تصنع «الأهم». وهذه مسؤولية تقنية وأخلاقية في الوقت نفسه، وليست مسألة إعدادات.</w:t>
      </w:r>
    </w:p>
    <w:p>
      <w:pPr>
        <w:pStyle w:val="Heading2"/>
        <w:keepNext/>
        <w:bidi/>
        <w:spacing w:line="312" w:lineRule="auto" w:before="200" w:after="120"/>
        <w:ind w:firstLine="0"/>
        <w:jc w:val="right"/>
      </w:pPr>
      <w:r>
        <w:rPr>
          <w:rFonts w:ascii="Traditional Arabic" w:hAnsi="Traditional Arabic" w:cs="Traditional Arabic"/>
          <w:b w:val="1"/>
          <w:bCs w:val="1"/>
          <w:i w:val="0"/>
          <w:iCs w:val="0"/>
          <w:sz w:val="32"/>
          <w:szCs w:val="32"/>
          <w:rtl w:val="1"/>
        </w:rPr>
        <w:t>كلمة وديع هيثم سلوم (wadee_440350)</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أنهيت هذه الوظيفة وأنا أقل ثقة بالأرقام وحدها، وأكثر ثقة بالإنصات. فمن خلال عملي في المصرف تعلمت أن الشكوى التي تبدو صغيرة قد تكون مفتاحاً لفهم مزاج عام واسع، وأن العميل الذي يرفع صوته ليس دائماً الأكثر تضرراً، بل قد يكون الأكثر قدرة على التعبير. وقد ساعدتني مجموعتي الكشفية على ملاحظة كيف تتكون الآراء في الجماعات الصغيرة: بالحديث الجانبي أكثر من الإعلان، وبالقدوة أكثر من التعليمات. وأظن أن أهم ما ينبغي أن يتذكره من يدرس الرأي العام أنه يتعامل مع بشر، لا مع بيانات؛ وأن الصمت معطى يجب تفسيره، لا فراغاً يجب ملؤه.</w:t>
      </w:r>
    </w:p>
    <w:p>
      <w:pPr>
        <w:pStyle w:val="Heading2"/>
        <w:keepNext/>
        <w:bidi/>
        <w:spacing w:line="312" w:lineRule="auto" w:before="200" w:after="120"/>
        <w:ind w:firstLine="0"/>
        <w:jc w:val="right"/>
      </w:pPr>
      <w:r>
        <w:rPr>
          <w:rFonts w:ascii="Traditional Arabic" w:hAnsi="Traditional Arabic" w:cs="Traditional Arabic"/>
          <w:b w:val="1"/>
          <w:bCs w:val="1"/>
          <w:i w:val="0"/>
          <w:iCs w:val="0"/>
          <w:sz w:val="32"/>
          <w:szCs w:val="32"/>
          <w:rtl w:val="1"/>
        </w:rPr>
        <w:t>الصعوبات التي واجهت الباحثين</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من موقع جان:</w:t>
      </w:r>
      <w:r>
        <w:rPr>
          <w:rFonts w:ascii="Traditional Arabic" w:hAnsi="Traditional Arabic" w:cs="Traditional Arabic"/>
          <w:b w:val="0"/>
          <w:bCs w:val="0"/>
          <w:i w:val="0"/>
          <w:iCs w:val="0"/>
          <w:sz w:val="28"/>
          <w:szCs w:val="28"/>
          <w:rtl w:val="1"/>
        </w:rPr>
        <w:t xml:space="preserve"> واجهتني صعوبة في التوفيق بين دقة التعريفات وتعددها؛ فكل مصدر يعرف الرأي العام وفق غرضه، وكان لا بد من بناء جدول مقارنة يمنع الخلط. كذلك كان من الصعب التحقق من بعض أرقام الصفحات في الكتب الكلاسيكية لعدم توفر النسخ المطبوعة لدي، ولذلك اعتمدت في حالات قليلة الإحالة إلى الفصل بدلاً من الصفحة، وأشرت إلى ما يحتاج تحققاً في ملحق خاص.</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من موقع وديع:</w:t>
      </w:r>
      <w:r>
        <w:rPr>
          <w:rFonts w:ascii="Traditional Arabic" w:hAnsi="Traditional Arabic" w:cs="Traditional Arabic"/>
          <w:b w:val="0"/>
          <w:bCs w:val="0"/>
          <w:i w:val="0"/>
          <w:iCs w:val="0"/>
          <w:sz w:val="28"/>
          <w:szCs w:val="28"/>
          <w:rtl w:val="1"/>
        </w:rPr>
        <w:t xml:space="preserve"> تمثلت الصعوبة الأكبر في مقاومة إغراء التعميم؛ فالعمل في المصرف يوفر أمثلة كثيرة، لكن الأمثلة ليست عينة، وكان لا بد من التذكير بذلك في كل مرة. وثمة صعوبة ثانية هي تجنب الدخول في تقييمات سياسية لا تخدم البحث العلمي، والاكتفاء بوصف العلاقة بين الرأي العام والسياسة الاقتصادية بلغة تحليلية.</w:t>
      </w:r>
    </w:p>
    <w:p>
      <w:pPr>
        <w:pStyle w:val="Heading2"/>
        <w:keepNext/>
        <w:bidi/>
        <w:spacing w:line="312" w:lineRule="auto" w:before="200" w:after="120"/>
        <w:ind w:firstLine="0"/>
        <w:jc w:val="right"/>
      </w:pPr>
      <w:r>
        <w:rPr>
          <w:rFonts w:ascii="Traditional Arabic" w:hAnsi="Traditional Arabic" w:cs="Traditional Arabic"/>
          <w:b w:val="1"/>
          <w:bCs w:val="1"/>
          <w:i w:val="0"/>
          <w:iCs w:val="0"/>
          <w:sz w:val="32"/>
          <w:szCs w:val="32"/>
          <w:rtl w:val="1"/>
        </w:rPr>
        <w:t>ما أضافه العمل إلى كل طالب</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جان:</w:t>
      </w:r>
      <w:r>
        <w:rPr>
          <w:rFonts w:ascii="Traditional Arabic" w:hAnsi="Traditional Arabic" w:cs="Traditional Arabic"/>
          <w:b w:val="0"/>
          <w:bCs w:val="0"/>
          <w:i w:val="0"/>
          <w:iCs w:val="0"/>
          <w:sz w:val="28"/>
          <w:szCs w:val="28"/>
          <w:rtl w:val="1"/>
        </w:rPr>
        <w:t xml:space="preserve"> أضاف لي العمل إطاراً نظرياً أقرأ به ما أفعله كل يوم؛ فقد صرت أنظر إلى واجهات الاستخدام وقوائم التوصية بوصفها أدوات تشكيل رأي، لا أدوات خدمة فقط. وأضاف لي أيضاً منهجاً في التوثيق: لم أعد أقبل رقماً بلا مصدر، ولو كان الرقم يوافق ما أعتقده.</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وديع:</w:t>
      </w:r>
      <w:r>
        <w:rPr>
          <w:rFonts w:ascii="Traditional Arabic" w:hAnsi="Traditional Arabic" w:cs="Traditional Arabic"/>
          <w:b w:val="0"/>
          <w:bCs w:val="0"/>
          <w:i w:val="0"/>
          <w:iCs w:val="0"/>
          <w:sz w:val="28"/>
          <w:szCs w:val="28"/>
          <w:rtl w:val="1"/>
        </w:rPr>
        <w:t xml:space="preserve"> أضاف لي العمل قدرة على الربط بين الحالة الفردية والنسق العام؛ فبعد كتابة المبحث الرابع صرت أقرأ شكاوى العملاء بوصفها مؤشرات لا حوادث منفردة، وصرت أدرك أن التواصل الجيد سياسة اقتصادية بالمعنى الدقيق، لأنه يصنع ثقة، والثقة تصنع قراراً.</w:t>
      </w:r>
    </w:p>
    <w:p>
      <w:pPr>
        <w:pStyle w:val="Heading1"/>
        <w:keepNext/>
        <w:pageBreakBefore/>
        <w:bidi/>
        <w:spacing w:line="312" w:lineRule="auto" w:before="0" w:after="160"/>
        <w:ind w:firstLine="0"/>
        <w:jc w:val="right"/>
      </w:pPr>
      <w:r>
        <w:rPr>
          <w:rFonts w:ascii="Traditional Arabic" w:hAnsi="Traditional Arabic" w:cs="Traditional Arabic"/>
          <w:b w:val="1"/>
          <w:bCs w:val="1"/>
          <w:i w:val="0"/>
          <w:iCs w:val="0"/>
          <w:sz w:val="36"/>
          <w:szCs w:val="36"/>
          <w:rtl w:val="1"/>
        </w:rPr>
        <w:t>مسرد المصطلحات</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جمعنا في هذا المسرد المصطلحات التي تكرر استخدامها في البحث، وحرصنا على أن يكون تعريف كل مصطلح تعريفاً إجرائياً يصلح للاستعمال في القياس، لا تعريفاً معجمياً عاماً:</w:t>
      </w:r>
    </w:p>
    <w:p>
      <w:pPr>
        <w:keepNext/>
        <w:bidi/>
        <w:spacing w:line="276" w:lineRule="auto" w:before="120" w:after="80"/>
        <w:ind w:firstLine="0"/>
        <w:jc w:val="center"/>
      </w:pPr>
      <w:bookmarkStart w:id="108" w:name="_Tbl8"/>
      <w:r>
        <w:rPr>
          <w:rFonts w:ascii="Traditional Arabic" w:hAnsi="Traditional Arabic" w:cs="Traditional Arabic"/>
          <w:b w:val="1"/>
          <w:bCs w:val="1"/>
          <w:i w:val="0"/>
          <w:iCs w:val="0"/>
          <w:sz w:val="24"/>
          <w:szCs w:val="24"/>
          <w:rtl w:val="1"/>
        </w:rPr>
        <w:t>الجدول (7): مسرد المصطلحات الأساسية الواردة في الوظيفة</w:t>
      </w:r>
      <w:bookmarkEnd w:id="108"/>
    </w:p>
    <w:tbl>
      <w:tblPr>
        <w:tblStyle w:val="TableGrid"/>
        <w:bidiVisual/>
        <w:tblW w:type="auto" w:w="0"/>
        <w:jc w:val="center"/>
        <w:tblLook w:firstColumn="1" w:firstRow="1" w:lastColumn="0" w:lastRow="0" w:noHBand="0" w:noVBand="1" w:val="04A0"/>
      </w:tblPr>
      <w:tblGrid>
        <w:gridCol w:w="4536"/>
        <w:gridCol w:w="4536"/>
      </w:tblGrid>
      <w:tr>
        <w:trPr>
          <w:cantSplit/>
          <w:tblHeader/>
        </w:trPr>
        <w:tc>
          <w:tcPr>
            <w:tcW w:type="dxa" w:w="2041"/>
            <w:shd w:val="clear" w:fill="E8E8E8"/>
          </w:tcPr>
          <w:p>
            <w:pPr>
              <w:bidi/>
              <w:spacing w:line="276" w:lineRule="auto" w:before="40" w:after="40"/>
              <w:ind w:firstLine="0"/>
              <w:jc w:val="center"/>
            </w:pPr>
            <w:r/>
            <w:r>
              <w:rPr>
                <w:rFonts w:ascii="Traditional Arabic" w:hAnsi="Traditional Arabic" w:cs="Traditional Arabic"/>
                <w:b w:val="1"/>
                <w:bCs w:val="1"/>
                <w:i w:val="0"/>
                <w:iCs w:val="0"/>
                <w:sz w:val="22"/>
                <w:szCs w:val="22"/>
                <w:rtl w:val="1"/>
              </w:rPr>
              <w:t>المصطلح</w:t>
            </w:r>
          </w:p>
        </w:tc>
        <w:tc>
          <w:tcPr>
            <w:tcW w:type="dxa" w:w="7030"/>
            <w:shd w:val="clear" w:fill="E8E8E8"/>
          </w:tcPr>
          <w:p>
            <w:pPr>
              <w:bidi/>
              <w:spacing w:line="276" w:lineRule="auto" w:before="40" w:after="40"/>
              <w:ind w:firstLine="0"/>
              <w:jc w:val="center"/>
            </w:pPr>
            <w:r/>
            <w:r>
              <w:rPr>
                <w:rFonts w:ascii="Traditional Arabic" w:hAnsi="Traditional Arabic" w:cs="Traditional Arabic"/>
                <w:b w:val="1"/>
                <w:bCs w:val="1"/>
                <w:i w:val="0"/>
                <w:iCs w:val="0"/>
                <w:sz w:val="22"/>
                <w:szCs w:val="22"/>
                <w:rtl w:val="1"/>
              </w:rPr>
              <w:t>تعريفه الإجرائي في هذه الوظيفة</w:t>
            </w:r>
          </w:p>
        </w:tc>
      </w:tr>
      <w:tr>
        <w:trPr>
          <w:cantSplit/>
        </w:trPr>
        <w:tc>
          <w:tcPr>
            <w:tcW w:type="dxa" w:w="2041"/>
          </w:tcPr>
          <w:p>
            <w:pPr>
              <w:bidi/>
              <w:spacing w:line="276" w:lineRule="auto" w:before="40" w:after="40"/>
              <w:ind w:firstLine="0"/>
              <w:jc w:val="both"/>
            </w:pPr>
            <w:r/>
            <w:r>
              <w:rPr>
                <w:rFonts w:ascii="Traditional Arabic" w:hAnsi="Traditional Arabic" w:cs="Traditional Arabic"/>
                <w:b w:val="0"/>
                <w:bCs w:val="0"/>
                <w:i w:val="0"/>
                <w:iCs w:val="0"/>
                <w:sz w:val="22"/>
                <w:szCs w:val="22"/>
                <w:rtl w:val="1"/>
              </w:rPr>
              <w:t>الرأي العام</w:t>
            </w:r>
          </w:p>
        </w:tc>
        <w:tc>
          <w:tcPr>
            <w:tcW w:type="dxa" w:w="7030"/>
          </w:tcPr>
          <w:p>
            <w:pPr>
              <w:bidi/>
              <w:spacing w:line="276" w:lineRule="auto" w:before="40" w:after="40"/>
              <w:ind w:firstLine="0"/>
              <w:jc w:val="both"/>
            </w:pPr>
            <w:r/>
            <w:r>
              <w:rPr>
                <w:rFonts w:ascii="Traditional Arabic" w:hAnsi="Traditional Arabic" w:cs="Traditional Arabic"/>
                <w:b w:val="0"/>
                <w:bCs w:val="0"/>
                <w:i w:val="0"/>
                <w:iCs w:val="0"/>
                <w:sz w:val="22"/>
                <w:szCs w:val="22"/>
                <w:rtl w:val="1"/>
              </w:rPr>
              <w:t>توزيع ملحوظ لاتجاهات جمهور معرف تجاه قضية عامة، في زمان ومكان محددين، بتعبير ظاهر ووزن قابل للقياس</w:t>
            </w:r>
          </w:p>
        </w:tc>
      </w:tr>
      <w:tr>
        <w:trPr>
          <w:cantSplit/>
        </w:trPr>
        <w:tc>
          <w:tcPr>
            <w:tcW w:type="dxa" w:w="2041"/>
          </w:tcPr>
          <w:p>
            <w:pPr>
              <w:bidi/>
              <w:spacing w:line="276" w:lineRule="auto" w:before="40" w:after="40"/>
              <w:ind w:firstLine="0"/>
              <w:jc w:val="both"/>
            </w:pPr>
            <w:r/>
            <w:r>
              <w:rPr>
                <w:rFonts w:ascii="Traditional Arabic" w:hAnsi="Traditional Arabic" w:cs="Traditional Arabic"/>
                <w:b w:val="0"/>
                <w:bCs w:val="0"/>
                <w:i w:val="0"/>
                <w:iCs w:val="0"/>
                <w:sz w:val="22"/>
                <w:szCs w:val="22"/>
                <w:rtl w:val="1"/>
              </w:rPr>
              <w:t>الجمهور</w:t>
            </w:r>
          </w:p>
        </w:tc>
        <w:tc>
          <w:tcPr>
            <w:tcW w:type="dxa" w:w="7030"/>
          </w:tcPr>
          <w:p>
            <w:pPr>
              <w:bidi/>
              <w:spacing w:line="276" w:lineRule="auto" w:before="40" w:after="40"/>
              <w:ind w:firstLine="0"/>
              <w:jc w:val="both"/>
            </w:pPr>
            <w:r/>
            <w:r>
              <w:rPr>
                <w:rFonts w:ascii="Traditional Arabic" w:hAnsi="Traditional Arabic" w:cs="Traditional Arabic"/>
                <w:b w:val="0"/>
                <w:bCs w:val="0"/>
                <w:i w:val="0"/>
                <w:iCs w:val="0"/>
                <w:sz w:val="22"/>
                <w:szCs w:val="22"/>
                <w:rtl w:val="1"/>
              </w:rPr>
              <w:t>جماعة لها حد أدنى من الاهتمام المشترك بموضوع، وليست كل جماعة متصلة تقنياً</w:t>
            </w:r>
          </w:p>
        </w:tc>
      </w:tr>
      <w:tr>
        <w:trPr>
          <w:cantSplit/>
        </w:trPr>
        <w:tc>
          <w:tcPr>
            <w:tcW w:type="dxa" w:w="2041"/>
          </w:tcPr>
          <w:p>
            <w:pPr>
              <w:bidi/>
              <w:spacing w:line="276" w:lineRule="auto" w:before="40" w:after="40"/>
              <w:ind w:firstLine="0"/>
              <w:jc w:val="both"/>
            </w:pPr>
            <w:r/>
            <w:r>
              <w:rPr>
                <w:rFonts w:ascii="Traditional Arabic" w:hAnsi="Traditional Arabic" w:cs="Traditional Arabic"/>
                <w:b w:val="0"/>
                <w:bCs w:val="0"/>
                <w:i w:val="0"/>
                <w:iCs w:val="0"/>
                <w:sz w:val="22"/>
                <w:szCs w:val="22"/>
                <w:rtl w:val="1"/>
              </w:rPr>
              <w:t>القضية العامة</w:t>
            </w:r>
          </w:p>
        </w:tc>
        <w:tc>
          <w:tcPr>
            <w:tcW w:type="dxa" w:w="7030"/>
          </w:tcPr>
          <w:p>
            <w:pPr>
              <w:bidi/>
              <w:spacing w:line="276" w:lineRule="auto" w:before="40" w:after="40"/>
              <w:ind w:firstLine="0"/>
              <w:jc w:val="both"/>
            </w:pPr>
            <w:r/>
            <w:r>
              <w:rPr>
                <w:rFonts w:ascii="Traditional Arabic" w:hAnsi="Traditional Arabic" w:cs="Traditional Arabic"/>
                <w:b w:val="0"/>
                <w:bCs w:val="0"/>
                <w:i w:val="0"/>
                <w:iCs w:val="0"/>
                <w:sz w:val="22"/>
                <w:szCs w:val="22"/>
                <w:rtl w:val="1"/>
              </w:rPr>
              <w:t>موضوع يمس مصالح عدد معتبر من الناس ويخرج من دائرة الشأن الخاص</w:t>
            </w:r>
          </w:p>
        </w:tc>
      </w:tr>
      <w:tr>
        <w:trPr>
          <w:cantSplit/>
        </w:trPr>
        <w:tc>
          <w:tcPr>
            <w:tcW w:type="dxa" w:w="2041"/>
          </w:tcPr>
          <w:p>
            <w:pPr>
              <w:bidi/>
              <w:spacing w:line="276" w:lineRule="auto" w:before="40" w:after="40"/>
              <w:ind w:firstLine="0"/>
              <w:jc w:val="both"/>
            </w:pPr>
            <w:r/>
            <w:r>
              <w:rPr>
                <w:rFonts w:ascii="Traditional Arabic" w:hAnsi="Traditional Arabic" w:cs="Traditional Arabic"/>
                <w:b w:val="0"/>
                <w:bCs w:val="0"/>
                <w:i w:val="0"/>
                <w:iCs w:val="0"/>
                <w:sz w:val="22"/>
                <w:szCs w:val="22"/>
                <w:rtl w:val="1"/>
              </w:rPr>
              <w:t>الاتجاه</w:t>
            </w:r>
          </w:p>
        </w:tc>
        <w:tc>
          <w:tcPr>
            <w:tcW w:type="dxa" w:w="7030"/>
          </w:tcPr>
          <w:p>
            <w:pPr>
              <w:bidi/>
              <w:spacing w:line="276" w:lineRule="auto" w:before="40" w:after="40"/>
              <w:ind w:firstLine="0"/>
              <w:jc w:val="both"/>
            </w:pPr>
            <w:r/>
            <w:r>
              <w:rPr>
                <w:rFonts w:ascii="Traditional Arabic" w:hAnsi="Traditional Arabic" w:cs="Traditional Arabic"/>
                <w:b w:val="0"/>
                <w:bCs w:val="0"/>
                <w:i w:val="0"/>
                <w:iCs w:val="0"/>
                <w:sz w:val="22"/>
                <w:szCs w:val="22"/>
                <w:rtl w:val="1"/>
              </w:rPr>
              <w:t>استعداد مكتسب للاستجابة بثبات نسبي تجاه موضوع، أعمق وأبطأ تغيراً من الرأي</w:t>
            </w:r>
          </w:p>
        </w:tc>
      </w:tr>
      <w:tr>
        <w:trPr>
          <w:cantSplit/>
        </w:trPr>
        <w:tc>
          <w:tcPr>
            <w:tcW w:type="dxa" w:w="2041"/>
          </w:tcPr>
          <w:p>
            <w:pPr>
              <w:bidi/>
              <w:spacing w:line="276" w:lineRule="auto" w:before="40" w:after="40"/>
              <w:ind w:firstLine="0"/>
              <w:jc w:val="both"/>
            </w:pPr>
            <w:r/>
            <w:r>
              <w:rPr>
                <w:rFonts w:ascii="Traditional Arabic" w:hAnsi="Traditional Arabic" w:cs="Traditional Arabic"/>
                <w:b w:val="0"/>
                <w:bCs w:val="0"/>
                <w:i w:val="0"/>
                <w:iCs w:val="0"/>
                <w:sz w:val="22"/>
                <w:szCs w:val="22"/>
                <w:rtl w:val="1"/>
              </w:rPr>
              <w:t>المزاج العام</w:t>
            </w:r>
          </w:p>
        </w:tc>
        <w:tc>
          <w:tcPr>
            <w:tcW w:type="dxa" w:w="7030"/>
          </w:tcPr>
          <w:p>
            <w:pPr>
              <w:bidi/>
              <w:spacing w:line="276" w:lineRule="auto" w:before="40" w:after="40"/>
              <w:ind w:firstLine="0"/>
              <w:jc w:val="both"/>
            </w:pPr>
            <w:r/>
            <w:r>
              <w:rPr>
                <w:rFonts w:ascii="Traditional Arabic" w:hAnsi="Traditional Arabic" w:cs="Traditional Arabic"/>
                <w:b w:val="0"/>
                <w:bCs w:val="0"/>
                <w:i w:val="0"/>
                <w:iCs w:val="0"/>
                <w:sz w:val="22"/>
                <w:szCs w:val="22"/>
                <w:rtl w:val="1"/>
              </w:rPr>
              <w:t>حالة شعورية سائدة غير محددة الموضوع (تفاؤل عام، سخط عام)</w:t>
            </w:r>
          </w:p>
        </w:tc>
      </w:tr>
      <w:tr>
        <w:trPr>
          <w:cantSplit/>
        </w:trPr>
        <w:tc>
          <w:tcPr>
            <w:tcW w:type="dxa" w:w="2041"/>
          </w:tcPr>
          <w:p>
            <w:pPr>
              <w:bidi/>
              <w:spacing w:line="276" w:lineRule="auto" w:before="40" w:after="40"/>
              <w:ind w:firstLine="0"/>
              <w:jc w:val="both"/>
            </w:pPr>
            <w:r/>
            <w:r>
              <w:rPr>
                <w:rFonts w:ascii="Traditional Arabic" w:hAnsi="Traditional Arabic" w:cs="Traditional Arabic"/>
                <w:b w:val="0"/>
                <w:bCs w:val="0"/>
                <w:i w:val="0"/>
                <w:iCs w:val="0"/>
                <w:sz w:val="22"/>
                <w:szCs w:val="22"/>
                <w:rtl w:val="1"/>
              </w:rPr>
              <w:t>الإجماع</w:t>
            </w:r>
          </w:p>
        </w:tc>
        <w:tc>
          <w:tcPr>
            <w:tcW w:type="dxa" w:w="7030"/>
          </w:tcPr>
          <w:p>
            <w:pPr>
              <w:bidi/>
              <w:spacing w:line="276" w:lineRule="auto" w:before="40" w:after="40"/>
              <w:ind w:firstLine="0"/>
              <w:jc w:val="both"/>
            </w:pPr>
            <w:r/>
            <w:r>
              <w:rPr>
                <w:rFonts w:ascii="Traditional Arabic" w:hAnsi="Traditional Arabic" w:cs="Traditional Arabic"/>
                <w:b w:val="0"/>
                <w:bCs w:val="0"/>
                <w:i w:val="0"/>
                <w:iCs w:val="0"/>
                <w:sz w:val="22"/>
                <w:szCs w:val="22"/>
                <w:rtl w:val="1"/>
              </w:rPr>
              <w:t>اتفاق شبه كامل داخل جماعة على موقف، وهو حالة قصوى نادرة</w:t>
            </w:r>
          </w:p>
        </w:tc>
      </w:tr>
      <w:tr>
        <w:trPr>
          <w:cantSplit/>
        </w:trPr>
        <w:tc>
          <w:tcPr>
            <w:tcW w:type="dxa" w:w="2041"/>
          </w:tcPr>
          <w:p>
            <w:pPr>
              <w:bidi/>
              <w:spacing w:line="276" w:lineRule="auto" w:before="40" w:after="40"/>
              <w:ind w:firstLine="0"/>
              <w:jc w:val="both"/>
            </w:pPr>
            <w:r/>
            <w:r>
              <w:rPr>
                <w:rFonts w:ascii="Traditional Arabic" w:hAnsi="Traditional Arabic" w:cs="Traditional Arabic"/>
                <w:b w:val="0"/>
                <w:bCs w:val="0"/>
                <w:i w:val="0"/>
                <w:iCs w:val="0"/>
                <w:sz w:val="22"/>
                <w:szCs w:val="22"/>
                <w:rtl w:val="1"/>
              </w:rPr>
              <w:t>الدعاية</w:t>
            </w:r>
          </w:p>
        </w:tc>
        <w:tc>
          <w:tcPr>
            <w:tcW w:type="dxa" w:w="7030"/>
          </w:tcPr>
          <w:p>
            <w:pPr>
              <w:bidi/>
              <w:spacing w:line="276" w:lineRule="auto" w:before="40" w:after="40"/>
              <w:ind w:firstLine="0"/>
              <w:jc w:val="both"/>
            </w:pPr>
            <w:r/>
            <w:r>
              <w:rPr>
                <w:rFonts w:ascii="Traditional Arabic" w:hAnsi="Traditional Arabic" w:cs="Traditional Arabic"/>
                <w:b w:val="0"/>
                <w:bCs w:val="0"/>
                <w:i w:val="0"/>
                <w:iCs w:val="0"/>
                <w:sz w:val="22"/>
                <w:szCs w:val="22"/>
                <w:rtl w:val="1"/>
              </w:rPr>
              <w:t>رسائل منظمة تهدف إلى توجيه الجمهور نحو موقف معين بقصد التأثير</w:t>
            </w:r>
          </w:p>
        </w:tc>
      </w:tr>
      <w:tr>
        <w:trPr>
          <w:cantSplit/>
        </w:trPr>
        <w:tc>
          <w:tcPr>
            <w:tcW w:type="dxa" w:w="2041"/>
          </w:tcPr>
          <w:p>
            <w:pPr>
              <w:bidi/>
              <w:spacing w:line="276" w:lineRule="auto" w:before="40" w:after="40"/>
              <w:ind w:firstLine="0"/>
              <w:jc w:val="both"/>
            </w:pPr>
            <w:r/>
            <w:r>
              <w:rPr>
                <w:rFonts w:ascii="Traditional Arabic" w:hAnsi="Traditional Arabic" w:cs="Traditional Arabic"/>
                <w:b w:val="0"/>
                <w:bCs w:val="0"/>
                <w:i w:val="0"/>
                <w:iCs w:val="0"/>
                <w:sz w:val="22"/>
                <w:szCs w:val="22"/>
                <w:rtl w:val="1"/>
              </w:rPr>
              <w:t>التأطير</w:t>
            </w:r>
          </w:p>
        </w:tc>
        <w:tc>
          <w:tcPr>
            <w:tcW w:type="dxa" w:w="7030"/>
          </w:tcPr>
          <w:p>
            <w:pPr>
              <w:bidi/>
              <w:spacing w:line="276" w:lineRule="auto" w:before="40" w:after="40"/>
              <w:ind w:firstLine="0"/>
              <w:jc w:val="both"/>
            </w:pPr>
            <w:r/>
            <w:r>
              <w:rPr>
                <w:rFonts w:ascii="Traditional Arabic" w:hAnsi="Traditional Arabic" w:cs="Traditional Arabic"/>
                <w:b w:val="0"/>
                <w:bCs w:val="0"/>
                <w:i w:val="0"/>
                <w:iCs w:val="0"/>
                <w:sz w:val="22"/>
                <w:szCs w:val="22"/>
                <w:rtl w:val="1"/>
              </w:rPr>
              <w:t>اختيار جوانب من الواقع وإبرازها بما يحدد فهم الموضوع وتقييمه والحل المقترح</w:t>
            </w:r>
          </w:p>
        </w:tc>
      </w:tr>
      <w:tr>
        <w:trPr>
          <w:cantSplit/>
        </w:trPr>
        <w:tc>
          <w:tcPr>
            <w:tcW w:type="dxa" w:w="2041"/>
          </w:tcPr>
          <w:p>
            <w:pPr>
              <w:bidi/>
              <w:spacing w:line="276" w:lineRule="auto" w:before="40" w:after="40"/>
              <w:ind w:firstLine="0"/>
              <w:jc w:val="both"/>
            </w:pPr>
            <w:r/>
            <w:r>
              <w:rPr>
                <w:rFonts w:ascii="Traditional Arabic" w:hAnsi="Traditional Arabic" w:cs="Traditional Arabic"/>
                <w:b w:val="0"/>
                <w:bCs w:val="0"/>
                <w:i w:val="0"/>
                <w:iCs w:val="0"/>
                <w:sz w:val="22"/>
                <w:szCs w:val="22"/>
                <w:rtl w:val="1"/>
              </w:rPr>
              <w:t>ترتيب الأولويات</w:t>
            </w:r>
          </w:p>
        </w:tc>
        <w:tc>
          <w:tcPr>
            <w:tcW w:type="dxa" w:w="7030"/>
          </w:tcPr>
          <w:p>
            <w:pPr>
              <w:bidi/>
              <w:spacing w:line="276" w:lineRule="auto" w:before="40" w:after="40"/>
              <w:ind w:firstLine="0"/>
              <w:jc w:val="both"/>
            </w:pPr>
            <w:r/>
            <w:r>
              <w:rPr>
                <w:rFonts w:ascii="Traditional Arabic" w:hAnsi="Traditional Arabic" w:cs="Traditional Arabic"/>
                <w:b w:val="0"/>
                <w:bCs w:val="0"/>
                <w:i w:val="0"/>
                <w:iCs w:val="0"/>
                <w:sz w:val="22"/>
                <w:szCs w:val="22"/>
                <w:rtl w:val="1"/>
              </w:rPr>
              <w:t>نقل أهمية الموضوعات من التغطية الإعلامية إلى سلم أولويات الجمهور</w:t>
            </w:r>
          </w:p>
        </w:tc>
      </w:tr>
      <w:tr>
        <w:trPr>
          <w:cantSplit/>
        </w:trPr>
        <w:tc>
          <w:tcPr>
            <w:tcW w:type="dxa" w:w="2041"/>
          </w:tcPr>
          <w:p>
            <w:pPr>
              <w:bidi/>
              <w:spacing w:line="276" w:lineRule="auto" w:before="40" w:after="40"/>
              <w:ind w:firstLine="0"/>
              <w:jc w:val="both"/>
            </w:pPr>
            <w:r/>
            <w:r>
              <w:rPr>
                <w:rFonts w:ascii="Traditional Arabic" w:hAnsi="Traditional Arabic" w:cs="Traditional Arabic"/>
                <w:b w:val="0"/>
                <w:bCs w:val="0"/>
                <w:i w:val="0"/>
                <w:iCs w:val="0"/>
                <w:sz w:val="22"/>
                <w:szCs w:val="22"/>
                <w:rtl w:val="1"/>
              </w:rPr>
              <w:t>دوامة الصمت</w:t>
            </w:r>
          </w:p>
        </w:tc>
        <w:tc>
          <w:tcPr>
            <w:tcW w:type="dxa" w:w="7030"/>
          </w:tcPr>
          <w:p>
            <w:pPr>
              <w:bidi/>
              <w:spacing w:line="276" w:lineRule="auto" w:before="40" w:after="40"/>
              <w:ind w:firstLine="0"/>
              <w:jc w:val="both"/>
            </w:pPr>
            <w:r/>
            <w:r>
              <w:rPr>
                <w:rFonts w:ascii="Traditional Arabic" w:hAnsi="Traditional Arabic" w:cs="Traditional Arabic"/>
                <w:b w:val="0"/>
                <w:bCs w:val="0"/>
                <w:i w:val="0"/>
                <w:iCs w:val="0"/>
                <w:sz w:val="22"/>
                <w:szCs w:val="22"/>
                <w:rtl w:val="1"/>
              </w:rPr>
              <w:t>تراجع تعبير الأقليات عن رأيها خوفاً من العزلة، فيبدو رأي الأغلبية أكبر مما هو</w:t>
            </w:r>
          </w:p>
        </w:tc>
      </w:tr>
      <w:tr>
        <w:trPr>
          <w:cantSplit/>
        </w:trPr>
        <w:tc>
          <w:tcPr>
            <w:tcW w:type="dxa" w:w="2041"/>
          </w:tcPr>
          <w:p>
            <w:pPr>
              <w:bidi/>
              <w:spacing w:line="276" w:lineRule="auto" w:before="40" w:after="40"/>
              <w:ind w:firstLine="0"/>
              <w:jc w:val="both"/>
            </w:pPr>
            <w:r/>
            <w:r>
              <w:rPr>
                <w:rFonts w:ascii="Traditional Arabic" w:hAnsi="Traditional Arabic" w:cs="Traditional Arabic"/>
                <w:b w:val="0"/>
                <w:bCs w:val="0"/>
                <w:i w:val="0"/>
                <w:iCs w:val="0"/>
                <w:sz w:val="22"/>
                <w:szCs w:val="22"/>
                <w:rtl w:val="1"/>
              </w:rPr>
              <w:t>قادة الرأي</w:t>
            </w:r>
          </w:p>
        </w:tc>
        <w:tc>
          <w:tcPr>
            <w:tcW w:type="dxa" w:w="7030"/>
          </w:tcPr>
          <w:p>
            <w:pPr>
              <w:bidi/>
              <w:spacing w:line="276" w:lineRule="auto" w:before="40" w:after="40"/>
              <w:ind w:firstLine="0"/>
              <w:jc w:val="both"/>
            </w:pPr>
            <w:r/>
            <w:r>
              <w:rPr>
                <w:rFonts w:ascii="Traditional Arabic" w:hAnsi="Traditional Arabic" w:cs="Traditional Arabic"/>
                <w:b w:val="0"/>
                <w:bCs w:val="0"/>
                <w:i w:val="0"/>
                <w:iCs w:val="0"/>
                <w:sz w:val="22"/>
                <w:szCs w:val="22"/>
                <w:rtl w:val="1"/>
              </w:rPr>
              <w:t>أفراد داخل جماعة صغيرة يفلترون المعلومة ويعيدون صياغتها لغيرهم</w:t>
            </w:r>
          </w:p>
        </w:tc>
      </w:tr>
      <w:tr>
        <w:trPr>
          <w:cantSplit/>
        </w:trPr>
        <w:tc>
          <w:tcPr>
            <w:tcW w:type="dxa" w:w="2041"/>
          </w:tcPr>
          <w:p>
            <w:pPr>
              <w:bidi/>
              <w:spacing w:line="276" w:lineRule="auto" w:before="40" w:after="40"/>
              <w:ind w:firstLine="0"/>
              <w:jc w:val="both"/>
            </w:pPr>
            <w:r/>
            <w:r>
              <w:rPr>
                <w:rFonts w:ascii="Traditional Arabic" w:hAnsi="Traditional Arabic" w:cs="Traditional Arabic"/>
                <w:b w:val="0"/>
                <w:bCs w:val="0"/>
                <w:i w:val="0"/>
                <w:iCs w:val="0"/>
                <w:sz w:val="22"/>
                <w:szCs w:val="22"/>
                <w:rtl w:val="1"/>
              </w:rPr>
              <w:t>الفقاعة المعلوماتية</w:t>
            </w:r>
          </w:p>
        </w:tc>
        <w:tc>
          <w:tcPr>
            <w:tcW w:type="dxa" w:w="7030"/>
          </w:tcPr>
          <w:p>
            <w:pPr>
              <w:bidi/>
              <w:spacing w:line="276" w:lineRule="auto" w:before="40" w:after="40"/>
              <w:ind w:firstLine="0"/>
              <w:jc w:val="both"/>
            </w:pPr>
            <w:r/>
            <w:r>
              <w:rPr>
                <w:rFonts w:ascii="Traditional Arabic" w:hAnsi="Traditional Arabic" w:cs="Traditional Arabic"/>
                <w:b w:val="0"/>
                <w:bCs w:val="0"/>
                <w:i w:val="0"/>
                <w:iCs w:val="0"/>
                <w:sz w:val="22"/>
                <w:szCs w:val="22"/>
                <w:rtl w:val="1"/>
              </w:rPr>
              <w:t>حالة يحاط فيها المستخدم بمحتوى يشبه ما اختاره سابقاً بفعل أنظمة التوصية</w:t>
            </w:r>
          </w:p>
        </w:tc>
      </w:tr>
      <w:tr>
        <w:trPr>
          <w:cantSplit/>
        </w:trPr>
        <w:tc>
          <w:tcPr>
            <w:tcW w:type="dxa" w:w="2041"/>
          </w:tcPr>
          <w:p>
            <w:pPr>
              <w:bidi/>
              <w:spacing w:line="276" w:lineRule="auto" w:before="40" w:after="40"/>
              <w:ind w:firstLine="0"/>
              <w:jc w:val="both"/>
            </w:pPr>
            <w:r/>
            <w:r>
              <w:rPr>
                <w:rFonts w:ascii="Traditional Arabic" w:hAnsi="Traditional Arabic" w:cs="Traditional Arabic"/>
                <w:b w:val="0"/>
                <w:bCs w:val="0"/>
                <w:i w:val="0"/>
                <w:iCs w:val="0"/>
                <w:sz w:val="22"/>
                <w:szCs w:val="22"/>
                <w:rtl w:val="1"/>
              </w:rPr>
              <w:t>تصنيع الموافقة</w:t>
            </w:r>
          </w:p>
        </w:tc>
        <w:tc>
          <w:tcPr>
            <w:tcW w:type="dxa" w:w="7030"/>
          </w:tcPr>
          <w:p>
            <w:pPr>
              <w:bidi/>
              <w:spacing w:line="276" w:lineRule="auto" w:before="40" w:after="40"/>
              <w:ind w:firstLine="0"/>
              <w:jc w:val="both"/>
            </w:pPr>
            <w:r/>
            <w:r>
              <w:rPr>
                <w:rFonts w:ascii="Traditional Arabic" w:hAnsi="Traditional Arabic" w:cs="Traditional Arabic"/>
                <w:b w:val="0"/>
                <w:bCs w:val="0"/>
                <w:i w:val="0"/>
                <w:iCs w:val="0"/>
                <w:sz w:val="22"/>
                <w:szCs w:val="22"/>
                <w:rtl w:val="1"/>
              </w:rPr>
              <w:t>إنتاج صورة رأي عام مؤيد بأدوات مضللة (عينة منحازة، سؤال موجه، تفاعل مشترى)</w:t>
            </w:r>
          </w:p>
        </w:tc>
      </w:tr>
      <w:tr>
        <w:trPr>
          <w:cantSplit/>
        </w:trPr>
        <w:tc>
          <w:tcPr>
            <w:tcW w:type="dxa" w:w="2041"/>
          </w:tcPr>
          <w:p>
            <w:pPr>
              <w:bidi/>
              <w:spacing w:line="276" w:lineRule="auto" w:before="40" w:after="40"/>
              <w:ind w:firstLine="0"/>
              <w:jc w:val="both"/>
            </w:pPr>
            <w:r/>
            <w:r>
              <w:rPr>
                <w:rFonts w:ascii="Traditional Arabic" w:hAnsi="Traditional Arabic" w:cs="Traditional Arabic"/>
                <w:b w:val="0"/>
                <w:bCs w:val="0"/>
                <w:i w:val="0"/>
                <w:iCs w:val="0"/>
                <w:sz w:val="22"/>
                <w:szCs w:val="22"/>
                <w:rtl w:val="1"/>
              </w:rPr>
              <w:t>ملاحظة محدودة</w:t>
            </w:r>
          </w:p>
        </w:tc>
        <w:tc>
          <w:tcPr>
            <w:tcW w:type="dxa" w:w="7030"/>
          </w:tcPr>
          <w:p>
            <w:pPr>
              <w:bidi/>
              <w:spacing w:line="276" w:lineRule="auto" w:before="40" w:after="40"/>
              <w:ind w:firstLine="0"/>
              <w:jc w:val="both"/>
            </w:pPr>
            <w:r/>
            <w:r>
              <w:rPr>
                <w:rFonts w:ascii="Traditional Arabic" w:hAnsi="Traditional Arabic" w:cs="Traditional Arabic"/>
                <w:b w:val="0"/>
                <w:bCs w:val="0"/>
                <w:i w:val="0"/>
                <w:iCs w:val="0"/>
                <w:sz w:val="22"/>
                <w:szCs w:val="22"/>
                <w:rtl w:val="1"/>
              </w:rPr>
              <w:t>انطباع ميداني غير مبني على عينة ممثلة، لا يصح تعميمه ولا يقدم بوصفه نتيجة مسح</w:t>
            </w:r>
          </w:p>
        </w:tc>
      </w:tr>
      <w:tr>
        <w:trPr>
          <w:cantSplit/>
        </w:trPr>
        <w:tc>
          <w:tcPr>
            <w:tcW w:type="dxa" w:w="2041"/>
          </w:tcPr>
          <w:p>
            <w:pPr>
              <w:bidi/>
              <w:spacing w:line="276" w:lineRule="auto" w:before="40" w:after="40"/>
              <w:ind w:firstLine="0"/>
              <w:jc w:val="both"/>
            </w:pPr>
            <w:r/>
            <w:r>
              <w:rPr>
                <w:rFonts w:ascii="Traditional Arabic" w:hAnsi="Traditional Arabic" w:cs="Traditional Arabic"/>
                <w:b w:val="0"/>
                <w:bCs w:val="0"/>
                <w:i w:val="0"/>
                <w:iCs w:val="0"/>
                <w:sz w:val="22"/>
                <w:szCs w:val="22"/>
                <w:rtl w:val="1"/>
              </w:rPr>
              <w:t>التحليل الميتا تحليلي</w:t>
            </w:r>
          </w:p>
        </w:tc>
        <w:tc>
          <w:tcPr>
            <w:tcW w:type="dxa" w:w="7030"/>
          </w:tcPr>
          <w:p>
            <w:pPr>
              <w:bidi/>
              <w:spacing w:line="276" w:lineRule="auto" w:before="40" w:after="40"/>
              <w:ind w:firstLine="0"/>
              <w:jc w:val="both"/>
            </w:pPr>
            <w:r/>
            <w:r>
              <w:rPr>
                <w:rFonts w:ascii="Traditional Arabic" w:hAnsi="Traditional Arabic" w:cs="Traditional Arabic"/>
                <w:b w:val="0"/>
                <w:bCs w:val="0"/>
                <w:i w:val="0"/>
                <w:iCs w:val="0"/>
                <w:sz w:val="22"/>
                <w:szCs w:val="22"/>
                <w:rtl w:val="1"/>
              </w:rPr>
              <w:t>مراجعة منظمة لدراسات سابقة في موضوع واحد لإنتاج خلاصة كلية عنها</w:t>
            </w:r>
          </w:p>
        </w:tc>
      </w:tr>
    </w:tbl>
    <w:p>
      <w:pPr>
        <w:bidi/>
        <w:spacing w:line="240" w:lineRule="auto" w:before="0" w:after="0"/>
        <w:jc w:val="both"/>
      </w:pPr>
    </w:p>
    <w:p>
      <w:pPr>
        <w:pStyle w:val="Heading1"/>
        <w:keepNext/>
        <w:pageBreakBefore/>
        <w:bidi/>
        <w:spacing w:line="312" w:lineRule="auto" w:before="0" w:after="160"/>
        <w:ind w:firstLine="0"/>
        <w:jc w:val="right"/>
      </w:pPr>
      <w:r>
        <w:rPr>
          <w:rFonts w:ascii="Traditional Arabic" w:hAnsi="Traditional Arabic" w:cs="Traditional Arabic"/>
          <w:b w:val="1"/>
          <w:bCs w:val="1"/>
          <w:i w:val="0"/>
          <w:iCs w:val="0"/>
          <w:sz w:val="36"/>
          <w:szCs w:val="36"/>
          <w:rtl w:val="1"/>
        </w:rPr>
        <w:t>مسرد المراجع والمصادر</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رتبنا المراجع هجائياً داخل كل قائمة من القوائم الأربع الآتية، وأثبتنا لكل مرجع بياناته الببليوغرافية كاملة، وأضفنا المعرف الرقمي أو الرابط مع تاريخ الاسترجاع حيث يكون المرجع إلكترونياً. وقد تحققنا من بيانات المؤلف والعنوان والسنة والدورية لكل مرجع قبل إدراجه، ولم ندرج أي مرجع لم نتأكد من وجوده.</w:t>
      </w:r>
    </w:p>
    <w:p>
      <w:pPr>
        <w:pStyle w:val="Heading2"/>
        <w:keepNext/>
        <w:bidi/>
        <w:spacing w:line="312" w:lineRule="auto" w:before="200" w:after="120"/>
        <w:ind w:firstLine="0"/>
        <w:jc w:val="right"/>
      </w:pPr>
      <w:r>
        <w:rPr>
          <w:rFonts w:ascii="Traditional Arabic" w:hAnsi="Traditional Arabic" w:cs="Traditional Arabic"/>
          <w:b w:val="1"/>
          <w:bCs w:val="1"/>
          <w:i w:val="0"/>
          <w:iCs w:val="0"/>
          <w:sz w:val="32"/>
          <w:szCs w:val="32"/>
          <w:rtl w:val="1"/>
        </w:rPr>
        <w:t>أولاً: المراجع العربية</w:t>
      </w:r>
    </w:p>
    <w:p>
      <w:pPr>
        <w:bidi/>
        <w:spacing w:line="312" w:lineRule="auto" w:before="0" w:after="160"/>
        <w:ind w:firstLine="0" w:left="454"/>
        <w:jc w:val="both"/>
      </w:pPr>
      <w:r>
        <w:rPr>
          <w:rFonts w:ascii="Traditional Arabic" w:hAnsi="Traditional Arabic" w:cs="Traditional Arabic"/>
          <w:sz w:val="26"/>
          <w:szCs w:val="26"/>
          <w:rtl w:val="1"/>
        </w:rPr>
        <w:t xml:space="preserve">1. </w:t>
      </w:r>
      <w:r>
        <w:rPr>
          <w:rFonts w:ascii="Traditional Arabic" w:hAnsi="Traditional Arabic" w:cs="Traditional Arabic"/>
          <w:b w:val="1"/>
          <w:bCs w:val="1"/>
          <w:sz w:val="26"/>
          <w:szCs w:val="26"/>
          <w:rtl w:val="1"/>
        </w:rPr>
        <w:t xml:space="preserve">عبد الحليم، محيي الدين. </w:t>
      </w:r>
      <w:r>
        <w:rPr>
          <w:rFonts w:ascii="Traditional Arabic" w:hAnsi="Traditional Arabic" w:cs="Traditional Arabic"/>
          <w:i w:val="1"/>
          <w:iCs w:val="1"/>
          <w:sz w:val="26"/>
          <w:szCs w:val="26"/>
          <w:rtl w:val="1"/>
        </w:rPr>
        <w:t xml:space="preserve">«الرأي العام: مفهومه وأنواعه، عوامل تشكيله، وظائفه وقوانينه، طرق قياسه وأساليب تغييره»، </w:t>
      </w:r>
      <w:r>
        <w:rPr>
          <w:rFonts w:ascii="Traditional Arabic" w:hAnsi="Traditional Arabic" w:cs="Traditional Arabic"/>
          <w:sz w:val="26"/>
          <w:szCs w:val="26"/>
          <w:rtl w:val="1"/>
        </w:rPr>
        <w:t>الطبعة الأولى، القاهرة: مكتبة الأنجلو المصرية، 2009، 215 صفحة. ردمك: 978-977-052586-9.</w:t>
      </w:r>
    </w:p>
    <w:p>
      <w:pPr>
        <w:bidi/>
        <w:spacing w:line="312" w:lineRule="auto" w:before="0" w:after="160"/>
        <w:ind w:firstLine="0" w:left="454"/>
        <w:jc w:val="both"/>
      </w:pPr>
      <w:r>
        <w:rPr>
          <w:rFonts w:ascii="Traditional Arabic" w:hAnsi="Traditional Arabic" w:cs="Traditional Arabic"/>
          <w:sz w:val="26"/>
          <w:szCs w:val="26"/>
          <w:rtl w:val="1"/>
        </w:rPr>
        <w:t xml:space="preserve">2. </w:t>
      </w:r>
      <w:r>
        <w:rPr>
          <w:rFonts w:ascii="Traditional Arabic" w:hAnsi="Traditional Arabic" w:cs="Traditional Arabic"/>
          <w:b w:val="1"/>
          <w:bCs w:val="1"/>
          <w:sz w:val="26"/>
          <w:szCs w:val="26"/>
          <w:rtl w:val="1"/>
        </w:rPr>
        <w:t xml:space="preserve">حجازي، جمعة، وشيخاني، سميرة. </w:t>
      </w:r>
      <w:r>
        <w:rPr>
          <w:rFonts w:ascii="Traditional Arabic" w:hAnsi="Traditional Arabic" w:cs="Traditional Arabic"/>
          <w:i w:val="1"/>
          <w:iCs w:val="1"/>
          <w:sz w:val="26"/>
          <w:szCs w:val="26"/>
          <w:rtl w:val="1"/>
        </w:rPr>
        <w:t xml:space="preserve">«الرأي العام وطرق قياسه (وحدة تعليمية)»، </w:t>
      </w:r>
      <w:r>
        <w:rPr>
          <w:rFonts w:ascii="Traditional Arabic" w:hAnsi="Traditional Arabic" w:cs="Traditional Arabic"/>
          <w:sz w:val="26"/>
          <w:szCs w:val="26"/>
          <w:rtl w:val="1"/>
        </w:rPr>
        <w:t>دمشق: الجامعة الافتراضية السورية، د.ت.، ص ص 16–17. الرابط: https://pedia.svuonline.org/pluginfile.php/2858/mod_resource/content/30/ — تاريخ الاسترجاع: 2026/10/26.</w:t>
      </w:r>
    </w:p>
    <w:p>
      <w:pPr>
        <w:bidi/>
        <w:spacing w:line="312" w:lineRule="auto" w:before="0" w:after="160"/>
        <w:ind w:firstLine="0" w:left="454"/>
        <w:jc w:val="both"/>
      </w:pPr>
      <w:r>
        <w:rPr>
          <w:rFonts w:ascii="Traditional Arabic" w:hAnsi="Traditional Arabic" w:cs="Traditional Arabic"/>
          <w:sz w:val="26"/>
          <w:szCs w:val="26"/>
          <w:rtl w:val="1"/>
        </w:rPr>
        <w:t xml:space="preserve">3. </w:t>
      </w:r>
      <w:r>
        <w:rPr>
          <w:rFonts w:ascii="Traditional Arabic" w:hAnsi="Traditional Arabic" w:cs="Traditional Arabic"/>
          <w:b w:val="1"/>
          <w:bCs w:val="1"/>
          <w:sz w:val="26"/>
          <w:szCs w:val="26"/>
          <w:rtl w:val="1"/>
        </w:rPr>
        <w:t xml:space="preserve">الشمري، عبد المنعم كاظم مطلب. </w:t>
      </w:r>
      <w:r>
        <w:rPr>
          <w:rFonts w:ascii="Traditional Arabic" w:hAnsi="Traditional Arabic" w:cs="Traditional Arabic"/>
          <w:i w:val="1"/>
          <w:iCs w:val="1"/>
          <w:sz w:val="26"/>
          <w:szCs w:val="26"/>
          <w:rtl w:val="1"/>
        </w:rPr>
        <w:t xml:space="preserve">«استطلاعات الرأي العام وعملية اتخاذ القرار في الأنظمة المركزية والديمقراطية»، </w:t>
      </w:r>
      <w:r>
        <w:rPr>
          <w:rFonts w:ascii="Traditional Arabic" w:hAnsi="Traditional Arabic" w:cs="Traditional Arabic"/>
          <w:sz w:val="26"/>
          <w:szCs w:val="26"/>
          <w:rtl w:val="1"/>
        </w:rPr>
        <w:t>مجلة الآداب، كلية الآداب، الجامعة المستنصرية، المجلد 1، العدد 116، 2019، ص ص 375–494. https://doi.org/10.31973/aj.v1i116.467</w:t>
      </w:r>
    </w:p>
    <w:p>
      <w:pPr>
        <w:bidi/>
        <w:spacing w:line="312" w:lineRule="auto" w:before="0" w:after="160"/>
        <w:ind w:firstLine="0" w:left="454"/>
        <w:jc w:val="both"/>
      </w:pPr>
      <w:r>
        <w:rPr>
          <w:rFonts w:ascii="Traditional Arabic" w:hAnsi="Traditional Arabic" w:cs="Traditional Arabic"/>
          <w:sz w:val="26"/>
          <w:szCs w:val="26"/>
          <w:rtl w:val="1"/>
        </w:rPr>
        <w:t xml:space="preserve">4. </w:t>
      </w:r>
      <w:r>
        <w:rPr>
          <w:rFonts w:ascii="Traditional Arabic" w:hAnsi="Traditional Arabic" w:cs="Traditional Arabic"/>
          <w:b w:val="1"/>
          <w:bCs w:val="1"/>
          <w:sz w:val="26"/>
          <w:szCs w:val="26"/>
          <w:rtl w:val="1"/>
        </w:rPr>
        <w:t xml:space="preserve">حمدي، محمد الفاتح؛ عكوباش، هشام؛ وزماموش، فتيحة. </w:t>
      </w:r>
      <w:r>
        <w:rPr>
          <w:rFonts w:ascii="Traditional Arabic" w:hAnsi="Traditional Arabic" w:cs="Traditional Arabic"/>
          <w:i w:val="1"/>
          <w:iCs w:val="1"/>
          <w:sz w:val="26"/>
          <w:szCs w:val="26"/>
          <w:rtl w:val="1"/>
        </w:rPr>
        <w:t xml:space="preserve">«شبكات التواصل الاجتماعي والاستقطاب السياسي في المنطقة العربية: قراءة ميتا تحليلية لعينة من الدراسات السابقة»، </w:t>
      </w:r>
      <w:r>
        <w:rPr>
          <w:rFonts w:ascii="Traditional Arabic" w:hAnsi="Traditional Arabic" w:cs="Traditional Arabic"/>
          <w:sz w:val="26"/>
          <w:szCs w:val="26"/>
          <w:rtl w:val="1"/>
        </w:rPr>
        <w:t>مجلة الجزيرة لدراسات الاتصال والإعلام، مركز الجزيرة للدراسات، العدد 3، يناير 2024. https://aljazeerajournal.aljazeera.net/article/280/ — تاريخ الاسترجاع: 2026/10/26.</w:t>
      </w:r>
    </w:p>
    <w:p>
      <w:pPr>
        <w:pStyle w:val="Heading2"/>
        <w:keepNext/>
        <w:bidi/>
        <w:spacing w:line="312" w:lineRule="auto" w:before="200" w:after="120"/>
        <w:ind w:firstLine="0"/>
        <w:jc w:val="right"/>
      </w:pPr>
      <w:r>
        <w:rPr>
          <w:rFonts w:ascii="Traditional Arabic" w:hAnsi="Traditional Arabic" w:cs="Traditional Arabic"/>
          <w:b w:val="1"/>
          <w:bCs w:val="1"/>
          <w:i w:val="0"/>
          <w:iCs w:val="0"/>
          <w:sz w:val="32"/>
          <w:szCs w:val="32"/>
          <w:rtl w:val="1"/>
        </w:rPr>
        <w:t>ثانياً: المراجع الأجنبية (مرتبة هجائياً بالعنوان العربي، ويذكر العنوان الأصلي بين قوسين)</w:t>
      </w:r>
    </w:p>
    <w:p>
      <w:pPr>
        <w:bidi/>
        <w:spacing w:line="312" w:lineRule="auto" w:before="0" w:after="160"/>
        <w:ind w:firstLine="0" w:left="454"/>
        <w:jc w:val="both"/>
      </w:pPr>
      <w:r>
        <w:rPr>
          <w:rFonts w:ascii="Traditional Arabic" w:hAnsi="Traditional Arabic" w:cs="Traditional Arabic"/>
          <w:sz w:val="26"/>
          <w:szCs w:val="26"/>
          <w:rtl w:val="1"/>
        </w:rPr>
        <w:t xml:space="preserve">1. </w:t>
      </w:r>
      <w:r>
        <w:rPr>
          <w:rFonts w:ascii="Traditional Arabic" w:hAnsi="Traditional Arabic" w:cs="Traditional Arabic"/>
          <w:b w:val="1"/>
          <w:bCs w:val="1"/>
          <w:sz w:val="26"/>
          <w:szCs w:val="26"/>
          <w:rtl w:val="1"/>
        </w:rPr>
        <w:t xml:space="preserve">ليبمان، والتر. </w:t>
      </w:r>
      <w:r>
        <w:rPr>
          <w:rFonts w:ascii="Traditional Arabic" w:hAnsi="Traditional Arabic" w:cs="Traditional Arabic"/>
          <w:i w:val="1"/>
          <w:iCs w:val="1"/>
          <w:sz w:val="26"/>
          <w:szCs w:val="26"/>
          <w:rtl w:val="1"/>
        </w:rPr>
        <w:t xml:space="preserve">«الرأي العام (Public Opinion)»، </w:t>
      </w:r>
      <w:r>
        <w:rPr>
          <w:rFonts w:ascii="Traditional Arabic" w:hAnsi="Traditional Arabic" w:cs="Traditional Arabic"/>
          <w:sz w:val="26"/>
          <w:szCs w:val="26"/>
          <w:rtl w:val="1"/>
        </w:rPr>
        <w:t>نيويورك: هاركورت، بريس وشركاه، 1922، ص 3.</w:t>
      </w:r>
    </w:p>
    <w:p>
      <w:pPr>
        <w:bidi/>
        <w:spacing w:line="312" w:lineRule="auto" w:before="0" w:after="160"/>
        <w:ind w:firstLine="0" w:left="454"/>
        <w:jc w:val="both"/>
      </w:pPr>
      <w:r>
        <w:rPr>
          <w:rFonts w:ascii="Traditional Arabic" w:hAnsi="Traditional Arabic" w:cs="Traditional Arabic"/>
          <w:sz w:val="26"/>
          <w:szCs w:val="26"/>
          <w:rtl w:val="1"/>
        </w:rPr>
        <w:t xml:space="preserve">2. </w:t>
      </w:r>
      <w:r>
        <w:rPr>
          <w:rFonts w:ascii="Traditional Arabic" w:hAnsi="Traditional Arabic" w:cs="Traditional Arabic"/>
          <w:b w:val="1"/>
          <w:bCs w:val="1"/>
          <w:sz w:val="26"/>
          <w:szCs w:val="26"/>
          <w:rtl w:val="1"/>
        </w:rPr>
        <w:t xml:space="preserve">هابرماس، يورغن. </w:t>
      </w:r>
      <w:r>
        <w:rPr>
          <w:rFonts w:ascii="Traditional Arabic" w:hAnsi="Traditional Arabic" w:cs="Traditional Arabic"/>
          <w:i w:val="1"/>
          <w:iCs w:val="1"/>
          <w:sz w:val="26"/>
          <w:szCs w:val="26"/>
          <w:rtl w:val="1"/>
        </w:rPr>
        <w:t xml:space="preserve">«التحول البنيوي للمجال العام (Strukturwandel der Öffentlichkeit)»، </w:t>
      </w:r>
      <w:r>
        <w:rPr>
          <w:rFonts w:ascii="Traditional Arabic" w:hAnsi="Traditional Arabic" w:cs="Traditional Arabic"/>
          <w:sz w:val="26"/>
          <w:szCs w:val="26"/>
          <w:rtl w:val="1"/>
        </w:rPr>
        <w:t>نويفيد: لوخترهاند، 1962، الفصل الثاني.</w:t>
      </w:r>
    </w:p>
    <w:p>
      <w:pPr>
        <w:bidi/>
        <w:spacing w:line="312" w:lineRule="auto" w:before="0" w:after="160"/>
        <w:ind w:firstLine="0" w:left="454"/>
        <w:jc w:val="both"/>
      </w:pPr>
      <w:r>
        <w:rPr>
          <w:rFonts w:ascii="Traditional Arabic" w:hAnsi="Traditional Arabic" w:cs="Traditional Arabic"/>
          <w:sz w:val="26"/>
          <w:szCs w:val="26"/>
          <w:rtl w:val="1"/>
        </w:rPr>
        <w:t xml:space="preserve">3. </w:t>
      </w:r>
      <w:r>
        <w:rPr>
          <w:rFonts w:ascii="Traditional Arabic" w:hAnsi="Traditional Arabic" w:cs="Traditional Arabic"/>
          <w:b w:val="1"/>
          <w:bCs w:val="1"/>
          <w:sz w:val="26"/>
          <w:szCs w:val="26"/>
          <w:rtl w:val="1"/>
        </w:rPr>
        <w:t xml:space="preserve">لوبون، غوستاف. </w:t>
      </w:r>
      <w:r>
        <w:rPr>
          <w:rFonts w:ascii="Traditional Arabic" w:hAnsi="Traditional Arabic" w:cs="Traditional Arabic"/>
          <w:i w:val="1"/>
          <w:iCs w:val="1"/>
          <w:sz w:val="26"/>
          <w:szCs w:val="26"/>
          <w:rtl w:val="1"/>
        </w:rPr>
        <w:t xml:space="preserve">«سيكولوجية الجماهير (Psychologie des foules)»، </w:t>
      </w:r>
      <w:r>
        <w:rPr>
          <w:rFonts w:ascii="Traditional Arabic" w:hAnsi="Traditional Arabic" w:cs="Traditional Arabic"/>
          <w:sz w:val="26"/>
          <w:szCs w:val="26"/>
          <w:rtl w:val="1"/>
        </w:rPr>
        <w:t>باريس: فيليكس ألكان، 1895، ص 12.</w:t>
      </w:r>
    </w:p>
    <w:p>
      <w:pPr>
        <w:bidi/>
        <w:spacing w:line="312" w:lineRule="auto" w:before="0" w:after="160"/>
        <w:ind w:firstLine="0" w:left="454"/>
        <w:jc w:val="both"/>
      </w:pPr>
      <w:r>
        <w:rPr>
          <w:rFonts w:ascii="Traditional Arabic" w:hAnsi="Traditional Arabic" w:cs="Traditional Arabic"/>
          <w:sz w:val="26"/>
          <w:szCs w:val="26"/>
          <w:rtl w:val="1"/>
        </w:rPr>
        <w:t xml:space="preserve">4. </w:t>
      </w:r>
      <w:r>
        <w:rPr>
          <w:rFonts w:ascii="Traditional Arabic" w:hAnsi="Traditional Arabic" w:cs="Traditional Arabic"/>
          <w:b w:val="1"/>
          <w:bCs w:val="1"/>
          <w:sz w:val="26"/>
          <w:szCs w:val="26"/>
          <w:rtl w:val="1"/>
        </w:rPr>
        <w:t xml:space="preserve">لازارسفيلد، بول؛ بيريلسون، بيرنارد؛ وجاوديت، هازل. </w:t>
      </w:r>
      <w:r>
        <w:rPr>
          <w:rFonts w:ascii="Traditional Arabic" w:hAnsi="Traditional Arabic" w:cs="Traditional Arabic"/>
          <w:i w:val="1"/>
          <w:iCs w:val="1"/>
          <w:sz w:val="26"/>
          <w:szCs w:val="26"/>
          <w:rtl w:val="1"/>
        </w:rPr>
        <w:t xml:space="preserve">«اختيار الشعب (The People’s Choice)»، </w:t>
      </w:r>
      <w:r>
        <w:rPr>
          <w:rFonts w:ascii="Traditional Arabic" w:hAnsi="Traditional Arabic" w:cs="Traditional Arabic"/>
          <w:sz w:val="26"/>
          <w:szCs w:val="26"/>
          <w:rtl w:val="1"/>
        </w:rPr>
        <w:t>نيويورك: ديويل وسلون وبييرس، 1944.</w:t>
      </w:r>
    </w:p>
    <w:p>
      <w:pPr>
        <w:bidi/>
        <w:spacing w:line="312" w:lineRule="auto" w:before="0" w:after="160"/>
        <w:ind w:firstLine="0" w:left="454"/>
        <w:jc w:val="both"/>
      </w:pPr>
      <w:r>
        <w:rPr>
          <w:rFonts w:ascii="Traditional Arabic" w:hAnsi="Traditional Arabic" w:cs="Traditional Arabic"/>
          <w:sz w:val="26"/>
          <w:szCs w:val="26"/>
          <w:rtl w:val="1"/>
        </w:rPr>
        <w:t xml:space="preserve">5. </w:t>
      </w:r>
      <w:r>
        <w:rPr>
          <w:rFonts w:ascii="Traditional Arabic" w:hAnsi="Traditional Arabic" w:cs="Traditional Arabic"/>
          <w:b w:val="1"/>
          <w:bCs w:val="1"/>
          <w:sz w:val="26"/>
          <w:szCs w:val="26"/>
          <w:rtl w:val="1"/>
        </w:rPr>
        <w:t xml:space="preserve">كاتس، إلياهو، ولازارسفيلد، بول. </w:t>
      </w:r>
      <w:r>
        <w:rPr>
          <w:rFonts w:ascii="Traditional Arabic" w:hAnsi="Traditional Arabic" w:cs="Traditional Arabic"/>
          <w:i w:val="1"/>
          <w:iCs w:val="1"/>
          <w:sz w:val="26"/>
          <w:szCs w:val="26"/>
          <w:rtl w:val="1"/>
        </w:rPr>
        <w:t xml:space="preserve">«النفوذ الشخصي (Personal Influence)»، </w:t>
      </w:r>
      <w:r>
        <w:rPr>
          <w:rFonts w:ascii="Traditional Arabic" w:hAnsi="Traditional Arabic" w:cs="Traditional Arabic"/>
          <w:sz w:val="26"/>
          <w:szCs w:val="26"/>
          <w:rtl w:val="1"/>
        </w:rPr>
        <w:t>غلينكو: المطبعة الحرة، 1955، الفصل الأول.</w:t>
      </w:r>
    </w:p>
    <w:p>
      <w:pPr>
        <w:bidi/>
        <w:spacing w:line="312" w:lineRule="auto" w:before="0" w:after="160"/>
        <w:ind w:firstLine="0" w:left="454"/>
        <w:jc w:val="both"/>
      </w:pPr>
      <w:r>
        <w:rPr>
          <w:rFonts w:ascii="Traditional Arabic" w:hAnsi="Traditional Arabic" w:cs="Traditional Arabic"/>
          <w:sz w:val="26"/>
          <w:szCs w:val="26"/>
          <w:rtl w:val="1"/>
        </w:rPr>
        <w:t xml:space="preserve">6. </w:t>
      </w:r>
      <w:r>
        <w:rPr>
          <w:rFonts w:ascii="Traditional Arabic" w:hAnsi="Traditional Arabic" w:cs="Traditional Arabic"/>
          <w:b w:val="1"/>
          <w:bCs w:val="1"/>
          <w:sz w:val="26"/>
          <w:szCs w:val="26"/>
          <w:rtl w:val="1"/>
        </w:rPr>
        <w:t xml:space="preserve">نويل-نيومان، إليزابيث. </w:t>
      </w:r>
      <w:r>
        <w:rPr>
          <w:rFonts w:ascii="Traditional Arabic" w:hAnsi="Traditional Arabic" w:cs="Traditional Arabic"/>
          <w:i w:val="1"/>
          <w:iCs w:val="1"/>
          <w:sz w:val="26"/>
          <w:szCs w:val="26"/>
          <w:rtl w:val="1"/>
        </w:rPr>
        <w:t xml:space="preserve">«دوامة الصمت: نظرية في الرأي العام (The Spiral of Silence: A Theory of Public Opinion)»، </w:t>
      </w:r>
      <w:r>
        <w:rPr>
          <w:rFonts w:ascii="Traditional Arabic" w:hAnsi="Traditional Arabic" w:cs="Traditional Arabic"/>
          <w:sz w:val="26"/>
          <w:szCs w:val="26"/>
          <w:rtl w:val="1"/>
        </w:rPr>
        <w:t>مجلة الاتصال، المجلد 24، العدد 2، 1974، ص ص 43–51. https://doi.org/10.1111/j.1460-2466.1974.tb00367.x</w:t>
      </w:r>
    </w:p>
    <w:p>
      <w:pPr>
        <w:bidi/>
        <w:spacing w:line="312" w:lineRule="auto" w:before="0" w:after="160"/>
        <w:ind w:firstLine="0" w:left="454"/>
        <w:jc w:val="both"/>
      </w:pPr>
      <w:r>
        <w:rPr>
          <w:rFonts w:ascii="Traditional Arabic" w:hAnsi="Traditional Arabic" w:cs="Traditional Arabic"/>
          <w:sz w:val="26"/>
          <w:szCs w:val="26"/>
          <w:rtl w:val="1"/>
        </w:rPr>
        <w:t xml:space="preserve">7. </w:t>
      </w:r>
      <w:r>
        <w:rPr>
          <w:rFonts w:ascii="Traditional Arabic" w:hAnsi="Traditional Arabic" w:cs="Traditional Arabic"/>
          <w:b w:val="1"/>
          <w:bCs w:val="1"/>
          <w:sz w:val="26"/>
          <w:szCs w:val="26"/>
          <w:rtl w:val="1"/>
        </w:rPr>
        <w:t xml:space="preserve">ماكومبس، ماكسويل، وشو، دونالد. </w:t>
      </w:r>
      <w:r>
        <w:rPr>
          <w:rFonts w:ascii="Traditional Arabic" w:hAnsi="Traditional Arabic" w:cs="Traditional Arabic"/>
          <w:i w:val="1"/>
          <w:iCs w:val="1"/>
          <w:sz w:val="26"/>
          <w:szCs w:val="26"/>
          <w:rtl w:val="1"/>
        </w:rPr>
        <w:t xml:space="preserve">«وظيفة ترتيب الأولويات لدى وسائل الإعلام الجماهيرية (The Agenda-Setting Function of Mass Media)»، </w:t>
      </w:r>
      <w:r>
        <w:rPr>
          <w:rFonts w:ascii="Traditional Arabic" w:hAnsi="Traditional Arabic" w:cs="Traditional Arabic"/>
          <w:sz w:val="26"/>
          <w:szCs w:val="26"/>
          <w:rtl w:val="1"/>
        </w:rPr>
        <w:t>الفصلية الأمريكية للرأي العام، المجلد 36، العدد 2، 1972، ص ص 176–187. https://doi.org/10.1086/267990</w:t>
      </w:r>
    </w:p>
    <w:p>
      <w:pPr>
        <w:bidi/>
        <w:spacing w:line="312" w:lineRule="auto" w:before="0" w:after="160"/>
        <w:ind w:firstLine="0" w:left="454"/>
        <w:jc w:val="both"/>
      </w:pPr>
      <w:r>
        <w:rPr>
          <w:rFonts w:ascii="Traditional Arabic" w:hAnsi="Traditional Arabic" w:cs="Traditional Arabic"/>
          <w:sz w:val="26"/>
          <w:szCs w:val="26"/>
          <w:rtl w:val="1"/>
        </w:rPr>
        <w:t xml:space="preserve">8. </w:t>
      </w:r>
      <w:r>
        <w:rPr>
          <w:rFonts w:ascii="Traditional Arabic" w:hAnsi="Traditional Arabic" w:cs="Traditional Arabic"/>
          <w:b w:val="1"/>
          <w:bCs w:val="1"/>
          <w:sz w:val="26"/>
          <w:szCs w:val="26"/>
          <w:rtl w:val="1"/>
        </w:rPr>
        <w:t xml:space="preserve">إنتمان، روبرت. </w:t>
      </w:r>
      <w:r>
        <w:rPr>
          <w:rFonts w:ascii="Traditional Arabic" w:hAnsi="Traditional Arabic" w:cs="Traditional Arabic"/>
          <w:i w:val="1"/>
          <w:iCs w:val="1"/>
          <w:sz w:val="26"/>
          <w:szCs w:val="26"/>
          <w:rtl w:val="1"/>
        </w:rPr>
        <w:t xml:space="preserve">«التأطير: نحو توضيح نموذج مفكك (Framing: Toward Clarification of a Fractured Paradigm)»، </w:t>
      </w:r>
      <w:r>
        <w:rPr>
          <w:rFonts w:ascii="Traditional Arabic" w:hAnsi="Traditional Arabic" w:cs="Traditional Arabic"/>
          <w:sz w:val="26"/>
          <w:szCs w:val="26"/>
          <w:rtl w:val="1"/>
        </w:rPr>
        <w:t>مجلة الاتصال، المجلد 43، العدد 4، 1993، ص ص 51–58. https://doi.org/10.1111/j.1460-2466.1993.tb01304.x</w:t>
      </w:r>
    </w:p>
    <w:p>
      <w:pPr>
        <w:bidi/>
        <w:spacing w:line="312" w:lineRule="auto" w:before="0" w:after="160"/>
        <w:ind w:firstLine="0" w:left="454"/>
        <w:jc w:val="both"/>
      </w:pPr>
      <w:r>
        <w:rPr>
          <w:rFonts w:ascii="Traditional Arabic" w:hAnsi="Traditional Arabic" w:cs="Traditional Arabic"/>
          <w:sz w:val="26"/>
          <w:szCs w:val="26"/>
          <w:rtl w:val="1"/>
        </w:rPr>
        <w:t xml:space="preserve">9. </w:t>
      </w:r>
      <w:r>
        <w:rPr>
          <w:rFonts w:ascii="Traditional Arabic" w:hAnsi="Traditional Arabic" w:cs="Traditional Arabic"/>
          <w:b w:val="1"/>
          <w:bCs w:val="1"/>
          <w:sz w:val="26"/>
          <w:szCs w:val="26"/>
          <w:rtl w:val="1"/>
        </w:rPr>
        <w:t xml:space="preserve">بال-روكيتش، ساندرا، ودي فلور، ميلفن. </w:t>
      </w:r>
      <w:r>
        <w:rPr>
          <w:rFonts w:ascii="Traditional Arabic" w:hAnsi="Traditional Arabic" w:cs="Traditional Arabic"/>
          <w:i w:val="1"/>
          <w:iCs w:val="1"/>
          <w:sz w:val="26"/>
          <w:szCs w:val="26"/>
          <w:rtl w:val="1"/>
        </w:rPr>
        <w:t xml:space="preserve">«نموذج الاعتماد في أثر وسائل الإعلام (A Dependency Model of Mass-Media Effects)»، </w:t>
      </w:r>
      <w:r>
        <w:rPr>
          <w:rFonts w:ascii="Traditional Arabic" w:hAnsi="Traditional Arabic" w:cs="Traditional Arabic"/>
          <w:sz w:val="26"/>
          <w:szCs w:val="26"/>
          <w:rtl w:val="1"/>
        </w:rPr>
        <w:t>بحوث الاتصال، المجلد 3، العدد 1، 1976، ص ص 3–21. https://doi.org/10.1177/009365027600300101</w:t>
      </w:r>
    </w:p>
    <w:p>
      <w:pPr>
        <w:bidi/>
        <w:spacing w:line="312" w:lineRule="auto" w:before="0" w:after="160"/>
        <w:ind w:firstLine="0" w:left="454"/>
        <w:jc w:val="both"/>
      </w:pPr>
      <w:r>
        <w:rPr>
          <w:rFonts w:ascii="Traditional Arabic" w:hAnsi="Traditional Arabic" w:cs="Traditional Arabic"/>
          <w:sz w:val="26"/>
          <w:szCs w:val="26"/>
          <w:rtl w:val="1"/>
        </w:rPr>
        <w:t xml:space="preserve">10. </w:t>
      </w:r>
      <w:r>
        <w:rPr>
          <w:rFonts w:ascii="Traditional Arabic" w:hAnsi="Traditional Arabic" w:cs="Traditional Arabic"/>
          <w:b w:val="1"/>
          <w:bCs w:val="1"/>
          <w:sz w:val="26"/>
          <w:szCs w:val="26"/>
          <w:rtl w:val="1"/>
        </w:rPr>
        <w:t xml:space="preserve">فيستنجر، ليون. </w:t>
      </w:r>
      <w:r>
        <w:rPr>
          <w:rFonts w:ascii="Traditional Arabic" w:hAnsi="Traditional Arabic" w:cs="Traditional Arabic"/>
          <w:i w:val="1"/>
          <w:iCs w:val="1"/>
          <w:sz w:val="26"/>
          <w:szCs w:val="26"/>
          <w:rtl w:val="1"/>
        </w:rPr>
        <w:t xml:space="preserve">«نظرية التنافر المعرفي (A Theory of Cognitive Dissonance)»، </w:t>
      </w:r>
      <w:r>
        <w:rPr>
          <w:rFonts w:ascii="Traditional Arabic" w:hAnsi="Traditional Arabic" w:cs="Traditional Arabic"/>
          <w:sz w:val="26"/>
          <w:szCs w:val="26"/>
          <w:rtl w:val="1"/>
        </w:rPr>
        <w:t>ستانفورد: مطبعة جامعة ستانفورد، 1957، الفصل الأول.</w:t>
      </w:r>
    </w:p>
    <w:p>
      <w:pPr>
        <w:bidi/>
        <w:spacing w:line="312" w:lineRule="auto" w:before="0" w:after="160"/>
        <w:ind w:firstLine="0" w:left="454"/>
        <w:jc w:val="both"/>
      </w:pPr>
      <w:r>
        <w:rPr>
          <w:rFonts w:ascii="Traditional Arabic" w:hAnsi="Traditional Arabic" w:cs="Traditional Arabic"/>
          <w:sz w:val="26"/>
          <w:szCs w:val="26"/>
          <w:rtl w:val="1"/>
        </w:rPr>
        <w:t xml:space="preserve">11. </w:t>
      </w:r>
      <w:r>
        <w:rPr>
          <w:rFonts w:ascii="Traditional Arabic" w:hAnsi="Traditional Arabic" w:cs="Traditional Arabic"/>
          <w:b w:val="1"/>
          <w:bCs w:val="1"/>
          <w:sz w:val="26"/>
          <w:szCs w:val="26"/>
          <w:rtl w:val="1"/>
        </w:rPr>
        <w:t xml:space="preserve">سانستين، كاس. </w:t>
      </w:r>
      <w:r>
        <w:rPr>
          <w:rFonts w:ascii="Traditional Arabic" w:hAnsi="Traditional Arabic" w:cs="Traditional Arabic"/>
          <w:i w:val="1"/>
          <w:iCs w:val="1"/>
          <w:sz w:val="26"/>
          <w:szCs w:val="26"/>
          <w:rtl w:val="1"/>
        </w:rPr>
        <w:t xml:space="preserve">«جمهورية دوت كوم (Republic.com)»، </w:t>
      </w:r>
      <w:r>
        <w:rPr>
          <w:rFonts w:ascii="Traditional Arabic" w:hAnsi="Traditional Arabic" w:cs="Traditional Arabic"/>
          <w:sz w:val="26"/>
          <w:szCs w:val="26"/>
          <w:rtl w:val="1"/>
        </w:rPr>
        <w:t>برينستون: مطبعة جامعة برينستون، 2001، الفصل الثاني.</w:t>
      </w:r>
    </w:p>
    <w:p>
      <w:pPr>
        <w:bidi/>
        <w:spacing w:line="312" w:lineRule="auto" w:before="0" w:after="160"/>
        <w:ind w:firstLine="0" w:left="454"/>
        <w:jc w:val="both"/>
      </w:pPr>
      <w:r>
        <w:rPr>
          <w:rFonts w:ascii="Traditional Arabic" w:hAnsi="Traditional Arabic" w:cs="Traditional Arabic"/>
          <w:sz w:val="26"/>
          <w:szCs w:val="26"/>
          <w:rtl w:val="1"/>
        </w:rPr>
        <w:t xml:space="preserve">12. </w:t>
      </w:r>
      <w:r>
        <w:rPr>
          <w:rFonts w:ascii="Traditional Arabic" w:hAnsi="Traditional Arabic" w:cs="Traditional Arabic"/>
          <w:b w:val="1"/>
          <w:bCs w:val="1"/>
          <w:sz w:val="26"/>
          <w:szCs w:val="26"/>
          <w:rtl w:val="1"/>
        </w:rPr>
        <w:t xml:space="preserve">باريسر، إيلي. </w:t>
      </w:r>
      <w:r>
        <w:rPr>
          <w:rFonts w:ascii="Traditional Arabic" w:hAnsi="Traditional Arabic" w:cs="Traditional Arabic"/>
          <w:i w:val="1"/>
          <w:iCs w:val="1"/>
          <w:sz w:val="26"/>
          <w:szCs w:val="26"/>
          <w:rtl w:val="1"/>
        </w:rPr>
        <w:t xml:space="preserve">«فقاعة الترشيح (The Filter Bubble)»، </w:t>
      </w:r>
      <w:r>
        <w:rPr>
          <w:rFonts w:ascii="Traditional Arabic" w:hAnsi="Traditional Arabic" w:cs="Traditional Arabic"/>
          <w:sz w:val="26"/>
          <w:szCs w:val="26"/>
          <w:rtl w:val="1"/>
        </w:rPr>
        <w:t>نيويورك: مطبعة بنغوين، 2011، الفصل الثالث.</w:t>
      </w:r>
    </w:p>
    <w:p>
      <w:pPr>
        <w:pStyle w:val="Heading2"/>
        <w:keepNext/>
        <w:bidi/>
        <w:spacing w:line="312" w:lineRule="auto" w:before="200" w:after="120"/>
        <w:ind w:firstLine="0"/>
        <w:jc w:val="right"/>
      </w:pPr>
      <w:r>
        <w:rPr>
          <w:rFonts w:ascii="Traditional Arabic" w:hAnsi="Traditional Arabic" w:cs="Traditional Arabic"/>
          <w:b w:val="1"/>
          <w:bCs w:val="1"/>
          <w:i w:val="0"/>
          <w:iCs w:val="0"/>
          <w:sz w:val="32"/>
          <w:szCs w:val="32"/>
          <w:rtl w:val="1"/>
        </w:rPr>
        <w:t>ثالثاً: التقارير المؤسسية</w:t>
      </w:r>
    </w:p>
    <w:p>
      <w:pPr>
        <w:bidi/>
        <w:spacing w:line="312" w:lineRule="auto" w:before="0" w:after="160"/>
        <w:ind w:firstLine="0" w:left="454"/>
        <w:jc w:val="both"/>
      </w:pPr>
      <w:r>
        <w:rPr>
          <w:rFonts w:ascii="Traditional Arabic" w:hAnsi="Traditional Arabic" w:cs="Traditional Arabic"/>
          <w:sz w:val="26"/>
          <w:szCs w:val="26"/>
          <w:rtl w:val="1"/>
        </w:rPr>
        <w:t xml:space="preserve">1. </w:t>
      </w:r>
      <w:r>
        <w:rPr>
          <w:rFonts w:ascii="Traditional Arabic" w:hAnsi="Traditional Arabic" w:cs="Traditional Arabic"/>
          <w:b w:val="1"/>
          <w:bCs w:val="1"/>
          <w:sz w:val="26"/>
          <w:szCs w:val="26"/>
          <w:rtl w:val="1"/>
        </w:rPr>
        <w:t xml:space="preserve">البنك الدولي. </w:t>
      </w:r>
      <w:r>
        <w:rPr>
          <w:rFonts w:ascii="Traditional Arabic" w:hAnsi="Traditional Arabic" w:cs="Traditional Arabic"/>
          <w:i w:val="1"/>
          <w:iCs w:val="1"/>
          <w:sz w:val="26"/>
          <w:szCs w:val="26"/>
          <w:rtl w:val="1"/>
        </w:rPr>
        <w:t xml:space="preserve">«تقرير التنمية في العالم 2016: العوائد الرقمية»، </w:t>
      </w:r>
      <w:r>
        <w:rPr>
          <w:rFonts w:ascii="Traditional Arabic" w:hAnsi="Traditional Arabic" w:cs="Traditional Arabic"/>
          <w:sz w:val="26"/>
          <w:szCs w:val="26"/>
          <w:rtl w:val="1"/>
        </w:rPr>
        <w:t>واشنطن: البنك الدولي، 2016، الفصل الأول. https://doi.org/10.1596/978-1-4648-0671-1</w:t>
      </w:r>
    </w:p>
    <w:p>
      <w:pPr>
        <w:bidi/>
        <w:spacing w:line="312" w:lineRule="auto" w:before="0" w:after="160"/>
        <w:ind w:firstLine="0" w:left="454"/>
        <w:jc w:val="both"/>
      </w:pPr>
      <w:r>
        <w:rPr>
          <w:rFonts w:ascii="Traditional Arabic" w:hAnsi="Traditional Arabic" w:cs="Traditional Arabic"/>
          <w:sz w:val="26"/>
          <w:szCs w:val="26"/>
          <w:rtl w:val="1"/>
        </w:rPr>
        <w:t xml:space="preserve">2. </w:t>
      </w:r>
      <w:r>
        <w:rPr>
          <w:rFonts w:ascii="Traditional Arabic" w:hAnsi="Traditional Arabic" w:cs="Traditional Arabic"/>
          <w:b w:val="1"/>
          <w:bCs w:val="1"/>
          <w:sz w:val="26"/>
          <w:szCs w:val="26"/>
          <w:rtl w:val="1"/>
        </w:rPr>
        <w:t xml:space="preserve">منظمة التعاون الاقتصادي والتنمية. </w:t>
      </w:r>
      <w:r>
        <w:rPr>
          <w:rFonts w:ascii="Traditional Arabic" w:hAnsi="Traditional Arabic" w:cs="Traditional Arabic"/>
          <w:i w:val="1"/>
          <w:iCs w:val="1"/>
          <w:sz w:val="26"/>
          <w:szCs w:val="26"/>
          <w:rtl w:val="1"/>
        </w:rPr>
        <w:t xml:space="preserve">«مسح دوافع الثقة في المؤسسات العامة: نتائج 2024 - بناء الثقة في بيئة سياسات معقدة»، </w:t>
      </w:r>
      <w:r>
        <w:rPr>
          <w:rFonts w:ascii="Traditional Arabic" w:hAnsi="Traditional Arabic" w:cs="Traditional Arabic"/>
          <w:sz w:val="26"/>
          <w:szCs w:val="26"/>
          <w:rtl w:val="1"/>
        </w:rPr>
        <w:t>باريس: منظمة التعاون الاقتصادي والتنمية، 10 تموز/يوليو 2024، الفصل الأول والملخص التنفيذي. https://doi.org/10.1787/9a20554b-en</w:t>
      </w:r>
    </w:p>
    <w:p>
      <w:pPr>
        <w:bidi/>
        <w:spacing w:line="312" w:lineRule="auto" w:before="0" w:after="160"/>
        <w:ind w:firstLine="0" w:left="454"/>
        <w:jc w:val="both"/>
      </w:pPr>
      <w:r>
        <w:rPr>
          <w:rFonts w:ascii="Traditional Arabic" w:hAnsi="Traditional Arabic" w:cs="Traditional Arabic"/>
          <w:sz w:val="26"/>
          <w:szCs w:val="26"/>
          <w:rtl w:val="1"/>
        </w:rPr>
        <w:t xml:space="preserve">3. </w:t>
      </w:r>
      <w:r>
        <w:rPr>
          <w:rFonts w:ascii="Traditional Arabic" w:hAnsi="Traditional Arabic" w:cs="Traditional Arabic"/>
          <w:b w:val="1"/>
          <w:bCs w:val="1"/>
          <w:sz w:val="26"/>
          <w:szCs w:val="26"/>
          <w:rtl w:val="1"/>
        </w:rPr>
        <w:t xml:space="preserve">مركز بيو للأبحاث. </w:t>
      </w:r>
      <w:r>
        <w:rPr>
          <w:rFonts w:ascii="Traditional Arabic" w:hAnsi="Traditional Arabic" w:cs="Traditional Arabic"/>
          <w:i w:val="1"/>
          <w:iCs w:val="1"/>
          <w:sz w:val="26"/>
          <w:szCs w:val="26"/>
          <w:rtl w:val="1"/>
        </w:rPr>
        <w:t xml:space="preserve">«وسائل التواصل الاجتماعي ودوامة الصمت»، </w:t>
      </w:r>
      <w:r>
        <w:rPr>
          <w:rFonts w:ascii="Traditional Arabic" w:hAnsi="Traditional Arabic" w:cs="Traditional Arabic"/>
          <w:sz w:val="26"/>
          <w:szCs w:val="26"/>
          <w:rtl w:val="1"/>
        </w:rPr>
        <w:t>واشنطن: مركز بيو للأبحاث، 26 آب/أغسطس 2014. https://www.pewresearch.org/internet/2014/08/26/social-media-and-the-spiral-of-silence/ — تاريخ الاسترجاع: 2026/10/26.</w:t>
      </w:r>
    </w:p>
    <w:p>
      <w:pPr>
        <w:pStyle w:val="Heading2"/>
        <w:keepNext/>
        <w:bidi/>
        <w:spacing w:line="312" w:lineRule="auto" w:before="200" w:after="120"/>
        <w:ind w:firstLine="0"/>
        <w:jc w:val="right"/>
      </w:pPr>
      <w:r>
        <w:rPr>
          <w:rFonts w:ascii="Traditional Arabic" w:hAnsi="Traditional Arabic" w:cs="Traditional Arabic"/>
          <w:b w:val="1"/>
          <w:bCs w:val="1"/>
          <w:i w:val="0"/>
          <w:iCs w:val="0"/>
          <w:sz w:val="32"/>
          <w:szCs w:val="32"/>
          <w:rtl w:val="1"/>
        </w:rPr>
        <w:t>رابعاً: المصادر الإلكترونية</w:t>
      </w:r>
    </w:p>
    <w:p>
      <w:pPr>
        <w:bidi/>
        <w:spacing w:line="312" w:lineRule="auto" w:before="0" w:after="160"/>
        <w:ind w:firstLine="0" w:left="454"/>
        <w:jc w:val="both"/>
      </w:pPr>
      <w:r>
        <w:rPr>
          <w:rFonts w:ascii="Traditional Arabic" w:hAnsi="Traditional Arabic" w:cs="Traditional Arabic"/>
          <w:sz w:val="26"/>
          <w:szCs w:val="26"/>
          <w:rtl w:val="1"/>
        </w:rPr>
        <w:t xml:space="preserve">1. </w:t>
      </w:r>
      <w:r>
        <w:rPr>
          <w:rFonts w:ascii="Traditional Arabic" w:hAnsi="Traditional Arabic" w:cs="Traditional Arabic"/>
          <w:b w:val="1"/>
          <w:bCs w:val="1"/>
          <w:sz w:val="26"/>
          <w:szCs w:val="26"/>
          <w:rtl w:val="1"/>
        </w:rPr>
        <w:t xml:space="preserve">الجامعة الافتراضية السورية، وحدة «الرأي العام وطرق قياسه». </w:t>
      </w:r>
      <w:r>
        <w:rPr>
          <w:rFonts w:ascii="Traditional Arabic" w:hAnsi="Traditional Arabic" w:cs="Traditional Arabic"/>
          <w:i w:val="1"/>
          <w:iCs w:val="1"/>
          <w:sz w:val="26"/>
          <w:szCs w:val="26"/>
          <w:rtl w:val="1"/>
        </w:rPr>
        <w:t xml:space="preserve">«الوحدة التعليمية الثانية والثالثة (ملف إلكتروني)»، </w:t>
      </w:r>
      <w:r>
        <w:rPr>
          <w:rFonts w:ascii="Traditional Arabic" w:hAnsi="Traditional Arabic" w:cs="Traditional Arabic"/>
          <w:sz w:val="26"/>
          <w:szCs w:val="26"/>
          <w:rtl w:val="1"/>
        </w:rPr>
        <w:t>دمشق: الجامعة الافتراضية السورية. الرابط: https://pedia.svuonline.org/pluginfile.php/2858/mod_resource/content/30/ — تاريخ الاسترجاع: 2026/10/26.</w:t>
      </w:r>
    </w:p>
    <w:p>
      <w:pPr>
        <w:bidi/>
        <w:spacing w:line="312" w:lineRule="auto" w:before="0" w:after="160"/>
        <w:ind w:firstLine="0" w:left="454"/>
        <w:jc w:val="both"/>
      </w:pPr>
      <w:r>
        <w:rPr>
          <w:rFonts w:ascii="Traditional Arabic" w:hAnsi="Traditional Arabic" w:cs="Traditional Arabic"/>
          <w:sz w:val="26"/>
          <w:szCs w:val="26"/>
          <w:rtl w:val="1"/>
        </w:rPr>
        <w:t xml:space="preserve">2. </w:t>
      </w:r>
      <w:r>
        <w:rPr>
          <w:rFonts w:ascii="Traditional Arabic" w:hAnsi="Traditional Arabic" w:cs="Traditional Arabic"/>
          <w:b w:val="1"/>
          <w:bCs w:val="1"/>
          <w:sz w:val="26"/>
          <w:szCs w:val="26"/>
          <w:rtl w:val="1"/>
        </w:rPr>
        <w:t xml:space="preserve">مجلة الجزيرة لدراسات الاتصال والإعلام. </w:t>
      </w:r>
      <w:r>
        <w:rPr>
          <w:rFonts w:ascii="Traditional Arabic" w:hAnsi="Traditional Arabic" w:cs="Traditional Arabic"/>
          <w:i w:val="1"/>
          <w:iCs w:val="1"/>
          <w:sz w:val="26"/>
          <w:szCs w:val="26"/>
          <w:rtl w:val="1"/>
        </w:rPr>
        <w:t xml:space="preserve">«العدد الثالث (يناير 2024)»، </w:t>
      </w:r>
      <w:r>
        <w:rPr>
          <w:rFonts w:ascii="Traditional Arabic" w:hAnsi="Traditional Arabic" w:cs="Traditional Arabic"/>
          <w:sz w:val="26"/>
          <w:szCs w:val="26"/>
          <w:rtl w:val="1"/>
        </w:rPr>
        <w:t>مركز الجزيرة للدراسات، الدوحة. الرابط: https://aljazeerajournal.aljazeera.net/ — تاريخ الاسترجاع: 2026/10/26.</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ملاحظة توثيقية: اعتمدنا في المتن صيغة (اسم المؤلف، السنة: الصفحة) في الإشارة المختصرة داخل الجدول (2) وما يليه عند الحاجة، أما التوثيق الكامل فقد وضع في الهوامش السفلية عند أول إشارة إلى كل مرجع، ثم بصيغة «المرجع نفسه» في الإشارات التالية، حفاظاً على شرط الوظيفة.</w:t>
      </w:r>
    </w:p>
    <w:p>
      <w:pPr>
        <w:pStyle w:val="Heading1"/>
        <w:keepNext/>
        <w:pageBreakBefore/>
        <w:bidi/>
        <w:spacing w:line="312" w:lineRule="auto" w:before="0" w:after="160"/>
        <w:ind w:firstLine="0"/>
        <w:jc w:val="right"/>
      </w:pPr>
      <w:r>
        <w:rPr>
          <w:rFonts w:ascii="Traditional Arabic" w:hAnsi="Traditional Arabic" w:cs="Traditional Arabic"/>
          <w:b w:val="1"/>
          <w:bCs w:val="1"/>
          <w:i w:val="0"/>
          <w:iCs w:val="0"/>
          <w:sz w:val="36"/>
          <w:szCs w:val="36"/>
          <w:rtl w:val="1"/>
        </w:rPr>
        <w:t>الملاحق</w:t>
      </w:r>
    </w:p>
    <w:p>
      <w:pPr>
        <w:pStyle w:val="Heading2"/>
        <w:keepNext/>
        <w:bidi/>
        <w:spacing w:line="312" w:lineRule="auto" w:before="200" w:after="120"/>
        <w:ind w:firstLine="0"/>
        <w:jc w:val="right"/>
      </w:pPr>
      <w:r>
        <w:rPr>
          <w:rFonts w:ascii="Traditional Arabic" w:hAnsi="Traditional Arabic" w:cs="Traditional Arabic"/>
          <w:b w:val="1"/>
          <w:bCs w:val="1"/>
          <w:i w:val="0"/>
          <w:iCs w:val="0"/>
          <w:sz w:val="32"/>
          <w:szCs w:val="32"/>
          <w:rtl w:val="1"/>
        </w:rPr>
        <w:t>الملحق (أ): أداة استبيان مقترحة (لم تنفذ)</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نعرض في هذا الملحق أداة استبيان مقترحة، صممت لتطبق في دراسة لاحقة على عينة من الموظفين والمتعاملين مع الخدمات المالية في بيئة سورية/عربية. ولم تنفذ الأداة في هذه الوظيفة، ولا توجد في هذا البحث أي نتائج أو نسب مئوية مستخرجة منها؛ وإنما تقدم بوصفها أداة قابلة للتطبيق يمكن أن يستعملها فريق بحث بعد التحكيم والتجريب القبلي.</w:t>
      </w:r>
    </w:p>
    <w:p>
      <w:pPr>
        <w:bidi/>
        <w:spacing w:line="312" w:lineRule="auto" w:before="0" w:after="120"/>
        <w:ind w:firstLine="0" w:left="397"/>
        <w:jc w:val="both"/>
      </w:pPr>
      <w:r>
        <w:rPr>
          <w:rFonts w:ascii="Traditional Arabic" w:hAnsi="Traditional Arabic" w:cs="Traditional Arabic"/>
          <w:sz w:val="26"/>
          <w:szCs w:val="26"/>
          <w:rtl w:val="1"/>
        </w:rPr>
        <w:t xml:space="preserve">1. </w:t>
      </w:r>
      <w:r>
        <w:rPr>
          <w:rFonts w:ascii="Traditional Arabic" w:hAnsi="Traditional Arabic" w:cs="Traditional Arabic"/>
          <w:sz w:val="26"/>
          <w:szCs w:val="26"/>
          <w:rtl w:val="1"/>
        </w:rPr>
        <w:t>إلى أي مدى تعتقد أن القضايا الاقتصادية العامة (الأسعار، الأجور، فرص العمل) تمس حياتك اليومية؟ (من 1 لا تمسني إلى 5 تمسني بشدة)</w:t>
      </w:r>
    </w:p>
    <w:p>
      <w:pPr>
        <w:bidi/>
        <w:spacing w:line="312" w:lineRule="auto" w:before="0" w:after="120"/>
        <w:ind w:firstLine="0" w:left="397"/>
        <w:jc w:val="both"/>
      </w:pPr>
      <w:r>
        <w:rPr>
          <w:rFonts w:ascii="Traditional Arabic" w:hAnsi="Traditional Arabic" w:cs="Traditional Arabic"/>
          <w:sz w:val="26"/>
          <w:szCs w:val="26"/>
          <w:rtl w:val="1"/>
        </w:rPr>
        <w:t xml:space="preserve">2. </w:t>
      </w:r>
      <w:r>
        <w:rPr>
          <w:rFonts w:ascii="Traditional Arabic" w:hAnsi="Traditional Arabic" w:cs="Traditional Arabic"/>
          <w:sz w:val="26"/>
          <w:szCs w:val="26"/>
          <w:rtl w:val="1"/>
        </w:rPr>
        <w:t>كم مرة ناقشت موضوعاً اقتصادياً عاماً مع أفراد خارج أسرتك خلال الشهر الماضي؟ (أبداً / مرة / من 2 إلى 5 / أكثر من 5)</w:t>
      </w:r>
    </w:p>
    <w:p>
      <w:pPr>
        <w:bidi/>
        <w:spacing w:line="312" w:lineRule="auto" w:before="0" w:after="120"/>
        <w:ind w:firstLine="0" w:left="397"/>
        <w:jc w:val="both"/>
      </w:pPr>
      <w:r>
        <w:rPr>
          <w:rFonts w:ascii="Traditional Arabic" w:hAnsi="Traditional Arabic" w:cs="Traditional Arabic"/>
          <w:sz w:val="26"/>
          <w:szCs w:val="26"/>
          <w:rtl w:val="1"/>
        </w:rPr>
        <w:t xml:space="preserve">3. </w:t>
      </w:r>
      <w:r>
        <w:rPr>
          <w:rFonts w:ascii="Traditional Arabic" w:hAnsi="Traditional Arabic" w:cs="Traditional Arabic"/>
          <w:sz w:val="26"/>
          <w:szCs w:val="26"/>
          <w:rtl w:val="1"/>
        </w:rPr>
        <w:t>حين تريد معرفة خبر اقتصادي مهم، ما مصدرك الأول؟ (التلفزيون / الصحافة الإلكترونية / منصات التواصل / حديث الناس / جهة رسمية)</w:t>
      </w:r>
    </w:p>
    <w:p>
      <w:pPr>
        <w:bidi/>
        <w:spacing w:line="312" w:lineRule="auto" w:before="0" w:after="120"/>
        <w:ind w:firstLine="0" w:left="397"/>
        <w:jc w:val="both"/>
      </w:pPr>
      <w:r>
        <w:rPr>
          <w:rFonts w:ascii="Traditional Arabic" w:hAnsi="Traditional Arabic" w:cs="Traditional Arabic"/>
          <w:sz w:val="26"/>
          <w:szCs w:val="26"/>
          <w:rtl w:val="1"/>
        </w:rPr>
        <w:t xml:space="preserve">4. </w:t>
      </w:r>
      <w:r>
        <w:rPr>
          <w:rFonts w:ascii="Traditional Arabic" w:hAnsi="Traditional Arabic" w:cs="Traditional Arabic"/>
          <w:sz w:val="26"/>
          <w:szCs w:val="26"/>
          <w:rtl w:val="1"/>
        </w:rPr>
        <w:t>إلى أي مدى تثق في دقة الأرقام الاقتصادية التي تنشر رسمياً؟ (من 1 لا أثق إلى 5 أثق تماماً)</w:t>
      </w:r>
    </w:p>
    <w:p>
      <w:pPr>
        <w:bidi/>
        <w:spacing w:line="312" w:lineRule="auto" w:before="0" w:after="120"/>
        <w:ind w:firstLine="0" w:left="397"/>
        <w:jc w:val="both"/>
      </w:pPr>
      <w:r>
        <w:rPr>
          <w:rFonts w:ascii="Traditional Arabic" w:hAnsi="Traditional Arabic" w:cs="Traditional Arabic"/>
          <w:sz w:val="26"/>
          <w:szCs w:val="26"/>
          <w:rtl w:val="1"/>
        </w:rPr>
        <w:t xml:space="preserve">5. </w:t>
      </w:r>
      <w:r>
        <w:rPr>
          <w:rFonts w:ascii="Traditional Arabic" w:hAnsi="Traditional Arabic" w:cs="Traditional Arabic"/>
          <w:sz w:val="26"/>
          <w:szCs w:val="26"/>
          <w:rtl w:val="1"/>
        </w:rPr>
        <w:t>هل سبق أن امتنعت عن إبداء رأيك في موضوع اقتصادي خوفاً من رد فعل محيطك؟ (نعم / لا / أحياناً)</w:t>
      </w:r>
    </w:p>
    <w:p>
      <w:pPr>
        <w:bidi/>
        <w:spacing w:line="312" w:lineRule="auto" w:before="0" w:after="120"/>
        <w:ind w:firstLine="0" w:left="397"/>
        <w:jc w:val="both"/>
      </w:pPr>
      <w:r>
        <w:rPr>
          <w:rFonts w:ascii="Traditional Arabic" w:hAnsi="Traditional Arabic" w:cs="Traditional Arabic"/>
          <w:sz w:val="26"/>
          <w:szCs w:val="26"/>
          <w:rtl w:val="1"/>
        </w:rPr>
        <w:t xml:space="preserve">6. </w:t>
      </w:r>
      <w:r>
        <w:rPr>
          <w:rFonts w:ascii="Traditional Arabic" w:hAnsi="Traditional Arabic" w:cs="Traditional Arabic"/>
          <w:sz w:val="26"/>
          <w:szCs w:val="26"/>
          <w:rtl w:val="1"/>
        </w:rPr>
        <w:t>برأيك، هل تصاغ السياسات الاقتصادية في بلدك بعد الاستماع إلى رأي الناس؟ (دائماً / غالباً / نادراً / أبداً)</w:t>
      </w:r>
    </w:p>
    <w:p>
      <w:pPr>
        <w:bidi/>
        <w:spacing w:line="312" w:lineRule="auto" w:before="0" w:after="120"/>
        <w:ind w:firstLine="0" w:left="397"/>
        <w:jc w:val="both"/>
      </w:pPr>
      <w:r>
        <w:rPr>
          <w:rFonts w:ascii="Traditional Arabic" w:hAnsi="Traditional Arabic" w:cs="Traditional Arabic"/>
          <w:sz w:val="26"/>
          <w:szCs w:val="26"/>
          <w:rtl w:val="1"/>
        </w:rPr>
        <w:t xml:space="preserve">7. </w:t>
      </w:r>
      <w:r>
        <w:rPr>
          <w:rFonts w:ascii="Traditional Arabic" w:hAnsi="Traditional Arabic" w:cs="Traditional Arabic"/>
          <w:sz w:val="26"/>
          <w:szCs w:val="26"/>
          <w:rtl w:val="1"/>
        </w:rPr>
        <w:t>كيف تقيم أثر التحول إلى الدفع الإلكتروني على ثقتك بالمؤسسة المالية التي تتعامل معها؟ (زادت الثقة / لم تتغير / انخفضت)</w:t>
      </w:r>
    </w:p>
    <w:p>
      <w:pPr>
        <w:bidi/>
        <w:spacing w:line="312" w:lineRule="auto" w:before="0" w:after="120"/>
        <w:ind w:firstLine="0" w:left="397"/>
        <w:jc w:val="both"/>
      </w:pPr>
      <w:r>
        <w:rPr>
          <w:rFonts w:ascii="Traditional Arabic" w:hAnsi="Traditional Arabic" w:cs="Traditional Arabic"/>
          <w:sz w:val="26"/>
          <w:szCs w:val="26"/>
          <w:rtl w:val="1"/>
        </w:rPr>
        <w:t xml:space="preserve">8. </w:t>
      </w:r>
      <w:r>
        <w:rPr>
          <w:rFonts w:ascii="Traditional Arabic" w:hAnsi="Traditional Arabic" w:cs="Traditional Arabic"/>
          <w:sz w:val="26"/>
          <w:szCs w:val="26"/>
          <w:rtl w:val="1"/>
        </w:rPr>
        <w:t>ما أهم عامل يجعلك تقبل إصلاحاً اقتصادياً؟ (وضوح الخطة / عدالة التوزيع / ضمانات التعويض / الثقة في الجهة المنفذة)</w:t>
      </w:r>
    </w:p>
    <w:p>
      <w:pPr>
        <w:bidi/>
        <w:spacing w:line="312" w:lineRule="auto" w:before="0" w:after="120"/>
        <w:ind w:firstLine="0" w:left="397"/>
        <w:jc w:val="both"/>
      </w:pPr>
      <w:r>
        <w:rPr>
          <w:rFonts w:ascii="Traditional Arabic" w:hAnsi="Traditional Arabic" w:cs="Traditional Arabic"/>
          <w:sz w:val="26"/>
          <w:szCs w:val="26"/>
          <w:rtl w:val="1"/>
        </w:rPr>
        <w:t xml:space="preserve">9. </w:t>
      </w:r>
      <w:r>
        <w:rPr>
          <w:rFonts w:ascii="Traditional Arabic" w:hAnsi="Traditional Arabic" w:cs="Traditional Arabic"/>
          <w:sz w:val="26"/>
          <w:szCs w:val="26"/>
          <w:rtl w:val="1"/>
        </w:rPr>
        <w:t>هل تعتقد أن ما ينشر على منصات التواصل يعبر عن رأي معظم الناس؟ (نعم / لا / إلى حد ما)</w:t>
      </w:r>
    </w:p>
    <w:p>
      <w:pPr>
        <w:bidi/>
        <w:spacing w:line="312" w:lineRule="auto" w:before="0" w:after="120"/>
        <w:ind w:firstLine="0" w:left="397"/>
        <w:jc w:val="both"/>
      </w:pPr>
      <w:r>
        <w:rPr>
          <w:rFonts w:ascii="Traditional Arabic" w:hAnsi="Traditional Arabic" w:cs="Traditional Arabic"/>
          <w:sz w:val="26"/>
          <w:szCs w:val="26"/>
          <w:rtl w:val="1"/>
        </w:rPr>
        <w:t xml:space="preserve">10. </w:t>
      </w:r>
      <w:r>
        <w:rPr>
          <w:rFonts w:ascii="Traditional Arabic" w:hAnsi="Traditional Arabic" w:cs="Traditional Arabic"/>
          <w:sz w:val="26"/>
          <w:szCs w:val="26"/>
          <w:rtl w:val="1"/>
        </w:rPr>
        <w:t>ما درجة استعدادك للمشاركة في استطلاع رسمي حول السياسة الاقتصادية؟ (من 1 غير مستعد إلى 5 مستعد تماماً)</w:t>
      </w:r>
    </w:p>
    <w:p>
      <w:pPr>
        <w:pStyle w:val="Heading2"/>
        <w:keepNext/>
        <w:bidi/>
        <w:spacing w:line="312" w:lineRule="auto" w:before="200" w:after="120"/>
        <w:ind w:firstLine="0"/>
        <w:jc w:val="right"/>
      </w:pPr>
      <w:r>
        <w:rPr>
          <w:rFonts w:ascii="Traditional Arabic" w:hAnsi="Traditional Arabic" w:cs="Traditional Arabic"/>
          <w:b w:val="1"/>
          <w:bCs w:val="1"/>
          <w:i w:val="0"/>
          <w:iCs w:val="0"/>
          <w:sz w:val="32"/>
          <w:szCs w:val="32"/>
          <w:rtl w:val="1"/>
        </w:rPr>
        <w:t>الملحق (ب): محاور المقابلة شبه الموجهة</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المقابلة شبه الموجهة تستخدم بعد الاستبيان، وتدار مع ثمانية إلى عشرة مشاركين من خلفيات مختلفة، وتسجل بموافقتهم، وتفرغ في محاور تحليلية لا في إجابات متفرقة. والغرض منها تفسير الأرقام لا إنتاج أرقام جديدة.</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المحور الأول: مصدر المعلومة الاقتصادية:</w:t>
      </w:r>
      <w:r>
        <w:rPr>
          <w:rFonts w:ascii="Traditional Arabic" w:hAnsi="Traditional Arabic" w:cs="Traditional Arabic"/>
          <w:b w:val="0"/>
          <w:bCs w:val="0"/>
          <w:i w:val="0"/>
          <w:iCs w:val="0"/>
          <w:sz w:val="28"/>
          <w:szCs w:val="28"/>
          <w:rtl w:val="1"/>
        </w:rPr>
        <w:t xml:space="preserve"> كيف تصل إليك الأخبار الاقتصادية؟ ومن تثق به أكثر: الجهة الرسمية أم الشخص القريب؟ ولماذا؟</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المحور الثاني: الثقة والخبرة المباشرة:</w:t>
      </w:r>
      <w:r>
        <w:rPr>
          <w:rFonts w:ascii="Traditional Arabic" w:hAnsi="Traditional Arabic" w:cs="Traditional Arabic"/>
          <w:b w:val="0"/>
          <w:bCs w:val="0"/>
          <w:i w:val="0"/>
          <w:iCs w:val="0"/>
          <w:sz w:val="28"/>
          <w:szCs w:val="28"/>
          <w:rtl w:val="1"/>
        </w:rPr>
        <w:t xml:space="preserve"> اذكر موقفاً غير ثقتك بمؤسسة (مصرف، دائرة، شركة). ما الذي حدث بالضبط؟ وما الذي بقي في ذاكرتك منه؟</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المحور الثالث: الصمت والتعبير:</w:t>
      </w:r>
      <w:r>
        <w:rPr>
          <w:rFonts w:ascii="Traditional Arabic" w:hAnsi="Traditional Arabic" w:cs="Traditional Arabic"/>
          <w:b w:val="0"/>
          <w:bCs w:val="0"/>
          <w:i w:val="0"/>
          <w:iCs w:val="0"/>
          <w:sz w:val="28"/>
          <w:szCs w:val="28"/>
          <w:rtl w:val="1"/>
        </w:rPr>
        <w:t xml:space="preserve"> هل هناك مواضيع اقتصادية تتجنب الحديث عنها في العمل أو مع الأقارب؟ ما سبب التجنب؟</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المحور الرابع: الإصلاحات:</w:t>
      </w:r>
      <w:r>
        <w:rPr>
          <w:rFonts w:ascii="Traditional Arabic" w:hAnsi="Traditional Arabic" w:cs="Traditional Arabic"/>
          <w:b w:val="0"/>
          <w:bCs w:val="0"/>
          <w:i w:val="0"/>
          <w:iCs w:val="0"/>
          <w:sz w:val="28"/>
          <w:szCs w:val="28"/>
          <w:rtl w:val="1"/>
        </w:rPr>
        <w:t xml:space="preserve"> ما الإصلاح الاقتصادي الذي تعتقد أنه ضروري؟ وما الإصلاح الذي تخشاه؟ ولماذا؟</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المحور الخامس: التحول الرقمي:</w:t>
      </w:r>
      <w:r>
        <w:rPr>
          <w:rFonts w:ascii="Traditional Arabic" w:hAnsi="Traditional Arabic" w:cs="Traditional Arabic"/>
          <w:b w:val="0"/>
          <w:bCs w:val="0"/>
          <w:i w:val="0"/>
          <w:iCs w:val="0"/>
          <w:sz w:val="28"/>
          <w:szCs w:val="28"/>
          <w:rtl w:val="1"/>
        </w:rPr>
        <w:t xml:space="preserve"> كيف تصف تجربتك مع الخدمات المالية الإلكترونية؟ وما الذي يجعلها مريحة أو مقلقة؟</w:t>
      </w:r>
    </w:p>
    <w:p>
      <w:pPr>
        <w:bidi/>
        <w:spacing w:line="360" w:lineRule="auto" w:before="0" w:after="120"/>
        <w:ind w:firstLine="567"/>
        <w:jc w:val="both"/>
      </w:pPr>
      <w:r>
        <w:rPr>
          <w:rFonts w:ascii="Traditional Arabic" w:hAnsi="Traditional Arabic" w:cs="Traditional Arabic"/>
          <w:b w:val="1"/>
          <w:bCs w:val="1"/>
          <w:i w:val="0"/>
          <w:iCs w:val="0"/>
          <w:sz w:val="28"/>
          <w:szCs w:val="28"/>
          <w:rtl w:val="1"/>
        </w:rPr>
        <w:t>المحور السادس: تكوين الرأي في الجماعة الصغيرة:</w:t>
      </w:r>
      <w:r>
        <w:rPr>
          <w:rFonts w:ascii="Traditional Arabic" w:hAnsi="Traditional Arabic" w:cs="Traditional Arabic"/>
          <w:b w:val="0"/>
          <w:bCs w:val="0"/>
          <w:i w:val="0"/>
          <w:iCs w:val="0"/>
          <w:sz w:val="28"/>
          <w:szCs w:val="28"/>
          <w:rtl w:val="1"/>
        </w:rPr>
        <w:t xml:space="preserve"> حين تختلف مع مجموعتك (كشفية، زملاء عمل) في قضية عامة، ماذا تفعل عادة؟ ومن يغير رأيه في النهاية؟</w:t>
      </w:r>
    </w:p>
    <w:p>
      <w:pPr>
        <w:pStyle w:val="Heading2"/>
        <w:keepNext/>
        <w:bidi/>
        <w:spacing w:line="312" w:lineRule="auto" w:before="200" w:after="120"/>
        <w:ind w:firstLine="0"/>
        <w:jc w:val="right"/>
      </w:pPr>
      <w:r>
        <w:rPr>
          <w:rFonts w:ascii="Traditional Arabic" w:hAnsi="Traditional Arabic" w:cs="Traditional Arabic"/>
          <w:b w:val="1"/>
          <w:bCs w:val="1"/>
          <w:i w:val="0"/>
          <w:iCs w:val="0"/>
          <w:sz w:val="32"/>
          <w:szCs w:val="32"/>
          <w:rtl w:val="1"/>
        </w:rPr>
        <w:t>الملحق (ج): مراجع ومصادر تحتاج تحقق الطالب قبل التسليم</w:t>
      </w:r>
    </w:p>
    <w:p>
      <w:pPr>
        <w:bidi/>
        <w:spacing w:line="360" w:lineRule="auto" w:before="0" w:after="120"/>
        <w:ind w:firstLine="567"/>
        <w:jc w:val="both"/>
      </w:pPr>
      <w:r>
        <w:rPr>
          <w:rFonts w:ascii="Traditional Arabic" w:hAnsi="Traditional Arabic" w:cs="Traditional Arabic"/>
          <w:b w:val="0"/>
          <w:bCs w:val="0"/>
          <w:i w:val="0"/>
          <w:iCs w:val="0"/>
          <w:sz w:val="28"/>
          <w:szCs w:val="28"/>
          <w:rtl w:val="1"/>
        </w:rPr>
        <w:t>التزاماً بشرط الأمانة العلمية، ندرج هنا المصادر التي تحققنا من بياناتها الببليوغرافية الأساسية، لكننا لم نتمكن من مقابلة بعض أرقام الصفحات فيها على نسخة مطبوعة بين أيدينا، فاكتفينا بالإحالة إلى الفصل أو القسم. وعلى الطالب أن يستكمل أرقام الصفحات من النسخة التي يعتمدها قبل التسليم النهائي، أو يبقي الإحالة إلى الفصل كما هي، إذ إن الإحالة إلى الفصل إحالة صحيحة وليست اختلاقاً.</w:t>
      </w:r>
    </w:p>
    <w:p>
      <w:pPr>
        <w:bidi/>
        <w:spacing w:line="360" w:lineRule="auto" w:before="0" w:after="100"/>
        <w:ind w:firstLine="340"/>
        <w:jc w:val="both"/>
      </w:pPr>
      <w:r>
        <w:rPr>
          <w:rFonts w:ascii="Traditional Arabic" w:hAnsi="Traditional Arabic" w:cs="Traditional Arabic"/>
          <w:b w:val="0"/>
          <w:bCs w:val="0"/>
          <w:i w:val="0"/>
          <w:iCs w:val="0"/>
          <w:sz w:val="28"/>
          <w:szCs w:val="28"/>
          <w:rtl w:val="1"/>
        </w:rPr>
        <w:t>• هابرماس، التحول البنيوي للمجال العام (1962): أحيل إلى الفصل الثاني بدل رقم صفحة محدد.</w:t>
      </w:r>
    </w:p>
    <w:p>
      <w:pPr>
        <w:bidi/>
        <w:spacing w:line="360" w:lineRule="auto" w:before="0" w:after="100"/>
        <w:ind w:firstLine="340"/>
        <w:jc w:val="both"/>
      </w:pPr>
      <w:r>
        <w:rPr>
          <w:rFonts w:ascii="Traditional Arabic" w:hAnsi="Traditional Arabic" w:cs="Traditional Arabic"/>
          <w:b w:val="0"/>
          <w:bCs w:val="0"/>
          <w:i w:val="0"/>
          <w:iCs w:val="0"/>
          <w:sz w:val="28"/>
          <w:szCs w:val="28"/>
          <w:rtl w:val="1"/>
        </w:rPr>
        <w:t>• لوبون، سيكولوجية الجماهير (1895): أحيل إلى الصفحة 12 في الطبعة الفرنسية الأولى، وينصح بمقابلتها على نسخة عربية محددة الصفحات.</w:t>
      </w:r>
    </w:p>
    <w:p>
      <w:pPr>
        <w:bidi/>
        <w:spacing w:line="360" w:lineRule="auto" w:before="0" w:after="100"/>
        <w:ind w:firstLine="340"/>
        <w:jc w:val="both"/>
      </w:pPr>
      <w:r>
        <w:rPr>
          <w:rFonts w:ascii="Traditional Arabic" w:hAnsi="Traditional Arabic" w:cs="Traditional Arabic"/>
          <w:b w:val="0"/>
          <w:bCs w:val="0"/>
          <w:i w:val="0"/>
          <w:iCs w:val="0"/>
          <w:sz w:val="28"/>
          <w:szCs w:val="28"/>
          <w:rtl w:val="1"/>
        </w:rPr>
        <w:t>• كاتس ولازارسفيلد، النفوذ الشخصي (1955): أحيل إلى الفصل الأول لعدم توفر ترقيم موحد بين الطبعات.</w:t>
      </w:r>
    </w:p>
    <w:p>
      <w:pPr>
        <w:bidi/>
        <w:spacing w:line="360" w:lineRule="auto" w:before="0" w:after="100"/>
        <w:ind w:firstLine="340"/>
        <w:jc w:val="both"/>
      </w:pPr>
      <w:r>
        <w:rPr>
          <w:rFonts w:ascii="Traditional Arabic" w:hAnsi="Traditional Arabic" w:cs="Traditional Arabic"/>
          <w:b w:val="0"/>
          <w:bCs w:val="0"/>
          <w:i w:val="0"/>
          <w:iCs w:val="0"/>
          <w:sz w:val="28"/>
          <w:szCs w:val="28"/>
          <w:rtl w:val="1"/>
        </w:rPr>
        <w:t>• فيستنجر، نظرية التنافر المعرفي (1957): أحيل إلى الفصل الأول.</w:t>
      </w:r>
    </w:p>
    <w:p>
      <w:pPr>
        <w:bidi/>
        <w:spacing w:line="360" w:lineRule="auto" w:before="0" w:after="100"/>
        <w:ind w:firstLine="340"/>
        <w:jc w:val="both"/>
      </w:pPr>
      <w:r>
        <w:rPr>
          <w:rFonts w:ascii="Traditional Arabic" w:hAnsi="Traditional Arabic" w:cs="Traditional Arabic"/>
          <w:b w:val="0"/>
          <w:bCs w:val="0"/>
          <w:i w:val="0"/>
          <w:iCs w:val="0"/>
          <w:sz w:val="28"/>
          <w:szCs w:val="28"/>
          <w:rtl w:val="1"/>
        </w:rPr>
        <w:t>• سانستين (2001) وباريسر (2011): أحيل إلى الفصل الثاني والثالث على الترتيب.</w:t>
      </w:r>
    </w:p>
    <w:p>
      <w:pPr>
        <w:bidi/>
        <w:spacing w:line="360" w:lineRule="auto" w:before="0" w:after="100"/>
        <w:ind w:firstLine="340"/>
        <w:jc w:val="both"/>
      </w:pPr>
      <w:r>
        <w:rPr>
          <w:rFonts w:ascii="Traditional Arabic" w:hAnsi="Traditional Arabic" w:cs="Traditional Arabic"/>
          <w:b w:val="0"/>
          <w:bCs w:val="0"/>
          <w:i w:val="0"/>
          <w:iCs w:val="0"/>
          <w:sz w:val="28"/>
          <w:szCs w:val="28"/>
          <w:rtl w:val="1"/>
        </w:rPr>
        <w:t>• حجازي وشيخاني، الرأي العام وطرق قياسه (الجامعة الافتراضية السورية): لم يذكر سنة النشر لعدم ورودها في النسخة الإلكترونية المتاحة، وأشير إليها بـ«د.ت.»، والصفحات (16، 17) مأخوذة من ترقيم النسخة المنشورة إلكترونياً.</w:t>
      </w:r>
    </w:p>
    <w:p>
      <w:pPr>
        <w:bidi/>
        <w:spacing w:line="360" w:lineRule="auto" w:before="0" w:after="100"/>
        <w:ind w:firstLine="340"/>
        <w:jc w:val="both"/>
      </w:pPr>
      <w:r>
        <w:rPr>
          <w:rFonts w:ascii="Traditional Arabic" w:hAnsi="Traditional Arabic" w:cs="Traditional Arabic"/>
          <w:b w:val="0"/>
          <w:bCs w:val="0"/>
          <w:i w:val="0"/>
          <w:iCs w:val="0"/>
          <w:sz w:val="28"/>
          <w:szCs w:val="28"/>
          <w:rtl w:val="1"/>
        </w:rPr>
        <w:t>• تقرير البنك الدولي (2016) ومسح منظمة التعاون الاقتصادي والتنمية (2024): أحيل إلى الفصل أو الملخص، لا إلى صفحة محددة، لأن الترقيم يختلف بين نسخة الويب ونسخة الملف المطبوع.</w:t>
      </w:r>
    </w:p>
    <w:p>
      <w:pPr>
        <w:bidi/>
        <w:spacing w:line="360" w:lineRule="auto" w:before="0" w:after="100"/>
        <w:ind w:firstLine="340"/>
        <w:jc w:val="both"/>
      </w:pPr>
      <w:r>
        <w:rPr>
          <w:rFonts w:ascii="Traditional Arabic" w:hAnsi="Traditional Arabic" w:cs="Traditional Arabic"/>
          <w:b w:val="0"/>
          <w:bCs w:val="0"/>
          <w:i w:val="0"/>
          <w:iCs w:val="0"/>
          <w:sz w:val="28"/>
          <w:szCs w:val="28"/>
          <w:rtl w:val="1"/>
        </w:rPr>
        <w:t>• دراسة حمدي وآخرين (2024) في مجلة الجزيرة: نشرت إلكترونياً ولم يتيسر لنا ترقيم صفحاتها النهائي، فأحيل إليها بالعدد والسنة وعنوان الدراسة.</w:t>
      </w:r>
    </w:p>
    <w:sectPr w:rsidR="00FC693F" w:rsidRPr="0006063C" w:rsidSect="00034616">
      <w:headerReference w:type="default" r:id="rId9"/>
      <w:footerReference w:type="default" r:id="rId10"/>
      <w:footnotePr>
        <w:pos w:val="pageBottom"/>
      </w:footnotePr>
      <w:pgSz w:w="11906" w:h="16838"/>
      <w:pgMar w:top="1417" w:right="1417" w:bottom="1417" w:left="1417" w:header="709" w:footer="709" w:gutter="0"/>
      <w:pgNumType w:start="1"/>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spacing w:line="240" w:lineRule="auto" w:before="0" w:after="0"/>
      <w:jc w:val="center"/>
    </w:pPr>
    <w:r/>
    <w:r>
      <w:rPr>
        <w:rFonts w:ascii="Traditional Arabic" w:hAnsi="Traditional Arabic" w:cs="Traditional Arabic"/>
        <w:sz w:val="22"/>
        <w:szCs w:val="22"/>
        <w:rtl w:val="1"/>
      </w:rPr>
      <w:fldChar w:fldCharType="begin" w:dirty="true"/>
      <w:instrText xml:space="preserve"> PAGE </w:instrText>
      <w:fldChar w:fldCharType="separate"/>
      <w:t>1</w:t>
      <w:fldChar w:fldCharType="end"/>
    </w:r>
  </w:p>
</w:ftr>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keepLines/>
        <w:bidi/>
        <w:jc w:val="both"/>
      </w:pPr>
      <w:r>
        <w:rPr>
          <w:rStyle w:val="FootnoteReference"/>
        </w:rPr>
        <w:footnoteRef/>
      </w:r>
      <w:r>
        <w:rPr>
          <w:rFonts w:ascii="Traditional Arabic" w:hAnsi="Traditional Arabic" w:cs="Traditional Arabic"/>
          <w:sz w:val="22"/>
          <w:szCs w:val="22"/>
          <w:rtl/>
        </w:rPr>
        <w:t xml:space="preserve"> </w:t>
      </w:r>
      <w:r>
        <w:rPr>
          <w:rFonts w:ascii="Traditional Arabic" w:hAnsi="Traditional Arabic" w:cs="Traditional Arabic"/>
          <w:sz w:val="22"/>
          <w:szCs w:val="22"/>
          <w:rtl/>
        </w:rPr>
        <w:t xml:space="preserve">عبد المنعم كاظم مطلب الشمري، استطلاعات الرأي العام وعملية اتخاذ القرار في الأنظمة المركزية والديمقراطية، </w:t>
      </w:r>
      <w:r>
        <w:rPr>
          <w:i/>
          <w:iCs/>
          <w:rFonts w:ascii="Traditional Arabic" w:hAnsi="Traditional Arabic" w:cs="Traditional Arabic"/>
          <w:sz w:val="22"/>
          <w:szCs w:val="22"/>
          <w:rtl/>
        </w:rPr>
        <w:t xml:space="preserve">مجلة الآداب</w:t>
      </w:r>
      <w:r>
        <w:rPr>
          <w:rFonts w:ascii="Traditional Arabic" w:hAnsi="Traditional Arabic" w:cs="Traditional Arabic"/>
          <w:sz w:val="22"/>
          <w:szCs w:val="22"/>
          <w:rtl/>
        </w:rPr>
        <w:t xml:space="preserve">، الجامعة المستنصرية، العدد 116، 2019، ص ص 375–376.</w:t>
      </w:r>
    </w:p>
  </w:footnote>
  <w:footnote w:id="2">
    <w:p>
      <w:pPr>
        <w:pStyle w:val="FootnoteText"/>
        <w:keepLines/>
        <w:bidi/>
        <w:jc w:val="both"/>
      </w:pPr>
      <w:r>
        <w:rPr>
          <w:rStyle w:val="FootnoteReference"/>
        </w:rPr>
        <w:footnoteRef/>
      </w:r>
      <w:r>
        <w:rPr>
          <w:rFonts w:ascii="Traditional Arabic" w:hAnsi="Traditional Arabic" w:cs="Traditional Arabic"/>
          <w:sz w:val="22"/>
          <w:szCs w:val="22"/>
          <w:rtl/>
        </w:rPr>
        <w:t xml:space="preserve"> </w:t>
      </w:r>
      <w:r>
        <w:rPr>
          <w:rFonts w:ascii="Traditional Arabic" w:hAnsi="Traditional Arabic" w:cs="Traditional Arabic"/>
          <w:sz w:val="22"/>
          <w:szCs w:val="22"/>
          <w:rtl/>
        </w:rPr>
        <w:t xml:space="preserve">الشمري، المرجع نفسه.</w:t>
      </w:r>
    </w:p>
  </w:footnote>
  <w:footnote w:id="3">
    <w:p>
      <w:pPr>
        <w:pStyle w:val="FootnoteText"/>
        <w:keepLines/>
        <w:bidi/>
        <w:jc w:val="both"/>
      </w:pPr>
      <w:r>
        <w:rPr>
          <w:rStyle w:val="FootnoteReference"/>
        </w:rPr>
        <w:footnoteRef/>
      </w:r>
      <w:r>
        <w:rPr>
          <w:rFonts w:ascii="Traditional Arabic" w:hAnsi="Traditional Arabic" w:cs="Traditional Arabic"/>
          <w:sz w:val="22"/>
          <w:szCs w:val="22"/>
          <w:rtl/>
        </w:rPr>
        <w:t xml:space="preserve"> </w:t>
      </w:r>
      <w:r>
        <w:rPr>
          <w:rFonts w:ascii="Traditional Arabic" w:hAnsi="Traditional Arabic" w:cs="Traditional Arabic"/>
          <w:sz w:val="22"/>
          <w:szCs w:val="22"/>
          <w:rtl/>
        </w:rPr>
        <w:t xml:space="preserve">منظمة التعاون الاقتصادي والتنمية، مسح دوافع الثقة في المؤسسات العامة: نتائج 2024، باريس، 2024، الفصل الأول.</w:t>
      </w:r>
    </w:p>
  </w:footnote>
  <w:footnote w:id="4">
    <w:p>
      <w:pPr>
        <w:pStyle w:val="FootnoteText"/>
        <w:keepLines/>
        <w:bidi/>
        <w:jc w:val="both"/>
      </w:pPr>
      <w:r>
        <w:rPr>
          <w:rStyle w:val="FootnoteReference"/>
        </w:rPr>
        <w:footnoteRef/>
      </w:r>
      <w:r>
        <w:rPr>
          <w:rFonts w:ascii="Traditional Arabic" w:hAnsi="Traditional Arabic" w:cs="Traditional Arabic"/>
          <w:sz w:val="22"/>
          <w:szCs w:val="22"/>
          <w:rtl/>
        </w:rPr>
        <w:t xml:space="preserve"> </w:t>
      </w:r>
      <w:r>
        <w:rPr>
          <w:rFonts w:ascii="Traditional Arabic" w:hAnsi="Traditional Arabic" w:cs="Traditional Arabic"/>
          <w:sz w:val="22"/>
          <w:szCs w:val="22"/>
          <w:rtl/>
        </w:rPr>
        <w:t xml:space="preserve">الشمري، استطلاعات الرأي العام وعملية اتخاذ القرار، مرجع سابق.</w:t>
      </w:r>
    </w:p>
  </w:footnote>
  <w:footnote w:id="5">
    <w:p>
      <w:pPr>
        <w:pStyle w:val="FootnoteText"/>
        <w:keepLines/>
        <w:bidi/>
        <w:jc w:val="both"/>
      </w:pPr>
      <w:r>
        <w:rPr>
          <w:rStyle w:val="FootnoteReference"/>
        </w:rPr>
        <w:footnoteRef/>
      </w:r>
      <w:r>
        <w:rPr>
          <w:rFonts w:ascii="Traditional Arabic" w:hAnsi="Traditional Arabic" w:cs="Traditional Arabic"/>
          <w:sz w:val="22"/>
          <w:szCs w:val="22"/>
          <w:rtl/>
        </w:rPr>
        <w:t xml:space="preserve"> </w:t>
      </w:r>
      <w:r>
        <w:rPr>
          <w:rFonts w:ascii="Traditional Arabic" w:hAnsi="Traditional Arabic" w:cs="Traditional Arabic"/>
          <w:sz w:val="22"/>
          <w:szCs w:val="22"/>
          <w:rtl/>
        </w:rPr>
        <w:t xml:space="preserve">جمعة حجازي وسميرة شيخاني، الرأي العام وطرق قياسه، وحدة تعليمية، الجامعة الافتراضية السورية، دمشق، ص 16.</w:t>
      </w:r>
    </w:p>
  </w:footnote>
  <w:footnote w:id="6">
    <w:p>
      <w:pPr>
        <w:pStyle w:val="FootnoteText"/>
        <w:keepLines/>
        <w:bidi/>
        <w:jc w:val="both"/>
      </w:pPr>
      <w:r>
        <w:rPr>
          <w:rStyle w:val="FootnoteReference"/>
        </w:rPr>
        <w:footnoteRef/>
      </w:r>
      <w:r>
        <w:rPr>
          <w:rFonts w:ascii="Traditional Arabic" w:hAnsi="Traditional Arabic" w:cs="Traditional Arabic"/>
          <w:sz w:val="22"/>
          <w:szCs w:val="22"/>
          <w:rtl/>
        </w:rPr>
        <w:t xml:space="preserve"> </w:t>
      </w:r>
      <w:r>
        <w:rPr>
          <w:rFonts w:ascii="Traditional Arabic" w:hAnsi="Traditional Arabic" w:cs="Traditional Arabic"/>
          <w:sz w:val="22"/>
          <w:szCs w:val="22"/>
          <w:rtl/>
        </w:rPr>
        <w:t xml:space="preserve">والتر ليبمان، الرأي العام (Public Opinion)، نيويورك: هاركورت، بريس وشركاه، 1922، ص 3.</w:t>
      </w:r>
    </w:p>
  </w:footnote>
  <w:footnote w:id="7">
    <w:p>
      <w:pPr>
        <w:pStyle w:val="FootnoteText"/>
        <w:keepLines/>
        <w:bidi/>
        <w:jc w:val="both"/>
      </w:pPr>
      <w:r>
        <w:rPr>
          <w:rStyle w:val="FootnoteReference"/>
        </w:rPr>
        <w:footnoteRef/>
      </w:r>
      <w:r>
        <w:rPr>
          <w:rFonts w:ascii="Traditional Arabic" w:hAnsi="Traditional Arabic" w:cs="Traditional Arabic"/>
          <w:sz w:val="22"/>
          <w:szCs w:val="22"/>
          <w:rtl/>
        </w:rPr>
        <w:t xml:space="preserve"> </w:t>
      </w:r>
      <w:r>
        <w:rPr>
          <w:rFonts w:ascii="Traditional Arabic" w:hAnsi="Traditional Arabic" w:cs="Traditional Arabic"/>
          <w:sz w:val="22"/>
          <w:szCs w:val="22"/>
          <w:rtl/>
        </w:rPr>
        <w:t xml:space="preserve">غوستاف لوبون، سيكولوجية الجماهير (Psychologie des foules)، باريس: فيليكس ألكان، 1895، الفصل الأول.</w:t>
      </w:r>
    </w:p>
  </w:footnote>
  <w:footnote w:id="8">
    <w:p>
      <w:pPr>
        <w:pStyle w:val="FootnoteText"/>
        <w:keepLines/>
        <w:bidi/>
        <w:jc w:val="both"/>
      </w:pPr>
      <w:r>
        <w:rPr>
          <w:rStyle w:val="FootnoteReference"/>
        </w:rPr>
        <w:footnoteRef/>
      </w:r>
      <w:r>
        <w:rPr>
          <w:rFonts w:ascii="Traditional Arabic" w:hAnsi="Traditional Arabic" w:cs="Traditional Arabic"/>
          <w:sz w:val="22"/>
          <w:szCs w:val="22"/>
          <w:rtl/>
        </w:rPr>
        <w:t xml:space="preserve"> </w:t>
      </w:r>
      <w:r>
        <w:rPr>
          <w:rFonts w:ascii="Traditional Arabic" w:hAnsi="Traditional Arabic" w:cs="Traditional Arabic"/>
          <w:sz w:val="22"/>
          <w:szCs w:val="22"/>
          <w:rtl/>
        </w:rPr>
        <w:t xml:space="preserve">يورغن هابرماس، التحول البنيوي للمجال العام (Strukturwandel der Öffentlichkeit)، نويفيد: لوخترهاند، 1962، الفصل الثاني.</w:t>
      </w:r>
    </w:p>
  </w:footnote>
  <w:footnote w:id="9">
    <w:p>
      <w:pPr>
        <w:pStyle w:val="FootnoteText"/>
        <w:keepLines/>
        <w:bidi/>
        <w:jc w:val="both"/>
      </w:pPr>
      <w:r>
        <w:rPr>
          <w:rStyle w:val="FootnoteReference"/>
        </w:rPr>
        <w:footnoteRef/>
      </w:r>
      <w:r>
        <w:rPr>
          <w:rFonts w:ascii="Traditional Arabic" w:hAnsi="Traditional Arabic" w:cs="Traditional Arabic"/>
          <w:sz w:val="22"/>
          <w:szCs w:val="22"/>
          <w:rtl/>
        </w:rPr>
        <w:t xml:space="preserve"> </w:t>
      </w:r>
      <w:r>
        <w:rPr>
          <w:rFonts w:ascii="Traditional Arabic" w:hAnsi="Traditional Arabic" w:cs="Traditional Arabic"/>
          <w:sz w:val="22"/>
          <w:szCs w:val="22"/>
          <w:rtl/>
        </w:rPr>
        <w:t xml:space="preserve">إليزابيث نويل-نيومان، دوامة الصمت: نظرية في الرأي العام، </w:t>
      </w:r>
      <w:r>
        <w:rPr>
          <w:i/>
          <w:iCs/>
          <w:rFonts w:ascii="Traditional Arabic" w:hAnsi="Traditional Arabic" w:cs="Traditional Arabic"/>
          <w:sz w:val="22"/>
          <w:szCs w:val="22"/>
          <w:rtl/>
        </w:rPr>
        <w:t xml:space="preserve">مجلة الاتصال</w:t>
      </w:r>
      <w:r>
        <w:rPr>
          <w:rFonts w:ascii="Traditional Arabic" w:hAnsi="Traditional Arabic" w:cs="Traditional Arabic"/>
          <w:sz w:val="22"/>
          <w:szCs w:val="22"/>
          <w:rtl/>
        </w:rPr>
        <w:t xml:space="preserve">، المجلد 24، العدد 2، 1974، ص 43.</w:t>
      </w:r>
    </w:p>
  </w:footnote>
  <w:footnote w:id="10">
    <w:p>
      <w:pPr>
        <w:pStyle w:val="FootnoteText"/>
        <w:keepLines/>
        <w:bidi/>
        <w:jc w:val="both"/>
      </w:pPr>
      <w:r>
        <w:rPr>
          <w:rStyle w:val="FootnoteReference"/>
        </w:rPr>
        <w:footnoteRef/>
      </w:r>
      <w:r>
        <w:rPr>
          <w:rFonts w:ascii="Traditional Arabic" w:hAnsi="Traditional Arabic" w:cs="Traditional Arabic"/>
          <w:sz w:val="22"/>
          <w:szCs w:val="22"/>
          <w:rtl/>
        </w:rPr>
        <w:t xml:space="preserve"> </w:t>
      </w:r>
      <w:r>
        <w:rPr>
          <w:rFonts w:ascii="Traditional Arabic" w:hAnsi="Traditional Arabic" w:cs="Traditional Arabic"/>
          <w:sz w:val="22"/>
          <w:szCs w:val="22"/>
          <w:rtl/>
        </w:rPr>
        <w:t xml:space="preserve">محيي الدين عبد الحليم، الرأي العام: مفهومه وأنواعه، عوامل تشكيله، وظائفه وقوانينه، طرق قياسه وأساليب تغييره، القاهرة: مكتبة الأنجلو المصرية، 2009، ص 62.</w:t>
      </w:r>
    </w:p>
  </w:footnote>
  <w:footnote w:id="11">
    <w:p>
      <w:pPr>
        <w:pStyle w:val="FootnoteText"/>
        <w:keepLines/>
        <w:bidi/>
        <w:jc w:val="both"/>
      </w:pPr>
      <w:r>
        <w:rPr>
          <w:rStyle w:val="FootnoteReference"/>
        </w:rPr>
        <w:footnoteRef/>
      </w:r>
      <w:r>
        <w:rPr>
          <w:rFonts w:ascii="Traditional Arabic" w:hAnsi="Traditional Arabic" w:cs="Traditional Arabic"/>
          <w:sz w:val="22"/>
          <w:szCs w:val="22"/>
          <w:rtl/>
        </w:rPr>
        <w:t xml:space="preserve"> </w:t>
      </w:r>
      <w:r>
        <w:rPr>
          <w:rFonts w:ascii="Traditional Arabic" w:hAnsi="Traditional Arabic" w:cs="Traditional Arabic"/>
          <w:sz w:val="22"/>
          <w:szCs w:val="22"/>
          <w:rtl/>
        </w:rPr>
        <w:t xml:space="preserve">حجازي وشيخاني، الرأي العام وطرق قياسه، مرجع سابق، ص 17.</w:t>
      </w:r>
    </w:p>
  </w:footnote>
  <w:footnote w:id="12">
    <w:p>
      <w:pPr>
        <w:pStyle w:val="FootnoteText"/>
        <w:keepLines/>
        <w:bidi/>
        <w:jc w:val="both"/>
      </w:pPr>
      <w:r>
        <w:rPr>
          <w:rStyle w:val="FootnoteReference"/>
        </w:rPr>
        <w:footnoteRef/>
      </w:r>
      <w:r>
        <w:rPr>
          <w:rFonts w:ascii="Traditional Arabic" w:hAnsi="Traditional Arabic" w:cs="Traditional Arabic"/>
          <w:sz w:val="22"/>
          <w:szCs w:val="22"/>
          <w:rtl/>
        </w:rPr>
        <w:t xml:space="preserve"> </w:t>
      </w:r>
      <w:r>
        <w:rPr>
          <w:rFonts w:ascii="Traditional Arabic" w:hAnsi="Traditional Arabic" w:cs="Traditional Arabic"/>
          <w:sz w:val="22"/>
          <w:szCs w:val="22"/>
          <w:rtl/>
        </w:rPr>
        <w:t xml:space="preserve">هابرماس، التحول البنيوي للمجال العام، مرجع سابق، الفصل الثاني.</w:t>
      </w:r>
    </w:p>
  </w:footnote>
  <w:footnote w:id="13">
    <w:p>
      <w:pPr>
        <w:pStyle w:val="FootnoteText"/>
        <w:keepLines/>
        <w:bidi/>
        <w:jc w:val="both"/>
      </w:pPr>
      <w:r>
        <w:rPr>
          <w:rStyle w:val="FootnoteReference"/>
        </w:rPr>
        <w:footnoteRef/>
      </w:r>
      <w:r>
        <w:rPr>
          <w:rFonts w:ascii="Traditional Arabic" w:hAnsi="Traditional Arabic" w:cs="Traditional Arabic"/>
          <w:sz w:val="22"/>
          <w:szCs w:val="22"/>
          <w:rtl/>
        </w:rPr>
        <w:t xml:space="preserve"> </w:t>
      </w:r>
      <w:r>
        <w:rPr>
          <w:rFonts w:ascii="Traditional Arabic" w:hAnsi="Traditional Arabic" w:cs="Traditional Arabic"/>
          <w:sz w:val="22"/>
          <w:szCs w:val="22"/>
          <w:rtl/>
        </w:rPr>
        <w:t xml:space="preserve">عبد الحليم، الرأي العام، مرجع سابق، ص ص 65–69.</w:t>
      </w:r>
    </w:p>
  </w:footnote>
  <w:footnote w:id="14">
    <w:p>
      <w:pPr>
        <w:pStyle w:val="FootnoteText"/>
        <w:keepLines/>
        <w:bidi/>
        <w:jc w:val="both"/>
      </w:pPr>
      <w:r>
        <w:rPr>
          <w:rStyle w:val="FootnoteReference"/>
        </w:rPr>
        <w:footnoteRef/>
      </w:r>
      <w:r>
        <w:rPr>
          <w:rFonts w:ascii="Traditional Arabic" w:hAnsi="Traditional Arabic" w:cs="Traditional Arabic"/>
          <w:sz w:val="22"/>
          <w:szCs w:val="22"/>
          <w:rtl/>
        </w:rPr>
        <w:t xml:space="preserve"> </w:t>
      </w:r>
      <w:r>
        <w:rPr>
          <w:rFonts w:ascii="Traditional Arabic" w:hAnsi="Traditional Arabic" w:cs="Traditional Arabic"/>
          <w:sz w:val="22"/>
          <w:szCs w:val="22"/>
          <w:rtl/>
        </w:rPr>
        <w:t xml:space="preserve">الشمري، استطلاعات الرأي العام وعملية اتخاذ القرار، مرجع سابق.</w:t>
      </w:r>
    </w:p>
  </w:footnote>
  <w:footnote w:id="15">
    <w:p>
      <w:pPr>
        <w:pStyle w:val="FootnoteText"/>
        <w:keepLines/>
        <w:bidi/>
        <w:jc w:val="both"/>
      </w:pPr>
      <w:r>
        <w:rPr>
          <w:rStyle w:val="FootnoteReference"/>
        </w:rPr>
        <w:footnoteRef/>
      </w:r>
      <w:r>
        <w:rPr>
          <w:rFonts w:ascii="Traditional Arabic" w:hAnsi="Traditional Arabic" w:cs="Traditional Arabic"/>
          <w:sz w:val="22"/>
          <w:szCs w:val="22"/>
          <w:rtl/>
        </w:rPr>
        <w:t xml:space="preserve"> </w:t>
      </w:r>
      <w:r>
        <w:rPr>
          <w:rFonts w:ascii="Traditional Arabic" w:hAnsi="Traditional Arabic" w:cs="Traditional Arabic"/>
          <w:sz w:val="22"/>
          <w:szCs w:val="22"/>
          <w:rtl/>
        </w:rPr>
        <w:t xml:space="preserve">ماكومبس وشو، وظيفة ترتيب الأولويات، مرجع سابق.</w:t>
      </w:r>
    </w:p>
  </w:footnote>
  <w:footnote w:id="16">
    <w:p>
      <w:pPr>
        <w:pStyle w:val="FootnoteText"/>
        <w:keepLines/>
        <w:bidi/>
        <w:jc w:val="both"/>
      </w:pPr>
      <w:r>
        <w:rPr>
          <w:rStyle w:val="FootnoteReference"/>
        </w:rPr>
        <w:footnoteRef/>
      </w:r>
      <w:r>
        <w:rPr>
          <w:rFonts w:ascii="Traditional Arabic" w:hAnsi="Traditional Arabic" w:cs="Traditional Arabic"/>
          <w:sz w:val="22"/>
          <w:szCs w:val="22"/>
          <w:rtl/>
        </w:rPr>
        <w:t xml:space="preserve"> </w:t>
      </w:r>
      <w:r>
        <w:rPr>
          <w:rFonts w:ascii="Traditional Arabic" w:hAnsi="Traditional Arabic" w:cs="Traditional Arabic"/>
          <w:sz w:val="22"/>
          <w:szCs w:val="22"/>
          <w:rtl/>
        </w:rPr>
        <w:t xml:space="preserve">محمد الفاتح حمدي وهشام عكوباش وفتيحة زماموش، شبكات التواصل الاجتماعي والاستقطاب السياسي في المنطقة العربية: قراءة ميتا تحليلية، </w:t>
      </w:r>
      <w:r>
        <w:rPr>
          <w:i/>
          <w:iCs/>
          <w:rFonts w:ascii="Traditional Arabic" w:hAnsi="Traditional Arabic" w:cs="Traditional Arabic"/>
          <w:sz w:val="22"/>
          <w:szCs w:val="22"/>
          <w:rtl/>
        </w:rPr>
        <w:t xml:space="preserve">مجلة الجزيرة لدراسات الاتصال والإعلام</w:t>
      </w:r>
      <w:r>
        <w:rPr>
          <w:rFonts w:ascii="Traditional Arabic" w:hAnsi="Traditional Arabic" w:cs="Traditional Arabic"/>
          <w:sz w:val="22"/>
          <w:szCs w:val="22"/>
          <w:rtl/>
        </w:rPr>
        <w:t xml:space="preserve">، العدد 3، يناير 2024.</w:t>
      </w:r>
    </w:p>
  </w:footnote>
  <w:footnote w:id="17">
    <w:p>
      <w:pPr>
        <w:pStyle w:val="FootnoteText"/>
        <w:keepLines/>
        <w:bidi/>
        <w:jc w:val="both"/>
      </w:pPr>
      <w:r>
        <w:rPr>
          <w:rStyle w:val="FootnoteReference"/>
        </w:rPr>
        <w:footnoteRef/>
      </w:r>
      <w:r>
        <w:rPr>
          <w:rFonts w:ascii="Traditional Arabic" w:hAnsi="Traditional Arabic" w:cs="Traditional Arabic"/>
          <w:sz w:val="22"/>
          <w:szCs w:val="22"/>
          <w:rtl/>
        </w:rPr>
        <w:t xml:space="preserve"> </w:t>
      </w:r>
      <w:r>
        <w:rPr>
          <w:rFonts w:ascii="Traditional Arabic" w:hAnsi="Traditional Arabic" w:cs="Traditional Arabic"/>
          <w:sz w:val="22"/>
          <w:szCs w:val="22"/>
          <w:rtl/>
        </w:rPr>
        <w:t xml:space="preserve">نويل-نيومان، دوامة الصمت، مرجع سابق، ص 43.</w:t>
      </w:r>
    </w:p>
  </w:footnote>
  <w:footnote w:id="18">
    <w:p>
      <w:pPr>
        <w:pStyle w:val="FootnoteText"/>
        <w:keepLines/>
        <w:bidi/>
        <w:jc w:val="both"/>
      </w:pPr>
      <w:r>
        <w:rPr>
          <w:rStyle w:val="FootnoteReference"/>
        </w:rPr>
        <w:footnoteRef/>
      </w:r>
      <w:r>
        <w:rPr>
          <w:rFonts w:ascii="Traditional Arabic" w:hAnsi="Traditional Arabic" w:cs="Traditional Arabic"/>
          <w:sz w:val="22"/>
          <w:szCs w:val="22"/>
          <w:rtl/>
        </w:rPr>
        <w:t xml:space="preserve"> </w:t>
      </w:r>
      <w:r>
        <w:rPr>
          <w:rFonts w:ascii="Traditional Arabic" w:hAnsi="Traditional Arabic" w:cs="Traditional Arabic"/>
          <w:sz w:val="22"/>
          <w:szCs w:val="22"/>
          <w:rtl/>
        </w:rPr>
        <w:t xml:space="preserve">الشمري، استطلاعات الرأي العام وعملية اتخاذ القرار، مرجع سابق.</w:t>
      </w:r>
    </w:p>
  </w:footnote>
  <w:footnote w:id="19">
    <w:p>
      <w:pPr>
        <w:pStyle w:val="FootnoteText"/>
        <w:keepLines/>
        <w:bidi/>
        <w:jc w:val="both"/>
      </w:pPr>
      <w:r>
        <w:rPr>
          <w:rStyle w:val="FootnoteReference"/>
        </w:rPr>
        <w:footnoteRef/>
      </w:r>
      <w:r>
        <w:rPr>
          <w:rFonts w:ascii="Traditional Arabic" w:hAnsi="Traditional Arabic" w:cs="Traditional Arabic"/>
          <w:sz w:val="22"/>
          <w:szCs w:val="22"/>
          <w:rtl/>
        </w:rPr>
        <w:t xml:space="preserve"> </w:t>
      </w:r>
      <w:r>
        <w:rPr>
          <w:rFonts w:ascii="Traditional Arabic" w:hAnsi="Traditional Arabic" w:cs="Traditional Arabic"/>
          <w:sz w:val="22"/>
          <w:szCs w:val="22"/>
          <w:rtl/>
        </w:rPr>
        <w:t xml:space="preserve">ليون فيستنجر، نظرية التنافر المعرفي (A Theory of Cognitive Dissonance)، ستانفورد: مطبعة جامعة ستانفورد، 1957، الفصل الأول.</w:t>
      </w:r>
    </w:p>
  </w:footnote>
  <w:footnote w:id="20">
    <w:p>
      <w:pPr>
        <w:pStyle w:val="FootnoteText"/>
        <w:keepLines/>
        <w:bidi/>
        <w:jc w:val="both"/>
      </w:pPr>
      <w:r>
        <w:rPr>
          <w:rStyle w:val="FootnoteReference"/>
        </w:rPr>
        <w:footnoteRef/>
      </w:r>
      <w:r>
        <w:rPr>
          <w:rFonts w:ascii="Traditional Arabic" w:hAnsi="Traditional Arabic" w:cs="Traditional Arabic"/>
          <w:sz w:val="22"/>
          <w:szCs w:val="22"/>
          <w:rtl/>
        </w:rPr>
        <w:t xml:space="preserve"> </w:t>
      </w:r>
      <w:r>
        <w:rPr>
          <w:rFonts w:ascii="Traditional Arabic" w:hAnsi="Traditional Arabic" w:cs="Traditional Arabic"/>
          <w:sz w:val="22"/>
          <w:szCs w:val="22"/>
          <w:rtl/>
        </w:rPr>
        <w:t xml:space="preserve">ليبمان، الرأي العام، مرجع سابق، ص 3.</w:t>
      </w:r>
    </w:p>
  </w:footnote>
  <w:footnote w:id="21">
    <w:p>
      <w:pPr>
        <w:pStyle w:val="FootnoteText"/>
        <w:keepLines/>
        <w:bidi/>
        <w:jc w:val="both"/>
      </w:pPr>
      <w:r>
        <w:rPr>
          <w:rStyle w:val="FootnoteReference"/>
        </w:rPr>
        <w:footnoteRef/>
      </w:r>
      <w:r>
        <w:rPr>
          <w:rFonts w:ascii="Traditional Arabic" w:hAnsi="Traditional Arabic" w:cs="Traditional Arabic"/>
          <w:sz w:val="22"/>
          <w:szCs w:val="22"/>
          <w:rtl/>
        </w:rPr>
        <w:t xml:space="preserve"> </w:t>
      </w:r>
      <w:r>
        <w:rPr>
          <w:rFonts w:ascii="Traditional Arabic" w:hAnsi="Traditional Arabic" w:cs="Traditional Arabic"/>
          <w:sz w:val="22"/>
          <w:szCs w:val="22"/>
          <w:rtl/>
        </w:rPr>
        <w:t xml:space="preserve">هابرماس، التحول البنيوي للمجال العام، مرجع سابق، الفصل الثاني.</w:t>
      </w:r>
    </w:p>
  </w:footnote>
  <w:footnote w:id="22">
    <w:p>
      <w:pPr>
        <w:pStyle w:val="FootnoteText"/>
        <w:keepLines/>
        <w:bidi/>
        <w:jc w:val="both"/>
      </w:pPr>
      <w:r>
        <w:rPr>
          <w:rStyle w:val="FootnoteReference"/>
        </w:rPr>
        <w:footnoteRef/>
      </w:r>
      <w:r>
        <w:rPr>
          <w:rFonts w:ascii="Traditional Arabic" w:hAnsi="Traditional Arabic" w:cs="Traditional Arabic"/>
          <w:sz w:val="22"/>
          <w:szCs w:val="22"/>
          <w:rtl/>
        </w:rPr>
        <w:t xml:space="preserve"> </w:t>
      </w:r>
      <w:r>
        <w:rPr>
          <w:rFonts w:ascii="Traditional Arabic" w:hAnsi="Traditional Arabic" w:cs="Traditional Arabic"/>
          <w:sz w:val="22"/>
          <w:szCs w:val="22"/>
          <w:rtl/>
        </w:rPr>
        <w:t xml:space="preserve">لوبون، سيكولوجية الجماهير، مرجع سابق، الفصل الأول.</w:t>
      </w:r>
    </w:p>
  </w:footnote>
  <w:footnote w:id="23">
    <w:p>
      <w:pPr>
        <w:pStyle w:val="FootnoteText"/>
        <w:keepLines/>
        <w:bidi/>
        <w:jc w:val="both"/>
      </w:pPr>
      <w:r>
        <w:rPr>
          <w:rStyle w:val="FootnoteReference"/>
        </w:rPr>
        <w:footnoteRef/>
      </w:r>
      <w:r>
        <w:rPr>
          <w:rFonts w:ascii="Traditional Arabic" w:hAnsi="Traditional Arabic" w:cs="Traditional Arabic"/>
          <w:sz w:val="22"/>
          <w:szCs w:val="22"/>
          <w:rtl/>
        </w:rPr>
        <w:t xml:space="preserve"> </w:t>
      </w:r>
      <w:r>
        <w:rPr>
          <w:rFonts w:ascii="Traditional Arabic" w:hAnsi="Traditional Arabic" w:cs="Traditional Arabic"/>
          <w:sz w:val="22"/>
          <w:szCs w:val="22"/>
          <w:rtl/>
        </w:rPr>
        <w:t xml:space="preserve">إلياهو كاتس وبول لازارسفيلد، النفوذ الشخصي (Personal Influence)، غلينكو: المطبعة الحرة، 1955، الفصل الأول.</w:t>
      </w:r>
    </w:p>
  </w:footnote>
  <w:footnote w:id="24">
    <w:p>
      <w:pPr>
        <w:pStyle w:val="FootnoteText"/>
        <w:keepLines/>
        <w:bidi/>
        <w:jc w:val="both"/>
      </w:pPr>
      <w:r>
        <w:rPr>
          <w:rStyle w:val="FootnoteReference"/>
        </w:rPr>
        <w:footnoteRef/>
      </w:r>
      <w:r>
        <w:rPr>
          <w:rFonts w:ascii="Traditional Arabic" w:hAnsi="Traditional Arabic" w:cs="Traditional Arabic"/>
          <w:sz w:val="22"/>
          <w:szCs w:val="22"/>
          <w:rtl/>
        </w:rPr>
        <w:t xml:space="preserve"> </w:t>
      </w:r>
      <w:r>
        <w:rPr>
          <w:rFonts w:ascii="Traditional Arabic" w:hAnsi="Traditional Arabic" w:cs="Traditional Arabic"/>
          <w:sz w:val="22"/>
          <w:szCs w:val="22"/>
          <w:rtl/>
        </w:rPr>
        <w:t xml:space="preserve">نويل-نيومان، دوامة الصمت، مرجع سابق، ص 43.</w:t>
      </w:r>
    </w:p>
  </w:footnote>
  <w:footnote w:id="25">
    <w:p>
      <w:pPr>
        <w:pStyle w:val="FootnoteText"/>
        <w:keepLines/>
        <w:bidi/>
        <w:jc w:val="both"/>
      </w:pPr>
      <w:r>
        <w:rPr>
          <w:rStyle w:val="FootnoteReference"/>
        </w:rPr>
        <w:footnoteRef/>
      </w:r>
      <w:r>
        <w:rPr>
          <w:rFonts w:ascii="Traditional Arabic" w:hAnsi="Traditional Arabic" w:cs="Traditional Arabic"/>
          <w:sz w:val="22"/>
          <w:szCs w:val="22"/>
          <w:rtl/>
        </w:rPr>
        <w:t xml:space="preserve"> </w:t>
      </w:r>
      <w:r>
        <w:rPr>
          <w:rFonts w:ascii="Traditional Arabic" w:hAnsi="Traditional Arabic" w:cs="Traditional Arabic"/>
          <w:sz w:val="22"/>
          <w:szCs w:val="22"/>
          <w:rtl/>
        </w:rPr>
        <w:t xml:space="preserve">ماكومبس وشو، وظيفة ترتيب الأولويات، مرجع سابق.</w:t>
      </w:r>
    </w:p>
  </w:footnote>
  <w:footnote w:id="26">
    <w:p>
      <w:pPr>
        <w:pStyle w:val="FootnoteText"/>
        <w:keepLines/>
        <w:bidi/>
        <w:jc w:val="both"/>
      </w:pPr>
      <w:r>
        <w:rPr>
          <w:rStyle w:val="FootnoteReference"/>
        </w:rPr>
        <w:footnoteRef/>
      </w:r>
      <w:r>
        <w:rPr>
          <w:rFonts w:ascii="Traditional Arabic" w:hAnsi="Traditional Arabic" w:cs="Traditional Arabic"/>
          <w:sz w:val="22"/>
          <w:szCs w:val="22"/>
          <w:rtl/>
        </w:rPr>
        <w:t xml:space="preserve"> </w:t>
      </w:r>
      <w:r>
        <w:rPr>
          <w:rFonts w:ascii="Traditional Arabic" w:hAnsi="Traditional Arabic" w:cs="Traditional Arabic"/>
          <w:sz w:val="22"/>
          <w:szCs w:val="22"/>
          <w:rtl/>
        </w:rPr>
        <w:t xml:space="preserve">ساندرا بال-روكيتش وميلفن دي فلور، نموذج الاعتماد في أثر وسائل الإعلام، </w:t>
      </w:r>
      <w:r>
        <w:rPr>
          <w:i/>
          <w:iCs/>
          <w:rFonts w:ascii="Traditional Arabic" w:hAnsi="Traditional Arabic" w:cs="Traditional Arabic"/>
          <w:sz w:val="22"/>
          <w:szCs w:val="22"/>
          <w:rtl/>
        </w:rPr>
        <w:t xml:space="preserve">بحوث الاتصال</w:t>
      </w:r>
      <w:r>
        <w:rPr>
          <w:rFonts w:ascii="Traditional Arabic" w:hAnsi="Traditional Arabic" w:cs="Traditional Arabic"/>
          <w:sz w:val="22"/>
          <w:szCs w:val="22"/>
          <w:rtl/>
        </w:rPr>
        <w:t xml:space="preserve">، المجلد 3، العدد 1، 1976، ص ص 3–21.</w:t>
      </w:r>
    </w:p>
  </w:footnote>
  <w:footnote w:id="27">
    <w:p>
      <w:pPr>
        <w:pStyle w:val="FootnoteText"/>
        <w:keepLines/>
        <w:bidi/>
        <w:jc w:val="both"/>
      </w:pPr>
      <w:r>
        <w:rPr>
          <w:rStyle w:val="FootnoteReference"/>
        </w:rPr>
        <w:footnoteRef/>
      </w:r>
      <w:r>
        <w:rPr>
          <w:rFonts w:ascii="Traditional Arabic" w:hAnsi="Traditional Arabic" w:cs="Traditional Arabic"/>
          <w:sz w:val="22"/>
          <w:szCs w:val="22"/>
          <w:rtl/>
        </w:rPr>
        <w:t xml:space="preserve"> </w:t>
      </w:r>
      <w:r>
        <w:rPr>
          <w:rFonts w:ascii="Traditional Arabic" w:hAnsi="Traditional Arabic" w:cs="Traditional Arabic"/>
          <w:sz w:val="22"/>
          <w:szCs w:val="22"/>
          <w:rtl/>
        </w:rPr>
        <w:t xml:space="preserve">روبرت إنتمان، التأطير: نحو توضيح نموذج مفكك، </w:t>
      </w:r>
      <w:r>
        <w:rPr>
          <w:i/>
          <w:iCs/>
          <w:rFonts w:ascii="Traditional Arabic" w:hAnsi="Traditional Arabic" w:cs="Traditional Arabic"/>
          <w:sz w:val="22"/>
          <w:szCs w:val="22"/>
          <w:rtl/>
        </w:rPr>
        <w:t xml:space="preserve">مجلة الاتصال</w:t>
      </w:r>
      <w:r>
        <w:rPr>
          <w:rFonts w:ascii="Traditional Arabic" w:hAnsi="Traditional Arabic" w:cs="Traditional Arabic"/>
          <w:sz w:val="22"/>
          <w:szCs w:val="22"/>
          <w:rtl/>
        </w:rPr>
        <w:t xml:space="preserve">، المجلد 43، العدد 4، 1993، ص ص 51–58.</w:t>
      </w:r>
    </w:p>
  </w:footnote>
  <w:footnote w:id="28">
    <w:p>
      <w:pPr>
        <w:pStyle w:val="FootnoteText"/>
        <w:keepLines/>
        <w:bidi/>
        <w:jc w:val="both"/>
      </w:pPr>
      <w:r>
        <w:rPr>
          <w:rStyle w:val="FootnoteReference"/>
        </w:rPr>
        <w:footnoteRef/>
      </w:r>
      <w:r>
        <w:rPr>
          <w:rFonts w:ascii="Traditional Arabic" w:hAnsi="Traditional Arabic" w:cs="Traditional Arabic"/>
          <w:sz w:val="22"/>
          <w:szCs w:val="22"/>
          <w:rtl/>
        </w:rPr>
        <w:t xml:space="preserve"> </w:t>
      </w:r>
      <w:r>
        <w:rPr>
          <w:rFonts w:ascii="Traditional Arabic" w:hAnsi="Traditional Arabic" w:cs="Traditional Arabic"/>
          <w:sz w:val="22"/>
          <w:szCs w:val="22"/>
          <w:rtl/>
        </w:rPr>
        <w:t xml:space="preserve">إيلي باريسر، فقاعة الترشيح (The Filter Bubble)، نيويورك: مطبعة بنغوين، 2011، الفصل الثالث.</w:t>
      </w:r>
    </w:p>
  </w:footnote>
  <w:footnote w:id="29">
    <w:p>
      <w:pPr>
        <w:pStyle w:val="FootnoteText"/>
        <w:keepLines/>
        <w:bidi/>
        <w:jc w:val="both"/>
      </w:pPr>
      <w:r>
        <w:rPr>
          <w:rStyle w:val="FootnoteReference"/>
        </w:rPr>
        <w:footnoteRef/>
      </w:r>
      <w:r>
        <w:rPr>
          <w:rFonts w:ascii="Traditional Arabic" w:hAnsi="Traditional Arabic" w:cs="Traditional Arabic"/>
          <w:sz w:val="22"/>
          <w:szCs w:val="22"/>
          <w:rtl/>
        </w:rPr>
        <w:t xml:space="preserve"> </w:t>
      </w:r>
      <w:r>
        <w:rPr>
          <w:rFonts w:ascii="Traditional Arabic" w:hAnsi="Traditional Arabic" w:cs="Traditional Arabic"/>
          <w:sz w:val="22"/>
          <w:szCs w:val="22"/>
          <w:rtl/>
        </w:rPr>
        <w:t xml:space="preserve">كاس سانستين، جمهورية دوت كوم (Republic.com)، برينستون: مطبعة جامعة برينستون، 2001، الفصل الثاني.</w:t>
      </w:r>
    </w:p>
  </w:footnote>
  <w:footnote w:id="30">
    <w:p>
      <w:pPr>
        <w:pStyle w:val="FootnoteText"/>
        <w:keepLines/>
        <w:bidi/>
        <w:jc w:val="both"/>
      </w:pPr>
      <w:r>
        <w:rPr>
          <w:rStyle w:val="FootnoteReference"/>
        </w:rPr>
        <w:footnoteRef/>
      </w:r>
      <w:r>
        <w:rPr>
          <w:rFonts w:ascii="Traditional Arabic" w:hAnsi="Traditional Arabic" w:cs="Traditional Arabic"/>
          <w:sz w:val="22"/>
          <w:szCs w:val="22"/>
          <w:rtl/>
        </w:rPr>
        <w:t xml:space="preserve"> </w:t>
      </w:r>
      <w:r>
        <w:rPr>
          <w:rFonts w:ascii="Traditional Arabic" w:hAnsi="Traditional Arabic" w:cs="Traditional Arabic"/>
          <w:sz w:val="22"/>
          <w:szCs w:val="22"/>
          <w:rtl/>
        </w:rPr>
        <w:t xml:space="preserve">ليبمان، الرأي العام، مرجع سابق، ص 3.</w:t>
      </w:r>
    </w:p>
  </w:footnote>
  <w:footnote w:id="31">
    <w:p>
      <w:pPr>
        <w:pStyle w:val="FootnoteText"/>
        <w:keepLines/>
        <w:bidi/>
        <w:jc w:val="both"/>
      </w:pPr>
      <w:r>
        <w:rPr>
          <w:rStyle w:val="FootnoteReference"/>
        </w:rPr>
        <w:footnoteRef/>
      </w:r>
      <w:r>
        <w:rPr>
          <w:rFonts w:ascii="Traditional Arabic" w:hAnsi="Traditional Arabic" w:cs="Traditional Arabic"/>
          <w:sz w:val="22"/>
          <w:szCs w:val="22"/>
          <w:rtl/>
        </w:rPr>
        <w:t xml:space="preserve"> </w:t>
      </w:r>
      <w:r>
        <w:rPr>
          <w:rFonts w:ascii="Traditional Arabic" w:hAnsi="Traditional Arabic" w:cs="Traditional Arabic"/>
          <w:sz w:val="22"/>
          <w:szCs w:val="22"/>
          <w:rtl/>
        </w:rPr>
        <w:t xml:space="preserve">البنك الدولي، تقرير التنمية في العالم 2016: العوائد الرقمية، واشنطن، 2016، الفصل الأول.</w:t>
      </w:r>
    </w:p>
  </w:footnote>
  <w:footnote w:id="32">
    <w:p>
      <w:pPr>
        <w:pStyle w:val="FootnoteText"/>
        <w:keepLines/>
        <w:bidi/>
        <w:jc w:val="both"/>
      </w:pPr>
      <w:r>
        <w:rPr>
          <w:rStyle w:val="FootnoteReference"/>
        </w:rPr>
        <w:footnoteRef/>
      </w:r>
      <w:r>
        <w:rPr>
          <w:rFonts w:ascii="Traditional Arabic" w:hAnsi="Traditional Arabic" w:cs="Traditional Arabic"/>
          <w:sz w:val="22"/>
          <w:szCs w:val="22"/>
          <w:rtl/>
        </w:rPr>
        <w:t xml:space="preserve"> </w:t>
      </w:r>
      <w:r>
        <w:rPr>
          <w:rFonts w:ascii="Traditional Arabic" w:hAnsi="Traditional Arabic" w:cs="Traditional Arabic"/>
          <w:sz w:val="22"/>
          <w:szCs w:val="22"/>
          <w:rtl/>
        </w:rPr>
        <w:t xml:space="preserve">البنك الدولي، تقرير التنمية في العالم 2016، مرجع سابق.</w:t>
      </w:r>
    </w:p>
  </w:footnote>
  <w:footnote w:id="33">
    <w:p>
      <w:pPr>
        <w:pStyle w:val="FootnoteText"/>
        <w:keepLines/>
        <w:bidi/>
        <w:jc w:val="both"/>
      </w:pPr>
      <w:r>
        <w:rPr>
          <w:rStyle w:val="FootnoteReference"/>
        </w:rPr>
        <w:footnoteRef/>
      </w:r>
      <w:r>
        <w:rPr>
          <w:rFonts w:ascii="Traditional Arabic" w:hAnsi="Traditional Arabic" w:cs="Traditional Arabic"/>
          <w:sz w:val="22"/>
          <w:szCs w:val="22"/>
          <w:rtl/>
        </w:rPr>
        <w:t xml:space="preserve"> </w:t>
      </w:r>
      <w:r>
        <w:rPr>
          <w:rFonts w:ascii="Traditional Arabic" w:hAnsi="Traditional Arabic" w:cs="Traditional Arabic"/>
          <w:sz w:val="22"/>
          <w:szCs w:val="22"/>
          <w:rtl/>
        </w:rPr>
        <w:t xml:space="preserve">نويل-نيومان، دوامة الصمت، مرجع سابق، ص 43.</w:t>
      </w:r>
    </w:p>
  </w:footnote>
  <w:footnote w:id="34">
    <w:p>
      <w:pPr>
        <w:pStyle w:val="FootnoteText"/>
        <w:keepLines/>
        <w:bidi/>
        <w:jc w:val="both"/>
      </w:pPr>
      <w:r>
        <w:rPr>
          <w:rStyle w:val="FootnoteReference"/>
        </w:rPr>
        <w:footnoteRef/>
      </w:r>
      <w:r>
        <w:rPr>
          <w:rFonts w:ascii="Traditional Arabic" w:hAnsi="Traditional Arabic" w:cs="Traditional Arabic"/>
          <w:sz w:val="22"/>
          <w:szCs w:val="22"/>
          <w:rtl/>
        </w:rPr>
        <w:t xml:space="preserve"> </w:t>
      </w:r>
      <w:r>
        <w:rPr>
          <w:rFonts w:ascii="Traditional Arabic" w:hAnsi="Traditional Arabic" w:cs="Traditional Arabic"/>
          <w:sz w:val="22"/>
          <w:szCs w:val="22"/>
          <w:rtl/>
        </w:rPr>
        <w:t xml:space="preserve">مركز بيو للأبحاث، وسائل التواصل الاجتماعي ودوامة الصمت، واشنطن: مركز بيو للأبحاث، 26 آب/أغسطس 2014.</w:t>
      </w:r>
    </w:p>
  </w:footnote>
  <w:footnote w:id="35">
    <w:p>
      <w:pPr>
        <w:pStyle w:val="FootnoteText"/>
        <w:keepLines/>
        <w:bidi/>
        <w:jc w:val="both"/>
      </w:pPr>
      <w:r>
        <w:rPr>
          <w:rStyle w:val="FootnoteReference"/>
        </w:rPr>
        <w:footnoteRef/>
      </w:r>
      <w:r>
        <w:rPr>
          <w:rFonts w:ascii="Traditional Arabic" w:hAnsi="Traditional Arabic" w:cs="Traditional Arabic"/>
          <w:sz w:val="22"/>
          <w:szCs w:val="22"/>
          <w:rtl/>
        </w:rPr>
        <w:t xml:space="preserve"> </w:t>
      </w:r>
      <w:r>
        <w:rPr>
          <w:rFonts w:ascii="Traditional Arabic" w:hAnsi="Traditional Arabic" w:cs="Traditional Arabic"/>
          <w:sz w:val="22"/>
          <w:szCs w:val="22"/>
          <w:rtl/>
        </w:rPr>
        <w:t xml:space="preserve">فيستنجر، نظرية التنافر المعرفي، مرجع سابق، الفصل الأول.</w:t>
      </w:r>
    </w:p>
  </w:footnote>
  <w:footnote w:id="36">
    <w:p>
      <w:pPr>
        <w:pStyle w:val="FootnoteText"/>
        <w:keepLines/>
        <w:bidi/>
        <w:jc w:val="both"/>
      </w:pPr>
      <w:r>
        <w:rPr>
          <w:rStyle w:val="FootnoteReference"/>
        </w:rPr>
        <w:footnoteRef/>
      </w:r>
      <w:r>
        <w:rPr>
          <w:rFonts w:ascii="Traditional Arabic" w:hAnsi="Traditional Arabic" w:cs="Traditional Arabic"/>
          <w:sz w:val="22"/>
          <w:szCs w:val="22"/>
          <w:rtl/>
        </w:rPr>
        <w:t xml:space="preserve"> </w:t>
      </w:r>
      <w:r>
        <w:rPr>
          <w:rFonts w:ascii="Traditional Arabic" w:hAnsi="Traditional Arabic" w:cs="Traditional Arabic"/>
          <w:sz w:val="22"/>
          <w:szCs w:val="22"/>
          <w:rtl/>
        </w:rPr>
        <w:t xml:space="preserve">منظمة التعاون الاقتصادي والتنمية، مسح دوافع الثقة، مرجع سابق، الملخص التنفيذي.</w:t>
      </w:r>
    </w:p>
  </w:footnote>
  <w:footnote w:id="37">
    <w:p>
      <w:pPr>
        <w:pStyle w:val="FootnoteText"/>
        <w:keepLines/>
        <w:bidi/>
        <w:jc w:val="both"/>
      </w:pPr>
      <w:r>
        <w:rPr>
          <w:rStyle w:val="FootnoteReference"/>
        </w:rPr>
        <w:footnoteRef/>
      </w:r>
      <w:r>
        <w:rPr>
          <w:rFonts w:ascii="Traditional Arabic" w:hAnsi="Traditional Arabic" w:cs="Traditional Arabic"/>
          <w:sz w:val="22"/>
          <w:szCs w:val="22"/>
          <w:rtl/>
        </w:rPr>
        <w:t xml:space="preserve"> </w:t>
      </w:r>
      <w:r>
        <w:rPr>
          <w:rFonts w:ascii="Traditional Arabic" w:hAnsi="Traditional Arabic" w:cs="Traditional Arabic"/>
          <w:sz w:val="22"/>
          <w:szCs w:val="22"/>
          <w:rtl/>
        </w:rPr>
        <w:t xml:space="preserve">حمدي وآخرون، شبكات التواصل الاجتماعي والاستقطاب السياسي، مرجع سابق.</w:t>
      </w:r>
    </w:p>
  </w:footnote>
  <w:footnote w:id="38">
    <w:p>
      <w:pPr>
        <w:pStyle w:val="FootnoteText"/>
        <w:keepLines/>
        <w:bidi/>
        <w:jc w:val="both"/>
      </w:pPr>
      <w:r>
        <w:rPr>
          <w:rStyle w:val="FootnoteReference"/>
        </w:rPr>
        <w:footnoteRef/>
      </w:r>
      <w:r>
        <w:rPr>
          <w:rFonts w:ascii="Traditional Arabic" w:hAnsi="Traditional Arabic" w:cs="Traditional Arabic"/>
          <w:sz w:val="22"/>
          <w:szCs w:val="22"/>
          <w:rtl/>
        </w:rPr>
        <w:t xml:space="preserve"> </w:t>
      </w:r>
      <w:r>
        <w:rPr>
          <w:rFonts w:ascii="Traditional Arabic" w:hAnsi="Traditional Arabic" w:cs="Traditional Arabic"/>
          <w:sz w:val="22"/>
          <w:szCs w:val="22"/>
          <w:rtl/>
        </w:rPr>
        <w:t xml:space="preserve">بال-روكيتش ودي فلور، نموذج الاعتماد في أثر وسائل الإعلام، مرجع سابق.</w:t>
      </w:r>
    </w:p>
  </w:footnote>
  <w:footnote w:id="39">
    <w:p>
      <w:pPr>
        <w:pStyle w:val="FootnoteText"/>
        <w:keepLines/>
        <w:bidi/>
        <w:jc w:val="both"/>
      </w:pPr>
      <w:r>
        <w:rPr>
          <w:rStyle w:val="FootnoteReference"/>
        </w:rPr>
        <w:footnoteRef/>
      </w:r>
      <w:r>
        <w:rPr>
          <w:rFonts w:ascii="Traditional Arabic" w:hAnsi="Traditional Arabic" w:cs="Traditional Arabic"/>
          <w:sz w:val="22"/>
          <w:szCs w:val="22"/>
          <w:rtl/>
        </w:rPr>
        <w:t xml:space="preserve"> </w:t>
      </w:r>
      <w:r>
        <w:rPr>
          <w:rFonts w:ascii="Traditional Arabic" w:hAnsi="Traditional Arabic" w:cs="Traditional Arabic"/>
          <w:sz w:val="22"/>
          <w:szCs w:val="22"/>
          <w:rtl/>
        </w:rPr>
        <w:t xml:space="preserve">الشمري، استطلاعات الرأي العام وعملية اتخاذ القرار، مرجع سابق.</w:t>
      </w:r>
    </w:p>
  </w:footnote>
  <w:footnote w:id="40">
    <w:p>
      <w:pPr>
        <w:pStyle w:val="FootnoteText"/>
        <w:keepLines/>
        <w:bidi/>
        <w:jc w:val="both"/>
      </w:pPr>
      <w:r>
        <w:rPr>
          <w:rStyle w:val="FootnoteReference"/>
        </w:rPr>
        <w:footnoteRef/>
      </w:r>
      <w:r>
        <w:rPr>
          <w:rFonts w:ascii="Traditional Arabic" w:hAnsi="Traditional Arabic" w:cs="Traditional Arabic"/>
          <w:sz w:val="22"/>
          <w:szCs w:val="22"/>
          <w:rtl/>
        </w:rPr>
        <w:t xml:space="preserve"> </w:t>
      </w:r>
      <w:r>
        <w:rPr>
          <w:rFonts w:ascii="Traditional Arabic" w:hAnsi="Traditional Arabic" w:cs="Traditional Arabic"/>
          <w:sz w:val="22"/>
          <w:szCs w:val="22"/>
          <w:rtl/>
        </w:rPr>
        <w:t xml:space="preserve">منظمة التعاون الاقتصادي والتنمية، مسح دوافع الثقة، مرجع سابق.</w:t>
      </w:r>
    </w:p>
  </w:footnote>
  <w:footnote w:id="41">
    <w:p>
      <w:pPr>
        <w:pStyle w:val="FootnoteText"/>
        <w:keepLines/>
        <w:bidi/>
        <w:jc w:val="both"/>
      </w:pPr>
      <w:r>
        <w:rPr>
          <w:rStyle w:val="FootnoteReference"/>
        </w:rPr>
        <w:footnoteRef/>
      </w:r>
      <w:r>
        <w:rPr>
          <w:rFonts w:ascii="Traditional Arabic" w:hAnsi="Traditional Arabic" w:cs="Traditional Arabic"/>
          <w:sz w:val="22"/>
          <w:szCs w:val="22"/>
          <w:rtl/>
        </w:rPr>
        <w:t xml:space="preserve"> </w:t>
      </w:r>
      <w:r>
        <w:rPr>
          <w:rFonts w:ascii="Traditional Arabic" w:hAnsi="Traditional Arabic" w:cs="Traditional Arabic"/>
          <w:sz w:val="22"/>
          <w:szCs w:val="22"/>
          <w:rtl/>
        </w:rPr>
        <w:t xml:space="preserve">إنتمان، التأطير، مرجع سابق، ص ص 51–58.</w:t>
      </w:r>
    </w:p>
  </w:footnote>
  <w:footnote w:id="42">
    <w:p>
      <w:pPr>
        <w:pStyle w:val="FootnoteText"/>
        <w:keepLines/>
        <w:bidi/>
        <w:jc w:val="both"/>
      </w:pPr>
      <w:r>
        <w:rPr>
          <w:rStyle w:val="FootnoteReference"/>
        </w:rPr>
        <w:footnoteRef/>
      </w:r>
      <w:r>
        <w:rPr>
          <w:rFonts w:ascii="Traditional Arabic" w:hAnsi="Traditional Arabic" w:cs="Traditional Arabic"/>
          <w:sz w:val="22"/>
          <w:szCs w:val="22"/>
          <w:rtl/>
        </w:rPr>
        <w:t xml:space="preserve"> </w:t>
      </w:r>
      <w:r>
        <w:rPr>
          <w:rFonts w:ascii="Traditional Arabic" w:hAnsi="Traditional Arabic" w:cs="Traditional Arabic"/>
          <w:sz w:val="22"/>
          <w:szCs w:val="22"/>
          <w:rtl/>
        </w:rPr>
        <w:t xml:space="preserve">البنك الدولي، تقرير التنمية في العالم 2016، مرجع سابق.</w:t>
      </w:r>
    </w:p>
  </w:footnote>
  <w:footnote w:id="43">
    <w:p>
      <w:pPr>
        <w:pStyle w:val="FootnoteText"/>
        <w:keepLines/>
        <w:bidi/>
        <w:jc w:val="both"/>
      </w:pPr>
      <w:r>
        <w:rPr>
          <w:rStyle w:val="FootnoteReference"/>
        </w:rPr>
        <w:footnoteRef/>
      </w:r>
      <w:r>
        <w:rPr>
          <w:rFonts w:ascii="Traditional Arabic" w:hAnsi="Traditional Arabic" w:cs="Traditional Arabic"/>
          <w:sz w:val="22"/>
          <w:szCs w:val="22"/>
          <w:rtl/>
        </w:rPr>
        <w:t xml:space="preserve"> </w:t>
      </w:r>
      <w:r>
        <w:rPr>
          <w:rFonts w:ascii="Traditional Arabic" w:hAnsi="Traditional Arabic" w:cs="Traditional Arabic"/>
          <w:sz w:val="22"/>
          <w:szCs w:val="22"/>
          <w:rtl/>
        </w:rPr>
        <w:t xml:space="preserve">حمدي وآخرون، شبكات التواصل الاجتماعي والاستقطاب السياسي، مرجع سابق.</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999999"/>
      </w:pBdr>
      <w:bidi/>
      <w:spacing w:line="240" w:lineRule="auto" w:before="0" w:after="0"/>
      <w:jc w:val="right"/>
    </w:pPr>
    <w:r/>
    <w:r>
      <w:rPr>
        <w:rFonts w:ascii="Traditional Arabic" w:hAnsi="Traditional Arabic" w:cs="Traditional Arabic"/>
        <w:color w:val="444444"/>
        <w:sz w:val="20"/>
        <w:szCs w:val="20"/>
        <w:rtl w:val="1"/>
      </w:rPr>
      <w:t>مقرر المدخل إلى علم الاجتماع — الوظيفة الأولى: الرأي العام — العام الدراسي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spacing w:before="0" w:after="0" w:line="360" w:lineRule="auto"/>
      <w:ind w:firstLine="567"/>
      <w:jc w:val="both"/>
    </w:pPr>
    <w:rPr>
      <w:rFonts w:ascii="Traditional Arabic" w:hAnsi="Traditional Arabic" w:cs="Traditional Arabic"/>
      <w:b w:val="0"/>
      <w:bCs w:val="0"/>
      <w:color w:val="000000"/>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spacing w:before="240" w:after="160" w:line="312" w:lineRule="auto"/>
      <w:jc w:val="right"/>
      <w:outlineLvl w:val="0"/>
    </w:pPr>
    <w:rPr>
      <w:rFonts w:asciiTheme="majorHAnsi" w:eastAsiaTheme="majorEastAsia" w:hAnsiTheme="majorHAnsi" w:cstheme="majorBidi" w:ascii="Traditional Arabic" w:hAnsi="Traditional Arabic" w:cs="Traditional Arabic"/>
      <w:b/>
      <w:bCs w:val="1"/>
      <w:color w:val="000000"/>
      <w:sz w:val="36"/>
      <w:szCs w:val="36"/>
    </w:rPr>
  </w:style>
  <w:style w:type="paragraph" w:styleId="Heading2">
    <w:name w:val="heading 2"/>
    <w:basedOn w:val="Normal"/>
    <w:next w:val="Normal"/>
    <w:link w:val="Heading2Char"/>
    <w:uiPriority w:val="9"/>
    <w:unhideWhenUsed/>
    <w:qFormat/>
    <w:rsid w:val="00FC693F"/>
    <w:pPr>
      <w:keepNext/>
      <w:keepLines/>
      <w:bidi/>
      <w:spacing w:before="200" w:after="120" w:line="312" w:lineRule="auto"/>
      <w:jc w:val="right"/>
      <w:outlineLvl w:val="1"/>
    </w:pPr>
    <w:rPr>
      <w:rFonts w:asciiTheme="majorHAnsi" w:eastAsiaTheme="majorEastAsia" w:hAnsiTheme="majorHAnsi" w:cstheme="majorBidi" w:ascii="Traditional Arabic" w:hAnsi="Traditional Arabic" w:cs="Traditional Arabic"/>
      <w:b/>
      <w:bCs w:val="1"/>
      <w:color w:val="000000"/>
      <w:sz w:val="32"/>
      <w:szCs w:val="32"/>
    </w:rPr>
  </w:style>
  <w:style w:type="paragraph" w:styleId="Heading3">
    <w:name w:val="heading 3"/>
    <w:basedOn w:val="Normal"/>
    <w:next w:val="Normal"/>
    <w:link w:val="Heading3Char"/>
    <w:uiPriority w:val="9"/>
    <w:unhideWhenUsed/>
    <w:qFormat/>
    <w:rsid w:val="00FC693F"/>
    <w:pPr>
      <w:keepNext/>
      <w:keepLines/>
      <w:bidi/>
      <w:spacing w:before="160" w:after="80" w:line="312" w:lineRule="auto"/>
      <w:jc w:val="right"/>
      <w:outlineLvl w:val="2"/>
    </w:pPr>
    <w:rPr>
      <w:rFonts w:asciiTheme="majorHAnsi" w:eastAsiaTheme="majorEastAsia" w:hAnsiTheme="majorHAnsi" w:cstheme="majorBidi" w:ascii="Traditional Arabic" w:hAnsi="Traditional Arabic" w:cs="Traditional Arabic"/>
      <w:b/>
      <w:bCs w:val="1"/>
      <w:color w:val="000000"/>
      <w:sz w:val="28"/>
      <w:szCs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pPr>
      <w:bidi/>
      <w:jc w:val="both"/>
      <w:spacing w:before="0" w:after="0" w:line="240" w:lineRule="auto"/>
    </w:pPr>
    <w:rPr>
      <w:sz w:val="22"/>
      <w:szCs w:val="22"/>
    </w:rPr>
  </w:style>
  <w:style w:type="character" w:styleId="FootnoteReference">
    <w:name w:val="footnote reference"/>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الوظيفة الأولى: الرأي العام — مقرر المدخل إلى علم الاجتماع</dc:title>
  <dc:subject>الجامعة الافتراضية السورية — الإجازة في تقانة المعلومات</dc:subject>
  <dc:creator>جان شادي عبود؛ وديع هيثم سلوم</dc:creator>
  <cp:keywords/>
  <dc:description>generated by python-docx</dc:description>
  <cp:lastModifiedBy/>
  <cp:revision>1</cp:revision>
  <dcterms:created xsi:type="dcterms:W3CDTF">2013-12-23T23:15:00Z</dcterms:created>
  <dcterms:modified xsi:type="dcterms:W3CDTF">2013-12-23T23:15:00Z</dcterms:modified>
  <cp:category/>
  <dc:language>ar</dc:language>
</cp:coreProperties>
</file>