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4AA" w:rsidRPr="00AD1FB9" w:rsidRDefault="007324AA" w:rsidP="007324AA">
      <w:pPr>
        <w:jc w:val="center"/>
        <w:rPr>
          <w:rFonts w:ascii="Arial" w:hAnsi="Arial" w:cs="Arial"/>
          <w:b/>
          <w:bCs/>
          <w:sz w:val="20"/>
          <w:u w:val="single"/>
        </w:rPr>
      </w:pPr>
      <w:r w:rsidRPr="00AD1FB9">
        <w:rPr>
          <w:rFonts w:ascii="Arial" w:hAnsi="Arial" w:cs="Arial"/>
          <w:b/>
          <w:bCs/>
          <w:sz w:val="20"/>
          <w:u w:val="single"/>
        </w:rPr>
        <w:t>DATED</w:t>
      </w:r>
      <w:r w:rsidRPr="00AD1FB9">
        <w:rPr>
          <w:rFonts w:ascii="Arial" w:hAnsi="Arial" w:cs="Arial"/>
          <w:b/>
          <w:bCs/>
          <w:sz w:val="20"/>
          <w:u w:val="single"/>
        </w:rPr>
        <w:tab/>
      </w:r>
      <w:r w:rsidRPr="00AD1FB9">
        <w:rPr>
          <w:rFonts w:ascii="Arial" w:hAnsi="Arial" w:cs="Arial"/>
          <w:b/>
          <w:bCs/>
          <w:sz w:val="20"/>
          <w:u w:val="single"/>
        </w:rPr>
        <w:tab/>
      </w:r>
      <w:r w:rsidRPr="00AD1FB9">
        <w:rPr>
          <w:rFonts w:ascii="Arial" w:hAnsi="Arial" w:cs="Arial"/>
          <w:b/>
          <w:bCs/>
          <w:sz w:val="20"/>
          <w:u w:val="single"/>
        </w:rPr>
        <w:tab/>
      </w:r>
      <w:r w:rsidRPr="00AD1FB9">
        <w:rPr>
          <w:rFonts w:ascii="Arial" w:hAnsi="Arial" w:cs="Arial"/>
          <w:b/>
          <w:bCs/>
          <w:sz w:val="20"/>
          <w:u w:val="single"/>
        </w:rPr>
        <w:tab/>
      </w:r>
      <w:r w:rsidRPr="00AD1FB9">
        <w:rPr>
          <w:rFonts w:ascii="Arial" w:hAnsi="Arial" w:cs="Arial"/>
          <w:b/>
          <w:bCs/>
          <w:sz w:val="20"/>
          <w:u w:val="single"/>
        </w:rPr>
        <w:tab/>
        <w:t>201[   ]</w:t>
      </w: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Default="007324AA" w:rsidP="007324AA">
      <w:pPr>
        <w:jc w:val="center"/>
        <w:rPr>
          <w:rFonts w:ascii="Arial" w:hAnsi="Arial" w:cs="Arial"/>
          <w:sz w:val="20"/>
        </w:rPr>
      </w:pPr>
    </w:p>
    <w:p w:rsidR="006427EC" w:rsidRDefault="006427EC" w:rsidP="007324AA">
      <w:pPr>
        <w:jc w:val="center"/>
        <w:rPr>
          <w:rFonts w:ascii="Arial" w:hAnsi="Arial" w:cs="Arial"/>
          <w:sz w:val="20"/>
        </w:rPr>
      </w:pPr>
    </w:p>
    <w:p w:rsidR="006427EC" w:rsidRPr="00AD1FB9" w:rsidRDefault="006427EC" w:rsidP="007324AA">
      <w:pPr>
        <w:jc w:val="center"/>
        <w:rPr>
          <w:rFonts w:ascii="Arial" w:hAnsi="Arial" w:cs="Arial"/>
          <w:sz w:val="20"/>
        </w:rPr>
      </w:pPr>
    </w:p>
    <w:p w:rsidR="007324AA" w:rsidRPr="00AD1FB9" w:rsidRDefault="007324AA" w:rsidP="007324AA">
      <w:pPr>
        <w:jc w:val="center"/>
        <w:rPr>
          <w:rFonts w:ascii="Arial" w:hAnsi="Arial" w:cs="Arial"/>
          <w:b/>
          <w:bCs/>
          <w:sz w:val="20"/>
        </w:rPr>
      </w:pPr>
    </w:p>
    <w:p w:rsidR="007324AA" w:rsidRPr="00AD1FB9" w:rsidRDefault="007324AA" w:rsidP="007324AA">
      <w:pPr>
        <w:jc w:val="center"/>
        <w:rPr>
          <w:rFonts w:ascii="Arial" w:hAnsi="Arial" w:cs="Arial"/>
          <w:b/>
          <w:bCs/>
          <w:sz w:val="20"/>
        </w:rPr>
      </w:pPr>
    </w:p>
    <w:p w:rsidR="007324AA" w:rsidRDefault="007324AA" w:rsidP="007324AA">
      <w:pPr>
        <w:ind w:left="720" w:hanging="720"/>
        <w:jc w:val="center"/>
        <w:rPr>
          <w:rFonts w:ascii="Arial" w:hAnsi="Arial" w:cs="Arial"/>
          <w:b/>
          <w:bCs/>
          <w:sz w:val="20"/>
        </w:rPr>
      </w:pPr>
    </w:p>
    <w:p w:rsidR="007324AA" w:rsidRPr="00AD1FB9" w:rsidRDefault="007324AA" w:rsidP="007324AA">
      <w:pPr>
        <w:pBdr>
          <w:top w:val="single" w:sz="6" w:space="0" w:color="auto"/>
        </w:pBdr>
        <w:ind w:left="1800" w:right="1800"/>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jc w:val="center"/>
        <w:rPr>
          <w:rFonts w:ascii="Arial" w:hAnsi="Arial" w:cs="Arial"/>
          <w:sz w:val="20"/>
        </w:rPr>
      </w:pPr>
    </w:p>
    <w:p w:rsidR="007324AA" w:rsidRPr="00AD1FB9" w:rsidRDefault="007324AA" w:rsidP="007324AA">
      <w:pPr>
        <w:pStyle w:val="BodyText"/>
        <w:tabs>
          <w:tab w:val="right" w:pos="9029"/>
        </w:tabs>
        <w:spacing w:after="0"/>
        <w:rPr>
          <w:rFonts w:ascii="Arial" w:hAnsi="Arial" w:cs="Arial"/>
          <w:b/>
          <w:sz w:val="20"/>
        </w:rPr>
      </w:pPr>
      <w:r w:rsidRPr="00AD1FB9">
        <w:rPr>
          <w:rFonts w:ascii="Arial" w:hAnsi="Arial" w:cs="Arial"/>
          <w:b/>
          <w:sz w:val="20"/>
        </w:rPr>
        <w:br w:type="page"/>
      </w:r>
      <w:r w:rsidRPr="00AD1FB9">
        <w:rPr>
          <w:rFonts w:ascii="Arial" w:hAnsi="Arial" w:cs="Arial"/>
          <w:b/>
          <w:sz w:val="20"/>
        </w:rPr>
        <w:lastRenderedPageBreak/>
        <w:t>Date:</w:t>
      </w:r>
      <w:r w:rsidRPr="00AD1FB9">
        <w:rPr>
          <w:rFonts w:ascii="Arial" w:hAnsi="Arial" w:cs="Arial"/>
          <w:b/>
          <w:sz w:val="20"/>
        </w:rPr>
        <w:tab/>
        <w:t>201[    ]</w:t>
      </w:r>
    </w:p>
    <w:p w:rsidR="007324AA" w:rsidRPr="00AD1FB9" w:rsidRDefault="007324AA" w:rsidP="007324AA">
      <w:pPr>
        <w:pStyle w:val="BodyText"/>
        <w:spacing w:after="0"/>
        <w:rPr>
          <w:rFonts w:ascii="Arial" w:hAnsi="Arial" w:cs="Arial"/>
          <w:b/>
          <w:sz w:val="20"/>
        </w:rPr>
      </w:pPr>
    </w:p>
    <w:p w:rsidR="007324AA" w:rsidRPr="00AD1FB9" w:rsidRDefault="007324AA" w:rsidP="007324AA">
      <w:pPr>
        <w:pStyle w:val="BodyText"/>
        <w:spacing w:after="0"/>
        <w:rPr>
          <w:rFonts w:ascii="Arial" w:hAnsi="Arial" w:cs="Arial"/>
          <w:b/>
          <w:sz w:val="20"/>
        </w:rPr>
      </w:pPr>
      <w:r w:rsidRPr="00AD1FB9">
        <w:rPr>
          <w:rFonts w:ascii="Arial" w:hAnsi="Arial" w:cs="Arial"/>
          <w:b/>
          <w:sz w:val="20"/>
        </w:rPr>
        <w:t>Parties:</w:t>
      </w:r>
    </w:p>
    <w:p w:rsidR="007324AA" w:rsidRPr="00AD1FB9" w:rsidRDefault="007324AA" w:rsidP="007324AA">
      <w:pPr>
        <w:pStyle w:val="BodyText"/>
        <w:spacing w:after="0"/>
        <w:rPr>
          <w:rFonts w:ascii="Arial" w:hAnsi="Arial" w:cs="Arial"/>
          <w:b/>
          <w:sz w:val="20"/>
          <w:u w:val="single"/>
        </w:rPr>
      </w:pPr>
    </w:p>
    <w:p w:rsidR="007324AA" w:rsidRPr="0067285D" w:rsidRDefault="007324AA" w:rsidP="00AF2389">
      <w:pPr>
        <w:pStyle w:val="BodyText"/>
        <w:tabs>
          <w:tab w:val="left" w:pos="1080"/>
        </w:tabs>
        <w:ind w:left="1080" w:hanging="1080"/>
        <w:rPr>
          <w:rFonts w:ascii="Arial" w:hAnsi="Arial" w:cs="Arial"/>
          <w:sz w:val="20"/>
        </w:rPr>
      </w:pPr>
      <w:r w:rsidRPr="00AD1FB9">
        <w:rPr>
          <w:rFonts w:ascii="Arial" w:hAnsi="Arial" w:cs="Arial"/>
          <w:sz w:val="20"/>
        </w:rPr>
        <w:t>(1)</w:t>
      </w:r>
    </w:p>
    <w:p w:rsidR="007324AA" w:rsidRPr="0067285D" w:rsidRDefault="007324AA" w:rsidP="007324AA">
      <w:pPr>
        <w:pStyle w:val="BodyText"/>
        <w:rPr>
          <w:rFonts w:ascii="Arial" w:hAnsi="Arial" w:cs="Arial"/>
          <w:b/>
          <w:bCs/>
          <w:sz w:val="20"/>
        </w:rPr>
      </w:pPr>
      <w:r w:rsidRPr="0067285D">
        <w:rPr>
          <w:rFonts w:ascii="Arial" w:hAnsi="Arial" w:cs="Arial"/>
          <w:b/>
          <w:bCs/>
          <w:sz w:val="20"/>
        </w:rPr>
        <w:t>RECITALS:</w:t>
      </w:r>
    </w:p>
    <w:p w:rsidR="007324AA" w:rsidRPr="0067285D" w:rsidRDefault="007324AA" w:rsidP="007324AA">
      <w:pPr>
        <w:pStyle w:val="BodyText"/>
        <w:ind w:left="720" w:hanging="720"/>
        <w:rPr>
          <w:rFonts w:ascii="Arial" w:hAnsi="Arial" w:cs="Arial"/>
          <w:sz w:val="20"/>
        </w:rPr>
      </w:pPr>
      <w:r w:rsidRPr="0067285D">
        <w:rPr>
          <w:rFonts w:ascii="Arial" w:hAnsi="Arial" w:cs="Arial"/>
          <w:sz w:val="20"/>
        </w:rPr>
        <w:t>A.</w:t>
      </w:r>
      <w:r w:rsidRPr="0067285D">
        <w:rPr>
          <w:rFonts w:ascii="Arial" w:hAnsi="Arial" w:cs="Arial"/>
          <w:sz w:val="20"/>
        </w:rPr>
        <w:tab/>
      </w:r>
      <w:bookmarkStart w:id="0" w:name="_GoBack"/>
      <w:bookmarkEnd w:id="0"/>
    </w:p>
    <w:p w:rsidR="007324AA" w:rsidRPr="00AD1FB9" w:rsidRDefault="007324AA" w:rsidP="007324AA">
      <w:pPr>
        <w:pStyle w:val="BodyText"/>
        <w:ind w:left="720" w:hanging="720"/>
        <w:rPr>
          <w:rFonts w:ascii="Arial" w:hAnsi="Arial" w:cs="Arial"/>
          <w:sz w:val="20"/>
        </w:rPr>
      </w:pPr>
      <w:r w:rsidRPr="0067285D">
        <w:rPr>
          <w:rFonts w:ascii="Arial" w:hAnsi="Arial" w:cs="Arial"/>
          <w:sz w:val="20"/>
        </w:rPr>
        <w:t>B.</w:t>
      </w:r>
      <w:r w:rsidRPr="0067285D">
        <w:rPr>
          <w:rFonts w:ascii="Arial" w:hAnsi="Arial" w:cs="Arial"/>
          <w:sz w:val="20"/>
        </w:rPr>
        <w:tab/>
        <w:t xml:space="preserve">The Contractor has entered into a contract ("the Sub-Contract") with the </w:t>
      </w:r>
      <w:r w:rsidR="0063325C" w:rsidRPr="00332EF5">
        <w:rPr>
          <w:rFonts w:ascii="Arial" w:hAnsi="Arial" w:cs="Arial"/>
          <w:sz w:val="20"/>
        </w:rPr>
        <w:t>Sub-Consultant</w:t>
      </w:r>
      <w:r w:rsidRPr="0067285D">
        <w:rPr>
          <w:rFonts w:ascii="Arial" w:hAnsi="Arial" w:cs="Arial"/>
          <w:sz w:val="20"/>
        </w:rPr>
        <w:t xml:space="preserve"> for the design of </w:t>
      </w:r>
      <w:r w:rsidRPr="00AD1FB9">
        <w:rPr>
          <w:rFonts w:ascii="Arial" w:hAnsi="Arial" w:cs="Arial"/>
          <w:sz w:val="20"/>
        </w:rPr>
        <w:t>the works therein referred to (the "Sub-Contract Works").</w:t>
      </w:r>
    </w:p>
    <w:p w:rsidR="007324AA" w:rsidRPr="00AD1FB9" w:rsidRDefault="007324AA" w:rsidP="007324AA">
      <w:pPr>
        <w:pStyle w:val="BodyText"/>
        <w:ind w:left="720" w:hanging="720"/>
        <w:rPr>
          <w:rFonts w:ascii="Arial" w:hAnsi="Arial" w:cs="Arial"/>
          <w:sz w:val="20"/>
        </w:rPr>
      </w:pPr>
      <w:r>
        <w:rPr>
          <w:rFonts w:ascii="Arial" w:hAnsi="Arial" w:cs="Arial"/>
          <w:sz w:val="20"/>
        </w:rPr>
        <w:t>C.</w:t>
      </w:r>
      <w:r>
        <w:rPr>
          <w:rFonts w:ascii="Arial" w:hAnsi="Arial" w:cs="Arial"/>
          <w:sz w:val="20"/>
        </w:rPr>
        <w:tab/>
        <w:t>The Beneficiary</w:t>
      </w:r>
      <w:r w:rsidRPr="00AD1FB9">
        <w:rPr>
          <w:rFonts w:ascii="Arial" w:hAnsi="Arial" w:cs="Arial"/>
          <w:sz w:val="20"/>
        </w:rPr>
        <w:t xml:space="preserve"> has an interest in the Development and/or the Sub-Contract Works.  </w:t>
      </w:r>
    </w:p>
    <w:p w:rsidR="007324AA" w:rsidRPr="00AD1FB9" w:rsidRDefault="007324AA" w:rsidP="007324AA">
      <w:pPr>
        <w:pStyle w:val="BodyText"/>
        <w:ind w:left="720" w:hanging="720"/>
        <w:rPr>
          <w:rFonts w:ascii="Arial" w:hAnsi="Arial" w:cs="Arial"/>
          <w:sz w:val="20"/>
        </w:rPr>
      </w:pPr>
      <w:r w:rsidRPr="00AD1FB9">
        <w:rPr>
          <w:rFonts w:ascii="Arial" w:hAnsi="Arial" w:cs="Arial"/>
          <w:b/>
          <w:sz w:val="20"/>
        </w:rPr>
        <w:t xml:space="preserve">NOW THIS DEED WITNESSETH </w:t>
      </w:r>
      <w:r w:rsidRPr="00AD1FB9">
        <w:rPr>
          <w:rFonts w:ascii="Arial" w:hAnsi="Arial" w:cs="Arial"/>
          <w:sz w:val="20"/>
        </w:rPr>
        <w:t>as follows:</w:t>
      </w:r>
    </w:p>
    <w:p w:rsidR="007324AA" w:rsidRPr="00AD1FB9" w:rsidRDefault="007324AA" w:rsidP="007324AA">
      <w:pPr>
        <w:pStyle w:val="Heading1"/>
        <w:widowControl w:val="0"/>
        <w:numPr>
          <w:ilvl w:val="0"/>
          <w:numId w:val="30"/>
        </w:numPr>
        <w:rPr>
          <w:rFonts w:ascii="Arial" w:hAnsi="Arial" w:cs="Arial"/>
          <w:b/>
          <w:sz w:val="20"/>
        </w:rPr>
      </w:pPr>
      <w:r w:rsidRPr="00AD1FB9">
        <w:rPr>
          <w:rFonts w:ascii="Arial" w:hAnsi="Arial" w:cs="Arial"/>
          <w:b/>
          <w:sz w:val="20"/>
        </w:rPr>
        <w:t>DUTY OF CARE</w:t>
      </w:r>
    </w:p>
    <w:p w:rsidR="007324AA" w:rsidRPr="00AD1FB9" w:rsidRDefault="007324AA" w:rsidP="007324AA">
      <w:pPr>
        <w:pStyle w:val="Body1"/>
        <w:spacing w:after="0"/>
        <w:rPr>
          <w:rFonts w:cs="Arial"/>
        </w:rPr>
      </w:pPr>
    </w:p>
    <w:p w:rsidR="007324AA" w:rsidRPr="00332EF5"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332EF5">
        <w:rPr>
          <w:rFonts w:ascii="Arial" w:hAnsi="Arial" w:cs="Arial"/>
          <w:sz w:val="20"/>
        </w:rPr>
        <w:t xml:space="preserve">The </w:t>
      </w:r>
      <w:r w:rsidR="0063325C" w:rsidRPr="00332EF5">
        <w:rPr>
          <w:rFonts w:ascii="Arial" w:hAnsi="Arial" w:cs="Arial"/>
          <w:sz w:val="20"/>
        </w:rPr>
        <w:t>Sub-Consultant</w:t>
      </w:r>
      <w:r w:rsidRPr="00332EF5">
        <w:rPr>
          <w:rFonts w:ascii="Arial" w:hAnsi="Arial" w:cs="Arial"/>
          <w:sz w:val="20"/>
        </w:rPr>
        <w:t xml:space="preserve"> warrants and undertakes to the Beneficiary that it has and will continue to perform all his obligations under the Sub-Contract.</w:t>
      </w:r>
    </w:p>
    <w:p w:rsidR="007324AA" w:rsidRPr="00332EF5"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332EF5">
        <w:rPr>
          <w:rFonts w:ascii="Arial" w:hAnsi="Arial" w:cs="Arial"/>
          <w:sz w:val="20"/>
        </w:rPr>
        <w:t xml:space="preserve">Without prejudice to the generality of clause 1.1 or to any terms and conditions implied by law the </w:t>
      </w:r>
      <w:r w:rsidR="0063325C" w:rsidRPr="00332EF5">
        <w:rPr>
          <w:rFonts w:ascii="Arial" w:hAnsi="Arial" w:cs="Arial"/>
          <w:sz w:val="20"/>
        </w:rPr>
        <w:t>Sub-Consultant</w:t>
      </w:r>
      <w:r w:rsidRPr="00332EF5">
        <w:rPr>
          <w:rFonts w:ascii="Arial" w:hAnsi="Arial" w:cs="Arial"/>
          <w:sz w:val="20"/>
        </w:rPr>
        <w:t xml:space="preserve"> warrants and undertakes to the Beneficiary that it has and will continue to exercise in performing his design obligations under the Sub-Contract the all skill</w:t>
      </w:r>
      <w:r w:rsidR="00F25B7B" w:rsidRPr="00332EF5">
        <w:rPr>
          <w:rFonts w:ascii="Arial" w:hAnsi="Arial" w:cs="Arial"/>
          <w:sz w:val="20"/>
        </w:rPr>
        <w:t xml:space="preserve"> and </w:t>
      </w:r>
      <w:r w:rsidRPr="00332EF5">
        <w:rPr>
          <w:rFonts w:ascii="Arial" w:hAnsi="Arial" w:cs="Arial"/>
          <w:sz w:val="20"/>
        </w:rPr>
        <w:t xml:space="preserve">care to be expected of a properly qualified and competent design consultant experienced in the design of works of similar size, scope, nature and complexity to the Sub-Contract Works it has exercised and will continue to exercise such skill </w:t>
      </w:r>
      <w:r w:rsidR="00F25B7B" w:rsidRPr="00332EF5">
        <w:rPr>
          <w:rFonts w:ascii="Arial" w:hAnsi="Arial" w:cs="Arial"/>
          <w:sz w:val="20"/>
        </w:rPr>
        <w:t xml:space="preserve">and </w:t>
      </w:r>
      <w:r w:rsidRPr="00332EF5">
        <w:rPr>
          <w:rFonts w:ascii="Arial" w:hAnsi="Arial" w:cs="Arial"/>
          <w:sz w:val="20"/>
        </w:rPr>
        <w:t>care in:</w:t>
      </w:r>
    </w:p>
    <w:p w:rsidR="007324AA" w:rsidRPr="00332EF5" w:rsidRDefault="007324AA" w:rsidP="007324AA">
      <w:pPr>
        <w:pStyle w:val="Heading3"/>
        <w:numPr>
          <w:ilvl w:val="2"/>
          <w:numId w:val="1"/>
        </w:numPr>
        <w:tabs>
          <w:tab w:val="clear" w:pos="2268"/>
          <w:tab w:val="num" w:pos="2160"/>
        </w:tabs>
        <w:spacing w:before="0" w:after="240"/>
        <w:ind w:left="2160"/>
        <w:rPr>
          <w:rFonts w:ascii="Arial" w:hAnsi="Arial" w:cs="Arial"/>
          <w:sz w:val="20"/>
        </w:rPr>
      </w:pPr>
      <w:r w:rsidRPr="00332EF5">
        <w:rPr>
          <w:rFonts w:ascii="Arial" w:hAnsi="Arial" w:cs="Arial"/>
          <w:sz w:val="20"/>
        </w:rPr>
        <w:t xml:space="preserve">the design of the Sub-Contract Works; </w:t>
      </w:r>
    </w:p>
    <w:p w:rsidR="007324AA" w:rsidRPr="00332EF5" w:rsidRDefault="007324AA" w:rsidP="007324AA">
      <w:pPr>
        <w:pStyle w:val="Heading3"/>
        <w:numPr>
          <w:ilvl w:val="2"/>
          <w:numId w:val="1"/>
        </w:numPr>
        <w:tabs>
          <w:tab w:val="clear" w:pos="2268"/>
          <w:tab w:val="num" w:pos="2160"/>
        </w:tabs>
        <w:spacing w:before="0" w:after="240"/>
        <w:ind w:left="2160"/>
        <w:rPr>
          <w:rFonts w:ascii="Arial" w:hAnsi="Arial" w:cs="Arial"/>
          <w:sz w:val="20"/>
        </w:rPr>
      </w:pPr>
      <w:r w:rsidRPr="00332EF5">
        <w:rPr>
          <w:rFonts w:ascii="Arial" w:hAnsi="Arial" w:cs="Arial"/>
          <w:sz w:val="20"/>
        </w:rPr>
        <w:t xml:space="preserve">the selection of goods and materials for the </w:t>
      </w:r>
      <w:r w:rsidR="00A93E44" w:rsidRPr="00332EF5">
        <w:rPr>
          <w:rFonts w:ascii="Arial" w:hAnsi="Arial" w:cs="Arial"/>
          <w:sz w:val="20"/>
        </w:rPr>
        <w:t>Development</w:t>
      </w:r>
      <w:r w:rsidR="00332EF5">
        <w:rPr>
          <w:rFonts w:ascii="Arial" w:hAnsi="Arial" w:cs="Arial"/>
          <w:sz w:val="20"/>
        </w:rPr>
        <w:t>;</w:t>
      </w:r>
    </w:p>
    <w:p w:rsidR="007324AA"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332EF5">
        <w:rPr>
          <w:rFonts w:ascii="Arial" w:hAnsi="Arial" w:cs="Arial"/>
          <w:sz w:val="20"/>
        </w:rPr>
        <w:t xml:space="preserve">For the avoidance of doubt, the </w:t>
      </w:r>
      <w:r w:rsidR="0063325C" w:rsidRPr="00332EF5">
        <w:rPr>
          <w:rFonts w:ascii="Arial" w:hAnsi="Arial" w:cs="Arial"/>
          <w:sz w:val="20"/>
        </w:rPr>
        <w:t>Sub-Consultant</w:t>
      </w:r>
      <w:r w:rsidRPr="00332EF5">
        <w:rPr>
          <w:rFonts w:ascii="Arial" w:hAnsi="Arial" w:cs="Arial"/>
          <w:sz w:val="20"/>
        </w:rPr>
        <w:t xml:space="preserve"> accepts that his liability under this Deed shall not be released diminished or in</w:t>
      </w:r>
      <w:r w:rsidRPr="00AD1FB9">
        <w:rPr>
          <w:rFonts w:ascii="Arial" w:hAnsi="Arial" w:cs="Arial"/>
          <w:sz w:val="20"/>
        </w:rPr>
        <w:t xml:space="preserve"> any other way affected by any independent enquiry into any relevant matter which may be made or carried out by or on behalf of the Beneficiary or by the appointment by the Beneficiary of any person, firm or company to review and report to the Beneficiary in respect of the Sub-Contract Works or by any act or omission of any such person firm or company whether or not such act or omission might give rise to an independent liability of such person firm or company to the Beneficiary.</w:t>
      </w:r>
    </w:p>
    <w:p w:rsidR="007324AA"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AA2DC3">
        <w:rPr>
          <w:rFonts w:ascii="Arial" w:hAnsi="Arial" w:cs="Arial"/>
          <w:sz w:val="20"/>
        </w:rPr>
        <w:t xml:space="preserve">For the avoidance of doubt it shall not be a defence to a claim by the Beneficiary that the loss it has suffered is different in type or character from the losses which the </w:t>
      </w:r>
      <w:r>
        <w:rPr>
          <w:rFonts w:ascii="Arial" w:hAnsi="Arial" w:cs="Arial"/>
          <w:sz w:val="20"/>
        </w:rPr>
        <w:t>Contractor</w:t>
      </w:r>
      <w:r w:rsidRPr="00AA2DC3">
        <w:rPr>
          <w:rFonts w:ascii="Arial" w:hAnsi="Arial" w:cs="Arial"/>
          <w:sz w:val="20"/>
        </w:rPr>
        <w:t xml:space="preserve"> might have suffered or that the </w:t>
      </w:r>
      <w:r>
        <w:rPr>
          <w:rFonts w:ascii="Arial" w:hAnsi="Arial" w:cs="Arial"/>
          <w:sz w:val="20"/>
        </w:rPr>
        <w:t>Contractor</w:t>
      </w:r>
      <w:r w:rsidRPr="00AA2DC3">
        <w:rPr>
          <w:rFonts w:ascii="Arial" w:hAnsi="Arial" w:cs="Arial"/>
          <w:sz w:val="20"/>
        </w:rPr>
        <w:t xml:space="preserve"> could not now suffer a loss of the type which the Beneficiary has incurred</w:t>
      </w:r>
    </w:p>
    <w:p w:rsidR="007324AA" w:rsidRPr="00AD1FB9"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623E4A">
        <w:rPr>
          <w:rFonts w:ascii="Arial" w:hAnsi="Arial" w:cs="Arial"/>
          <w:color w:val="000000"/>
          <w:sz w:val="20"/>
        </w:rPr>
        <w:t xml:space="preserve">The </w:t>
      </w:r>
      <w:r w:rsidR="0063325C" w:rsidRPr="00332EF5">
        <w:rPr>
          <w:rFonts w:ascii="Arial" w:hAnsi="Arial" w:cs="Arial"/>
          <w:color w:val="000000"/>
          <w:sz w:val="20"/>
        </w:rPr>
        <w:t>Sub-Consultant</w:t>
      </w:r>
      <w:r w:rsidRPr="00623E4A">
        <w:rPr>
          <w:rFonts w:ascii="Arial" w:hAnsi="Arial" w:cs="Arial"/>
          <w:color w:val="000000"/>
          <w:sz w:val="20"/>
        </w:rPr>
        <w:t xml:space="preserve"> </w:t>
      </w:r>
      <w:r w:rsidRPr="00AA2DC3">
        <w:rPr>
          <w:rFonts w:ascii="Arial" w:hAnsi="Arial" w:cs="Arial"/>
          <w:sz w:val="20"/>
        </w:rPr>
        <w:t xml:space="preserve">shall have no greater liability in extent or time under this Deed than it would have had under the </w:t>
      </w:r>
      <w:r>
        <w:rPr>
          <w:rFonts w:ascii="Arial" w:hAnsi="Arial" w:cs="Arial"/>
          <w:sz w:val="20"/>
        </w:rPr>
        <w:t>Sub-</w:t>
      </w:r>
      <w:r w:rsidRPr="00AA2DC3">
        <w:rPr>
          <w:rFonts w:ascii="Arial" w:hAnsi="Arial" w:cs="Arial"/>
          <w:sz w:val="20"/>
        </w:rPr>
        <w:t xml:space="preserve">Contract if the Beneficiary had been named jointly with the </w:t>
      </w:r>
      <w:r>
        <w:rPr>
          <w:rFonts w:ascii="Arial" w:hAnsi="Arial" w:cs="Arial"/>
          <w:sz w:val="20"/>
        </w:rPr>
        <w:t>Contractor</w:t>
      </w:r>
      <w:r w:rsidRPr="00AA2DC3">
        <w:rPr>
          <w:rFonts w:ascii="Arial" w:hAnsi="Arial" w:cs="Arial"/>
          <w:sz w:val="20"/>
        </w:rPr>
        <w:t xml:space="preserve"> under the Contract as "</w:t>
      </w:r>
      <w:r>
        <w:rPr>
          <w:rFonts w:ascii="Arial" w:hAnsi="Arial" w:cs="Arial"/>
          <w:sz w:val="20"/>
        </w:rPr>
        <w:t>Contractor</w:t>
      </w:r>
      <w:r w:rsidRPr="00AA2DC3">
        <w:rPr>
          <w:rFonts w:ascii="Arial" w:hAnsi="Arial" w:cs="Arial"/>
          <w:sz w:val="20"/>
        </w:rPr>
        <w:t xml:space="preserve">" and shall be entitled </w:t>
      </w:r>
      <w:r w:rsidRPr="00AA2DC3">
        <w:rPr>
          <w:rStyle w:val="BodyChar"/>
          <w:sz w:val="20"/>
        </w:rPr>
        <w:t xml:space="preserve">in any action or proceedings by the Beneficiary to rely on any limitation or exclusion of liability in the </w:t>
      </w:r>
      <w:r>
        <w:rPr>
          <w:rStyle w:val="BodyChar"/>
          <w:sz w:val="20"/>
        </w:rPr>
        <w:t>Sub-</w:t>
      </w:r>
      <w:r w:rsidRPr="00AA2DC3">
        <w:rPr>
          <w:rStyle w:val="BodyChar"/>
          <w:sz w:val="20"/>
        </w:rPr>
        <w:t xml:space="preserve">Contract and to raise the equivalent rights in defence of liability as it would have against the </w:t>
      </w:r>
      <w:r>
        <w:rPr>
          <w:rStyle w:val="BodyChar"/>
          <w:sz w:val="20"/>
        </w:rPr>
        <w:t>Contract</w:t>
      </w:r>
      <w:r w:rsidRPr="00AA2DC3">
        <w:rPr>
          <w:rStyle w:val="BodyChar"/>
          <w:sz w:val="20"/>
        </w:rPr>
        <w:t xml:space="preserve"> under the </w:t>
      </w:r>
      <w:r>
        <w:rPr>
          <w:rStyle w:val="BodyChar"/>
          <w:sz w:val="20"/>
        </w:rPr>
        <w:t>Sub-</w:t>
      </w:r>
      <w:r w:rsidRPr="00AA2DC3">
        <w:rPr>
          <w:rStyle w:val="BodyChar"/>
          <w:sz w:val="20"/>
        </w:rPr>
        <w:t xml:space="preserve">Contract save that the </w:t>
      </w:r>
      <w:r w:rsidR="0063325C">
        <w:rPr>
          <w:rStyle w:val="BodyChar"/>
          <w:sz w:val="20"/>
        </w:rPr>
        <w:t>Sub-Consultant</w:t>
      </w:r>
      <w:r w:rsidRPr="00AA2DC3">
        <w:rPr>
          <w:rStyle w:val="BodyChar"/>
          <w:sz w:val="20"/>
        </w:rPr>
        <w:t xml:space="preserve"> shall not be entitled</w:t>
      </w:r>
      <w:r w:rsidRPr="00AA2DC3">
        <w:rPr>
          <w:rStyle w:val="DeltaViewDeletion"/>
          <w:rFonts w:ascii="Arial" w:hAnsi="Arial" w:cs="Arial"/>
          <w:sz w:val="20"/>
        </w:rPr>
        <w:t xml:space="preserve"> </w:t>
      </w:r>
      <w:r w:rsidRPr="00AA2DC3">
        <w:rPr>
          <w:rFonts w:ascii="Arial" w:hAnsi="Arial" w:cs="Arial"/>
          <w:sz w:val="20"/>
        </w:rPr>
        <w:t>to rely on any right of set off or counterclaim</w:t>
      </w:r>
      <w:r>
        <w:rPr>
          <w:rFonts w:ascii="Arial" w:hAnsi="Arial" w:cs="Arial"/>
          <w:color w:val="000000"/>
          <w:sz w:val="20"/>
        </w:rPr>
        <w:t>.</w:t>
      </w:r>
    </w:p>
    <w:p w:rsidR="007324AA" w:rsidRPr="00AD1FB9" w:rsidRDefault="007324AA" w:rsidP="007324AA">
      <w:pPr>
        <w:pStyle w:val="Heading1"/>
        <w:keepNext/>
        <w:numPr>
          <w:ilvl w:val="0"/>
          <w:numId w:val="1"/>
        </w:numPr>
        <w:tabs>
          <w:tab w:val="clear" w:pos="1414"/>
        </w:tabs>
        <w:spacing w:before="0" w:after="240"/>
        <w:rPr>
          <w:rFonts w:ascii="Arial" w:hAnsi="Arial" w:cs="Arial"/>
          <w:sz w:val="20"/>
        </w:rPr>
      </w:pPr>
      <w:r w:rsidRPr="00AD1FB9">
        <w:rPr>
          <w:rFonts w:ascii="Arial" w:hAnsi="Arial" w:cs="Arial"/>
          <w:b/>
          <w:bCs/>
          <w:sz w:val="20"/>
        </w:rPr>
        <w:t>DELETERIOUS MATERIALS</w:t>
      </w:r>
    </w:p>
    <w:p w:rsidR="007324AA" w:rsidRPr="00332EF5" w:rsidRDefault="007324AA" w:rsidP="007324AA">
      <w:pPr>
        <w:pStyle w:val="BodyText"/>
        <w:ind w:left="720"/>
        <w:rPr>
          <w:rFonts w:ascii="Arial" w:hAnsi="Arial" w:cs="Arial"/>
          <w:sz w:val="20"/>
        </w:rPr>
      </w:pPr>
      <w:r w:rsidRPr="00332EF5">
        <w:rPr>
          <w:rFonts w:ascii="Arial" w:hAnsi="Arial" w:cs="Arial"/>
          <w:sz w:val="20"/>
        </w:rPr>
        <w:t xml:space="preserve">The </w:t>
      </w:r>
      <w:r w:rsidR="0063325C" w:rsidRPr="00332EF5">
        <w:rPr>
          <w:rFonts w:ascii="Arial" w:hAnsi="Arial" w:cs="Arial"/>
          <w:sz w:val="20"/>
        </w:rPr>
        <w:t>Sub-Consultant</w:t>
      </w:r>
      <w:r w:rsidRPr="00332EF5">
        <w:rPr>
          <w:rFonts w:ascii="Arial" w:hAnsi="Arial" w:cs="Arial"/>
          <w:sz w:val="20"/>
        </w:rPr>
        <w:t xml:space="preserve"> will ensure that there shall not be used on or in connection with the </w:t>
      </w:r>
      <w:r w:rsidR="00A93E44" w:rsidRPr="00332EF5">
        <w:rPr>
          <w:rFonts w:ascii="Arial" w:hAnsi="Arial" w:cs="Arial"/>
          <w:sz w:val="20"/>
        </w:rPr>
        <w:t xml:space="preserve">Development </w:t>
      </w:r>
      <w:r w:rsidRPr="00332EF5">
        <w:rPr>
          <w:rFonts w:ascii="Arial" w:hAnsi="Arial" w:cs="Arial"/>
          <w:sz w:val="20"/>
        </w:rPr>
        <w:t xml:space="preserve">unless authorised by the Contractor in writing or where such authorisation is given orally, confirmed by the Contractor to the </w:t>
      </w:r>
      <w:r w:rsidR="0063325C" w:rsidRPr="00332EF5">
        <w:rPr>
          <w:rFonts w:ascii="Arial" w:hAnsi="Arial" w:cs="Arial"/>
          <w:sz w:val="20"/>
        </w:rPr>
        <w:t>Sub-Consultant</w:t>
      </w:r>
      <w:r w:rsidRPr="00332EF5">
        <w:rPr>
          <w:rFonts w:ascii="Arial" w:hAnsi="Arial" w:cs="Arial"/>
          <w:sz w:val="20"/>
        </w:rPr>
        <w:t xml:space="preserve"> in writing, substances which are contrary to the recommendations in "Good Practice in the Selection of Construction </w:t>
      </w:r>
      <w:r w:rsidRPr="00332EF5">
        <w:rPr>
          <w:rFonts w:ascii="Arial" w:hAnsi="Arial" w:cs="Arial"/>
          <w:sz w:val="20"/>
        </w:rPr>
        <w:lastRenderedPageBreak/>
        <w:t xml:space="preserve">Materials" 2011 published by the British Council for Offices current at the time and any other substances which do not accord with British Standards and Codes of Practice of which have been publicised in the Building Research Establishment Digest or which are generally known in the construction industry as being deleterious to health and safety or to the durability of the </w:t>
      </w:r>
      <w:r w:rsidR="00A93E44" w:rsidRPr="00332EF5">
        <w:rPr>
          <w:rFonts w:ascii="Arial" w:hAnsi="Arial" w:cs="Arial"/>
          <w:sz w:val="20"/>
        </w:rPr>
        <w:t xml:space="preserve">Development </w:t>
      </w:r>
      <w:r w:rsidRPr="00332EF5">
        <w:rPr>
          <w:rFonts w:ascii="Arial" w:hAnsi="Arial" w:cs="Arial"/>
          <w:sz w:val="20"/>
        </w:rPr>
        <w:t xml:space="preserve">in the particular circumstances in which they are used at the date upon which such materials were incorporated in the </w:t>
      </w:r>
      <w:r w:rsidR="00A93E44" w:rsidRPr="00332EF5">
        <w:rPr>
          <w:rFonts w:ascii="Arial" w:hAnsi="Arial" w:cs="Arial"/>
          <w:sz w:val="20"/>
        </w:rPr>
        <w:t>Development</w:t>
      </w:r>
      <w:r w:rsidRPr="00332EF5">
        <w:rPr>
          <w:rFonts w:ascii="Arial" w:hAnsi="Arial" w:cs="Arial"/>
          <w:sz w:val="20"/>
        </w:rPr>
        <w:t>.</w:t>
      </w:r>
    </w:p>
    <w:p w:rsidR="007324AA" w:rsidRPr="00332EF5" w:rsidRDefault="007324AA" w:rsidP="007324AA">
      <w:pPr>
        <w:pStyle w:val="Heading1"/>
        <w:keepNext/>
        <w:numPr>
          <w:ilvl w:val="0"/>
          <w:numId w:val="1"/>
        </w:numPr>
        <w:tabs>
          <w:tab w:val="clear" w:pos="1414"/>
        </w:tabs>
        <w:spacing w:before="0" w:after="240"/>
        <w:rPr>
          <w:rFonts w:ascii="Arial" w:hAnsi="Arial" w:cs="Arial"/>
          <w:sz w:val="20"/>
        </w:rPr>
      </w:pPr>
      <w:r w:rsidRPr="00332EF5">
        <w:rPr>
          <w:rFonts w:ascii="Arial" w:hAnsi="Arial" w:cs="Arial"/>
          <w:b/>
          <w:bCs/>
          <w:sz w:val="20"/>
        </w:rPr>
        <w:t>COPYRIGHT</w:t>
      </w:r>
    </w:p>
    <w:p w:rsidR="007324AA" w:rsidRPr="00332EF5" w:rsidRDefault="007324AA" w:rsidP="007324AA">
      <w:pPr>
        <w:pStyle w:val="Heading2"/>
        <w:widowControl w:val="0"/>
        <w:tabs>
          <w:tab w:val="clear" w:pos="1414"/>
          <w:tab w:val="clear" w:pos="2268"/>
          <w:tab w:val="num" w:pos="0"/>
          <w:tab w:val="left" w:pos="1418"/>
        </w:tabs>
        <w:ind w:left="1440" w:hanging="720"/>
        <w:rPr>
          <w:rFonts w:ascii="Arial" w:hAnsi="Arial" w:cs="Arial"/>
          <w:sz w:val="20"/>
        </w:rPr>
      </w:pPr>
      <w:r w:rsidRPr="00332EF5">
        <w:rPr>
          <w:rFonts w:ascii="Arial" w:hAnsi="Arial" w:cs="Arial"/>
          <w:sz w:val="20"/>
        </w:rPr>
        <w:t xml:space="preserve">The </w:t>
      </w:r>
      <w:r w:rsidR="0063325C" w:rsidRPr="00332EF5">
        <w:rPr>
          <w:rFonts w:ascii="Arial" w:hAnsi="Arial" w:cs="Arial"/>
          <w:sz w:val="20"/>
        </w:rPr>
        <w:t>Sub-Consultant</w:t>
      </w:r>
      <w:r w:rsidRPr="00332EF5">
        <w:rPr>
          <w:rFonts w:ascii="Arial" w:hAnsi="Arial" w:cs="Arial"/>
          <w:sz w:val="20"/>
        </w:rPr>
        <w:t xml:space="preserve"> grants with full title guarantee to the Beneficiary a royalty free, irrevocable and non-exclusive licence to use and to reproduce all details, plans, specifications, schedules, documents, software, drawings and other documentation and information (together known as "the Documents") and the designs contained in the Documents prepared or provided by the </w:t>
      </w:r>
      <w:r w:rsidR="0063325C" w:rsidRPr="00332EF5">
        <w:rPr>
          <w:rFonts w:ascii="Arial" w:hAnsi="Arial" w:cs="Arial"/>
          <w:sz w:val="20"/>
        </w:rPr>
        <w:t>Sub-Consultant</w:t>
      </w:r>
      <w:r w:rsidRPr="00332EF5">
        <w:rPr>
          <w:rFonts w:ascii="Arial" w:hAnsi="Arial" w:cs="Arial"/>
          <w:sz w:val="20"/>
        </w:rPr>
        <w:t xml:space="preserve"> or any person appointed or employed by the </w:t>
      </w:r>
      <w:r w:rsidR="0063325C" w:rsidRPr="00332EF5">
        <w:rPr>
          <w:rFonts w:ascii="Arial" w:hAnsi="Arial" w:cs="Arial"/>
          <w:sz w:val="20"/>
        </w:rPr>
        <w:t>Sub-Consultant</w:t>
      </w:r>
      <w:r w:rsidRPr="00332EF5">
        <w:rPr>
          <w:rFonts w:ascii="Arial" w:hAnsi="Arial" w:cs="Arial"/>
          <w:sz w:val="20"/>
        </w:rPr>
        <w:t xml:space="preserve"> in connection with the </w:t>
      </w:r>
      <w:r w:rsidR="0063325C" w:rsidRPr="00332EF5">
        <w:rPr>
          <w:rFonts w:ascii="Arial" w:hAnsi="Arial" w:cs="Arial"/>
          <w:sz w:val="20"/>
        </w:rPr>
        <w:t>Development</w:t>
      </w:r>
      <w:r w:rsidRPr="00332EF5">
        <w:rPr>
          <w:rFonts w:ascii="Arial" w:hAnsi="Arial" w:cs="Arial"/>
          <w:sz w:val="20"/>
        </w:rPr>
        <w:t xml:space="preserve"> for any purpose whatsoever related to the </w:t>
      </w:r>
      <w:r w:rsidR="0063325C" w:rsidRPr="00332EF5">
        <w:rPr>
          <w:rFonts w:ascii="Arial" w:hAnsi="Arial" w:cs="Arial"/>
          <w:sz w:val="20"/>
        </w:rPr>
        <w:t>Development</w:t>
      </w:r>
      <w:r w:rsidR="00A93E44" w:rsidRPr="00332EF5">
        <w:rPr>
          <w:rFonts w:ascii="Arial" w:hAnsi="Arial" w:cs="Arial"/>
          <w:sz w:val="20"/>
        </w:rPr>
        <w:t xml:space="preserve"> </w:t>
      </w:r>
      <w:r w:rsidRPr="00332EF5">
        <w:rPr>
          <w:rFonts w:ascii="Arial" w:hAnsi="Arial" w:cs="Arial"/>
          <w:sz w:val="20"/>
        </w:rPr>
        <w:t xml:space="preserve">including, but without limitation, the construction, completion, maintenance, letting, promotion, advertisement, reinstatement, extension and repair of the same.  Such licence shall carry the right to grant sub-licences and shall be transferable to third parties.  </w:t>
      </w:r>
    </w:p>
    <w:p w:rsidR="007324AA" w:rsidRPr="00332EF5" w:rsidRDefault="007324AA" w:rsidP="007324AA">
      <w:pPr>
        <w:pStyle w:val="Heading2"/>
        <w:widowControl w:val="0"/>
        <w:tabs>
          <w:tab w:val="clear" w:pos="1414"/>
          <w:tab w:val="clear" w:pos="2268"/>
          <w:tab w:val="num" w:pos="0"/>
          <w:tab w:val="left" w:pos="1418"/>
        </w:tabs>
        <w:ind w:left="1440" w:hanging="720"/>
        <w:rPr>
          <w:rFonts w:ascii="Arial" w:hAnsi="Arial" w:cs="Arial"/>
          <w:sz w:val="20"/>
        </w:rPr>
      </w:pPr>
      <w:r w:rsidRPr="00332EF5">
        <w:rPr>
          <w:rFonts w:ascii="Arial" w:hAnsi="Arial" w:cs="Arial"/>
          <w:sz w:val="20"/>
        </w:rPr>
        <w:t xml:space="preserve">To the extent that beneficial ownership of any copyright or other intellectual property right is vested in anyone other than the </w:t>
      </w:r>
      <w:r w:rsidR="0063325C" w:rsidRPr="00332EF5">
        <w:rPr>
          <w:rFonts w:ascii="Arial" w:hAnsi="Arial" w:cs="Arial"/>
          <w:sz w:val="20"/>
        </w:rPr>
        <w:t>Sub-Consultant</w:t>
      </w:r>
      <w:r w:rsidRPr="00332EF5">
        <w:rPr>
          <w:rFonts w:ascii="Arial" w:hAnsi="Arial" w:cs="Arial"/>
          <w:sz w:val="20"/>
        </w:rPr>
        <w:t xml:space="preserve">, the </w:t>
      </w:r>
      <w:r w:rsidR="0063325C" w:rsidRPr="00332EF5">
        <w:rPr>
          <w:rFonts w:ascii="Arial" w:hAnsi="Arial" w:cs="Arial"/>
          <w:sz w:val="20"/>
        </w:rPr>
        <w:t>Sub-Consultant</w:t>
      </w:r>
      <w:r w:rsidRPr="00332EF5">
        <w:rPr>
          <w:rFonts w:ascii="Arial" w:hAnsi="Arial" w:cs="Arial"/>
          <w:sz w:val="20"/>
        </w:rPr>
        <w:t xml:space="preserve"> shall use its reasonable endeavours to procure that the beneficial owner thereof shall grant a like licence to the Beneficiary.  The </w:t>
      </w:r>
      <w:r w:rsidR="0063325C" w:rsidRPr="00332EF5">
        <w:rPr>
          <w:rFonts w:ascii="Arial" w:hAnsi="Arial" w:cs="Arial"/>
          <w:sz w:val="20"/>
        </w:rPr>
        <w:t>Sub-Consultant</w:t>
      </w:r>
      <w:r w:rsidRPr="00332EF5">
        <w:rPr>
          <w:rFonts w:ascii="Arial" w:hAnsi="Arial" w:cs="Arial"/>
          <w:sz w:val="20"/>
        </w:rPr>
        <w:t xml:space="preserve"> shall, if so requested by the Beneficiary, at any time execute such documents and perform such acts as may be required fully and effectively to pass to the Beneficiary the rights referred to in this clause.  The </w:t>
      </w:r>
      <w:r w:rsidR="0063325C" w:rsidRPr="00332EF5">
        <w:rPr>
          <w:rFonts w:ascii="Arial" w:hAnsi="Arial" w:cs="Arial"/>
          <w:sz w:val="20"/>
        </w:rPr>
        <w:t>Sub-Consultant</w:t>
      </w:r>
      <w:r w:rsidRPr="00332EF5">
        <w:rPr>
          <w:rFonts w:ascii="Arial" w:hAnsi="Arial" w:cs="Arial"/>
          <w:sz w:val="20"/>
        </w:rPr>
        <w:t xml:space="preserve"> shall not be liable for any use by the Beneficiary of the Documents for any purpose other than that for which the same were prepared and provided by the </w:t>
      </w:r>
      <w:r w:rsidR="0063325C" w:rsidRPr="00332EF5">
        <w:rPr>
          <w:rFonts w:ascii="Arial" w:hAnsi="Arial" w:cs="Arial"/>
          <w:sz w:val="20"/>
        </w:rPr>
        <w:t>Sub-Consultant</w:t>
      </w:r>
      <w:r w:rsidRPr="00332EF5">
        <w:rPr>
          <w:rFonts w:ascii="Arial" w:hAnsi="Arial" w:cs="Arial"/>
          <w:sz w:val="20"/>
        </w:rPr>
        <w:t>.</w:t>
      </w:r>
    </w:p>
    <w:p w:rsidR="007324AA" w:rsidRPr="00332EF5" w:rsidRDefault="007324AA" w:rsidP="007324AA">
      <w:pPr>
        <w:pStyle w:val="Heading2"/>
        <w:widowControl w:val="0"/>
        <w:tabs>
          <w:tab w:val="clear" w:pos="1414"/>
          <w:tab w:val="clear" w:pos="2268"/>
          <w:tab w:val="num" w:pos="0"/>
          <w:tab w:val="left" w:pos="1418"/>
        </w:tabs>
        <w:ind w:left="1440" w:hanging="720"/>
        <w:rPr>
          <w:rFonts w:ascii="Arial" w:hAnsi="Arial" w:cs="Arial"/>
          <w:sz w:val="20"/>
        </w:rPr>
      </w:pPr>
      <w:r w:rsidRPr="00332EF5">
        <w:rPr>
          <w:rFonts w:ascii="Arial" w:hAnsi="Arial" w:cs="Arial"/>
          <w:sz w:val="20"/>
        </w:rPr>
        <w:t xml:space="preserve">The </w:t>
      </w:r>
      <w:r w:rsidR="0063325C" w:rsidRPr="00332EF5">
        <w:rPr>
          <w:rFonts w:ascii="Arial" w:hAnsi="Arial" w:cs="Arial"/>
          <w:sz w:val="20"/>
        </w:rPr>
        <w:t>Sub-Consultant</w:t>
      </w:r>
      <w:r w:rsidRPr="00332EF5">
        <w:rPr>
          <w:rFonts w:ascii="Arial" w:hAnsi="Arial" w:cs="Arial"/>
          <w:sz w:val="20"/>
        </w:rPr>
        <w:t xml:space="preserve"> acknowledges that in so far as it is the author (as referred to in the Copyright Designs and Patents Act 1988) of the Documents the </w:t>
      </w:r>
      <w:r w:rsidR="0063325C" w:rsidRPr="00332EF5">
        <w:rPr>
          <w:rFonts w:ascii="Arial" w:hAnsi="Arial" w:cs="Arial"/>
          <w:sz w:val="20"/>
        </w:rPr>
        <w:t>Sub-Consultant</w:t>
      </w:r>
      <w:r w:rsidRPr="00332EF5">
        <w:rPr>
          <w:rFonts w:ascii="Arial" w:hAnsi="Arial" w:cs="Arial"/>
          <w:sz w:val="20"/>
        </w:rPr>
        <w:t xml:space="preserve"> waives any moral rights which it might otherwise be deemed to possess under chapter IV (Moral Rights) part I of such Act.</w:t>
      </w:r>
    </w:p>
    <w:p w:rsidR="006427EC" w:rsidRPr="00332EF5" w:rsidRDefault="006427EC" w:rsidP="006427EC">
      <w:pPr>
        <w:pStyle w:val="Body2"/>
      </w:pPr>
    </w:p>
    <w:p w:rsidR="007324AA" w:rsidRPr="00332EF5" w:rsidRDefault="007324AA" w:rsidP="007324AA">
      <w:pPr>
        <w:pStyle w:val="Heading1"/>
        <w:keepNext/>
        <w:numPr>
          <w:ilvl w:val="0"/>
          <w:numId w:val="1"/>
        </w:numPr>
        <w:tabs>
          <w:tab w:val="clear" w:pos="1414"/>
        </w:tabs>
        <w:spacing w:before="0" w:after="240"/>
        <w:rPr>
          <w:rFonts w:ascii="Arial" w:hAnsi="Arial" w:cs="Arial"/>
          <w:sz w:val="20"/>
        </w:rPr>
      </w:pPr>
      <w:r w:rsidRPr="00332EF5">
        <w:rPr>
          <w:rFonts w:ascii="Arial" w:hAnsi="Arial" w:cs="Arial"/>
          <w:b/>
          <w:bCs/>
          <w:sz w:val="20"/>
        </w:rPr>
        <w:t>PROFESSIONAL INDEMNITY INSURANCE</w:t>
      </w:r>
    </w:p>
    <w:p w:rsidR="007324AA" w:rsidRPr="00332EF5" w:rsidRDefault="007324AA" w:rsidP="007324AA">
      <w:pPr>
        <w:pStyle w:val="BodyText"/>
        <w:ind w:left="720"/>
        <w:rPr>
          <w:rFonts w:ascii="Arial" w:hAnsi="Arial" w:cs="Arial"/>
          <w:sz w:val="20"/>
        </w:rPr>
      </w:pPr>
      <w:r w:rsidRPr="00332EF5">
        <w:rPr>
          <w:rFonts w:ascii="Arial" w:hAnsi="Arial" w:cs="Arial"/>
          <w:sz w:val="20"/>
        </w:rPr>
        <w:t xml:space="preserve">The </w:t>
      </w:r>
      <w:r w:rsidR="0063325C" w:rsidRPr="00332EF5">
        <w:rPr>
          <w:rFonts w:ascii="Arial" w:hAnsi="Arial" w:cs="Arial"/>
          <w:sz w:val="20"/>
        </w:rPr>
        <w:t>Sub-Consultant</w:t>
      </w:r>
      <w:r w:rsidRPr="00332EF5">
        <w:rPr>
          <w:rFonts w:ascii="Arial" w:hAnsi="Arial" w:cs="Arial"/>
          <w:sz w:val="20"/>
        </w:rPr>
        <w:t xml:space="preserve"> has in place and shall maintain with Lloyd's underwriters or other reputable insurers licenced to carry on business in the United Kingdom</w:t>
      </w:r>
      <w:r w:rsidRPr="00332EF5">
        <w:rPr>
          <w:rFonts w:cs="Arial"/>
          <w:sz w:val="20"/>
        </w:rPr>
        <w:t xml:space="preserve"> </w:t>
      </w:r>
      <w:r w:rsidRPr="00332EF5">
        <w:rPr>
          <w:rFonts w:ascii="Arial" w:hAnsi="Arial" w:cs="Arial"/>
          <w:sz w:val="20"/>
        </w:rPr>
        <w:t xml:space="preserve">professional indemnity insurance in an amount not less than </w:t>
      </w:r>
      <w:r w:rsidRPr="00332EF5">
        <w:rPr>
          <w:rFonts w:ascii="Arial" w:hAnsi="Arial" w:cs="Arial"/>
          <w:b/>
          <w:sz w:val="20"/>
        </w:rPr>
        <w:t>[</w:t>
      </w:r>
      <w:r w:rsidR="00E40BA0">
        <w:rPr>
          <w:rFonts w:ascii="Arial" w:hAnsi="Arial" w:cs="Arial"/>
          <w:b/>
          <w:sz w:val="20"/>
        </w:rPr>
        <w:t xml:space="preserve">FIVE </w:t>
      </w:r>
      <w:r w:rsidRPr="00332EF5">
        <w:rPr>
          <w:rFonts w:ascii="Arial" w:hAnsi="Arial" w:cs="Arial"/>
          <w:b/>
          <w:bCs/>
          <w:sz w:val="20"/>
        </w:rPr>
        <w:t>MILLION POUNDS</w:t>
      </w:r>
      <w:r w:rsidRPr="00332EF5">
        <w:rPr>
          <w:rFonts w:ascii="Arial" w:hAnsi="Arial" w:cs="Arial"/>
          <w:sz w:val="20"/>
        </w:rPr>
        <w:t xml:space="preserve"> £[ </w:t>
      </w:r>
      <w:r w:rsidR="00E40BA0">
        <w:rPr>
          <w:rFonts w:ascii="Arial" w:hAnsi="Arial" w:cs="Arial"/>
          <w:sz w:val="20"/>
        </w:rPr>
        <w:t>5</w:t>
      </w:r>
      <w:r w:rsidRPr="00332EF5">
        <w:rPr>
          <w:rFonts w:ascii="Arial" w:hAnsi="Arial" w:cs="Arial"/>
          <w:sz w:val="20"/>
        </w:rPr>
        <w:t xml:space="preserve"> ],000,000 for any one occurrence or series of occurrences arising out of any one event ("the Insurance") for a period of 12 years from the date of practical completion of the </w:t>
      </w:r>
      <w:r w:rsidR="0063325C" w:rsidRPr="00332EF5">
        <w:rPr>
          <w:rFonts w:ascii="Arial" w:hAnsi="Arial" w:cs="Arial"/>
          <w:sz w:val="20"/>
        </w:rPr>
        <w:t>Development</w:t>
      </w:r>
      <w:r w:rsidRPr="00332EF5">
        <w:rPr>
          <w:rFonts w:ascii="Arial" w:hAnsi="Arial" w:cs="Arial"/>
          <w:sz w:val="20"/>
        </w:rPr>
        <w:t xml:space="preserve">, provided the insurance is available at reasonable commercial rates and terms in the UK insurance market.  As and when reasonably required to do so by the Beneficiary the </w:t>
      </w:r>
      <w:r w:rsidR="0063325C" w:rsidRPr="00332EF5">
        <w:rPr>
          <w:rFonts w:ascii="Arial" w:hAnsi="Arial" w:cs="Arial"/>
          <w:sz w:val="20"/>
        </w:rPr>
        <w:t>Sub-Consultant</w:t>
      </w:r>
      <w:r w:rsidRPr="00332EF5">
        <w:rPr>
          <w:rFonts w:ascii="Arial" w:hAnsi="Arial" w:cs="Arial"/>
          <w:sz w:val="20"/>
        </w:rPr>
        <w:t xml:space="preserve"> shall produce for inspection documentary evidence (by way of a broker's note) that such insurance is properly maintained.  Should the </w:t>
      </w:r>
      <w:r w:rsidR="0063325C" w:rsidRPr="00332EF5">
        <w:rPr>
          <w:rFonts w:ascii="Arial" w:hAnsi="Arial" w:cs="Arial"/>
          <w:sz w:val="20"/>
        </w:rPr>
        <w:t>Sub-Consultant</w:t>
      </w:r>
      <w:r w:rsidRPr="00332EF5">
        <w:rPr>
          <w:rFonts w:ascii="Arial" w:hAnsi="Arial" w:cs="Arial"/>
          <w:sz w:val="20"/>
        </w:rPr>
        <w:t xml:space="preserve"> </w:t>
      </w:r>
      <w:r w:rsidRPr="00AD1FB9">
        <w:rPr>
          <w:rFonts w:ascii="Arial" w:hAnsi="Arial" w:cs="Arial"/>
          <w:sz w:val="20"/>
        </w:rPr>
        <w:t xml:space="preserve">make default in insuring or continuing to insure as herein provided, the Beneficiary may insure against any risk with respect to which the default should have occurred and charge a sum or sums equivalent to the amount paid or payable in respect of premiums to </w:t>
      </w:r>
      <w:r w:rsidRPr="00332EF5">
        <w:rPr>
          <w:rFonts w:ascii="Arial" w:hAnsi="Arial" w:cs="Arial"/>
          <w:sz w:val="20"/>
        </w:rPr>
        <w:t xml:space="preserve">the </w:t>
      </w:r>
      <w:r w:rsidR="0063325C" w:rsidRPr="00332EF5">
        <w:rPr>
          <w:rFonts w:ascii="Arial" w:hAnsi="Arial" w:cs="Arial"/>
          <w:sz w:val="20"/>
        </w:rPr>
        <w:t>Sub-Consultant</w:t>
      </w:r>
      <w:r w:rsidRPr="00332EF5">
        <w:rPr>
          <w:rFonts w:ascii="Arial" w:hAnsi="Arial" w:cs="Arial"/>
          <w:sz w:val="20"/>
        </w:rPr>
        <w:t xml:space="preserve"> and the </w:t>
      </w:r>
      <w:r w:rsidR="0063325C" w:rsidRPr="00332EF5">
        <w:rPr>
          <w:rFonts w:ascii="Arial" w:hAnsi="Arial" w:cs="Arial"/>
          <w:sz w:val="20"/>
        </w:rPr>
        <w:t>Sub-Consultant</w:t>
      </w:r>
      <w:r w:rsidRPr="00332EF5">
        <w:rPr>
          <w:rFonts w:ascii="Arial" w:hAnsi="Arial" w:cs="Arial"/>
          <w:sz w:val="20"/>
        </w:rPr>
        <w:t xml:space="preserve"> warrants and undertakes that:</w:t>
      </w:r>
    </w:p>
    <w:p w:rsidR="007324AA" w:rsidRPr="00332EF5"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332EF5">
        <w:rPr>
          <w:rFonts w:ascii="Arial" w:hAnsi="Arial" w:cs="Arial"/>
          <w:sz w:val="20"/>
        </w:rPr>
        <w:t>to the best of his knowledge, information and belief the Insurance is valid, all circumstances relevant to the policy have been disclosed to the insurer, there are no circumstances entitling the insurer to avoid the policy and the premiums for the current period of insurance have been paid;</w:t>
      </w:r>
    </w:p>
    <w:p w:rsidR="007324AA" w:rsidRPr="00332EF5"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332EF5">
        <w:rPr>
          <w:rFonts w:ascii="Arial" w:hAnsi="Arial" w:cs="Arial"/>
          <w:sz w:val="20"/>
        </w:rPr>
        <w:t xml:space="preserve">save as disclosed it is not aware of any circumstances likely to give rise to any claim under the Insurance for any amount greater than the excess of the Insurance; and </w:t>
      </w:r>
    </w:p>
    <w:p w:rsidR="007324AA" w:rsidRPr="00332EF5" w:rsidRDefault="007324AA" w:rsidP="007324AA">
      <w:pPr>
        <w:pStyle w:val="Heading2"/>
        <w:tabs>
          <w:tab w:val="clear" w:pos="1414"/>
          <w:tab w:val="clear" w:pos="2268"/>
          <w:tab w:val="num" w:pos="0"/>
          <w:tab w:val="num" w:pos="1440"/>
        </w:tabs>
        <w:spacing w:before="0" w:after="240"/>
        <w:ind w:left="1440" w:hanging="720"/>
        <w:rPr>
          <w:rFonts w:ascii="Arial" w:hAnsi="Arial" w:cs="Arial"/>
          <w:sz w:val="20"/>
        </w:rPr>
      </w:pPr>
      <w:r w:rsidRPr="00332EF5">
        <w:rPr>
          <w:rFonts w:ascii="Arial" w:hAnsi="Arial" w:cs="Arial"/>
          <w:sz w:val="20"/>
        </w:rPr>
        <w:lastRenderedPageBreak/>
        <w:t xml:space="preserve">he shall immediately inform the Beneficiary if the Insurance ceases to be available at commercially reasonable rates in order that the </w:t>
      </w:r>
      <w:r w:rsidR="0063325C" w:rsidRPr="00332EF5">
        <w:rPr>
          <w:rFonts w:ascii="Arial" w:hAnsi="Arial" w:cs="Arial"/>
          <w:sz w:val="20"/>
        </w:rPr>
        <w:t>Sub-Consultant</w:t>
      </w:r>
      <w:r w:rsidRPr="00332EF5">
        <w:rPr>
          <w:rFonts w:ascii="Arial" w:hAnsi="Arial" w:cs="Arial"/>
          <w:sz w:val="20"/>
        </w:rPr>
        <w:t xml:space="preserve"> and the Beneficiary can discuss means of best protecting the respective positions of the Beneficiary and the </w:t>
      </w:r>
      <w:r w:rsidR="0063325C" w:rsidRPr="00332EF5">
        <w:rPr>
          <w:rFonts w:ascii="Arial" w:hAnsi="Arial" w:cs="Arial"/>
          <w:sz w:val="20"/>
        </w:rPr>
        <w:t>Sub-Consultant</w:t>
      </w:r>
      <w:r w:rsidRPr="00332EF5">
        <w:rPr>
          <w:rFonts w:ascii="Arial" w:hAnsi="Arial" w:cs="Arial"/>
          <w:sz w:val="20"/>
        </w:rPr>
        <w:t xml:space="preserve"> in respect of the Sub-Contract Works in the absence of the Insurance.</w:t>
      </w:r>
    </w:p>
    <w:p w:rsidR="007324AA" w:rsidRPr="00332EF5" w:rsidRDefault="007324AA" w:rsidP="007324AA">
      <w:pPr>
        <w:pStyle w:val="Heading1"/>
        <w:keepNext/>
        <w:numPr>
          <w:ilvl w:val="0"/>
          <w:numId w:val="1"/>
        </w:numPr>
        <w:tabs>
          <w:tab w:val="clear" w:pos="1414"/>
        </w:tabs>
        <w:spacing w:before="0" w:after="240"/>
        <w:rPr>
          <w:rFonts w:ascii="Arial" w:hAnsi="Arial" w:cs="Arial"/>
          <w:b/>
          <w:bCs/>
          <w:sz w:val="20"/>
        </w:rPr>
      </w:pPr>
      <w:r w:rsidRPr="00332EF5">
        <w:rPr>
          <w:rFonts w:ascii="Arial" w:hAnsi="Arial" w:cs="Arial"/>
          <w:b/>
          <w:bCs/>
          <w:sz w:val="20"/>
        </w:rPr>
        <w:t>ASSIGNMENT</w:t>
      </w:r>
    </w:p>
    <w:p w:rsidR="007324AA" w:rsidRPr="00332EF5" w:rsidRDefault="007324AA" w:rsidP="007324AA">
      <w:pPr>
        <w:pStyle w:val="BodyText"/>
        <w:ind w:left="720"/>
        <w:rPr>
          <w:rFonts w:ascii="Arial" w:hAnsi="Arial" w:cs="Arial"/>
          <w:sz w:val="20"/>
        </w:rPr>
      </w:pPr>
      <w:r w:rsidRPr="00332EF5">
        <w:rPr>
          <w:rFonts w:ascii="Arial" w:hAnsi="Arial" w:cs="Arial"/>
          <w:sz w:val="20"/>
        </w:rPr>
        <w:t xml:space="preserve">This Deed may be assigned without the consent of the </w:t>
      </w:r>
      <w:r w:rsidR="0063325C" w:rsidRPr="00332EF5">
        <w:rPr>
          <w:rFonts w:ascii="Arial" w:hAnsi="Arial" w:cs="Arial"/>
          <w:sz w:val="20"/>
        </w:rPr>
        <w:t>Sub-Consultant</w:t>
      </w:r>
      <w:r w:rsidRPr="00332EF5">
        <w:rPr>
          <w:rFonts w:ascii="Arial" w:hAnsi="Arial" w:cs="Arial"/>
          <w:sz w:val="20"/>
        </w:rPr>
        <w:t xml:space="preserve"> on two occasions </w:t>
      </w:r>
      <w:r w:rsidR="00C56130" w:rsidRPr="00332EF5">
        <w:rPr>
          <w:rFonts w:ascii="Arial" w:hAnsi="Arial" w:cs="Arial"/>
          <w:sz w:val="20"/>
        </w:rPr>
        <w:t>only.</w:t>
      </w:r>
    </w:p>
    <w:p w:rsidR="007324AA" w:rsidRPr="00332EF5" w:rsidRDefault="007324AA" w:rsidP="007324AA">
      <w:pPr>
        <w:pStyle w:val="Heading1"/>
        <w:keepNext/>
        <w:numPr>
          <w:ilvl w:val="0"/>
          <w:numId w:val="1"/>
        </w:numPr>
        <w:tabs>
          <w:tab w:val="clear" w:pos="1414"/>
        </w:tabs>
        <w:spacing w:before="0" w:after="240"/>
        <w:rPr>
          <w:rFonts w:ascii="Arial" w:hAnsi="Arial" w:cs="Arial"/>
          <w:sz w:val="20"/>
        </w:rPr>
      </w:pPr>
      <w:r w:rsidRPr="00332EF5">
        <w:rPr>
          <w:rFonts w:ascii="Arial" w:hAnsi="Arial" w:cs="Arial"/>
          <w:b/>
          <w:bCs/>
          <w:sz w:val="20"/>
        </w:rPr>
        <w:t>NOTICE</w:t>
      </w:r>
    </w:p>
    <w:p w:rsidR="007324AA" w:rsidRPr="00332EF5" w:rsidRDefault="007324AA" w:rsidP="007324AA">
      <w:pPr>
        <w:pStyle w:val="BodyText"/>
        <w:ind w:left="720"/>
        <w:rPr>
          <w:rFonts w:ascii="Arial" w:hAnsi="Arial" w:cs="Arial"/>
          <w:sz w:val="20"/>
        </w:rPr>
      </w:pPr>
      <w:r w:rsidRPr="00332EF5">
        <w:rPr>
          <w:rFonts w:ascii="Arial" w:hAnsi="Arial" w:cs="Arial"/>
          <w:sz w:val="20"/>
        </w:rPr>
        <w:t>A notice required to be given under this Deed shall be in writing and shall be deemed to be properly given to a party when served at the address for such party set out above.</w:t>
      </w:r>
    </w:p>
    <w:p w:rsidR="007324AA" w:rsidRPr="00332EF5" w:rsidRDefault="007324AA" w:rsidP="007324AA">
      <w:pPr>
        <w:pStyle w:val="Heading1"/>
        <w:keepNext/>
        <w:numPr>
          <w:ilvl w:val="0"/>
          <w:numId w:val="1"/>
        </w:numPr>
        <w:tabs>
          <w:tab w:val="clear" w:pos="1414"/>
        </w:tabs>
        <w:spacing w:before="0" w:after="240"/>
        <w:rPr>
          <w:rFonts w:ascii="Arial" w:hAnsi="Arial" w:cs="Arial"/>
          <w:sz w:val="20"/>
        </w:rPr>
      </w:pPr>
      <w:r w:rsidRPr="00332EF5">
        <w:rPr>
          <w:rFonts w:ascii="Arial" w:hAnsi="Arial" w:cs="Arial"/>
          <w:b/>
          <w:bCs/>
          <w:sz w:val="20"/>
        </w:rPr>
        <w:t>ADDITIONAL RIGHTS</w:t>
      </w:r>
    </w:p>
    <w:p w:rsidR="007324AA" w:rsidRPr="00AD1FB9" w:rsidRDefault="007324AA" w:rsidP="007324AA">
      <w:pPr>
        <w:pStyle w:val="BodyText"/>
        <w:ind w:left="720"/>
        <w:rPr>
          <w:rFonts w:ascii="Arial" w:hAnsi="Arial" w:cs="Arial"/>
          <w:sz w:val="20"/>
        </w:rPr>
      </w:pPr>
      <w:r w:rsidRPr="00332EF5">
        <w:rPr>
          <w:rFonts w:ascii="Arial" w:hAnsi="Arial" w:cs="Arial"/>
          <w:sz w:val="20"/>
        </w:rPr>
        <w:t xml:space="preserve">The rights and benefits conferred upon the Beneficiary by this Deed are in addition to any other rights and remedies it may have against the </w:t>
      </w:r>
      <w:r w:rsidR="0063325C" w:rsidRPr="00332EF5">
        <w:rPr>
          <w:rFonts w:ascii="Arial" w:hAnsi="Arial" w:cs="Arial"/>
          <w:sz w:val="20"/>
        </w:rPr>
        <w:t>Sub-Consultant</w:t>
      </w:r>
      <w:r w:rsidRPr="00332EF5">
        <w:rPr>
          <w:rFonts w:ascii="Arial" w:hAnsi="Arial" w:cs="Arial"/>
          <w:sz w:val="20"/>
        </w:rPr>
        <w:t xml:space="preserve"> including, without prejudice to the generality of the foregoing, remedies in negligence.  The </w:t>
      </w:r>
      <w:r w:rsidR="0063325C" w:rsidRPr="00332EF5">
        <w:rPr>
          <w:rFonts w:ascii="Arial" w:hAnsi="Arial" w:cs="Arial"/>
          <w:sz w:val="20"/>
        </w:rPr>
        <w:t>Sub-Consultant</w:t>
      </w:r>
      <w:r w:rsidRPr="00332EF5">
        <w:rPr>
          <w:rFonts w:ascii="Arial" w:hAnsi="Arial" w:cs="Arial"/>
          <w:sz w:val="20"/>
        </w:rPr>
        <w:t xml:space="preserve"> acknowledges that the Beneficiary shall be deemed to have relied upon the </w:t>
      </w:r>
      <w:r w:rsidR="0063325C" w:rsidRPr="00332EF5">
        <w:rPr>
          <w:rFonts w:ascii="Arial" w:hAnsi="Arial" w:cs="Arial"/>
          <w:sz w:val="20"/>
        </w:rPr>
        <w:t>Sub-Consultant</w:t>
      </w:r>
      <w:r w:rsidRPr="00332EF5">
        <w:rPr>
          <w:rFonts w:ascii="Arial" w:hAnsi="Arial" w:cs="Arial"/>
          <w:sz w:val="20"/>
        </w:rPr>
        <w:t xml:space="preserve">’s skill and judgement in the performance of its duties to the Contractor under the Sub-Contract.  The Beneficiary acknowledges that the </w:t>
      </w:r>
      <w:r w:rsidR="0063325C" w:rsidRPr="00332EF5">
        <w:rPr>
          <w:rFonts w:ascii="Arial" w:hAnsi="Arial" w:cs="Arial"/>
          <w:sz w:val="20"/>
        </w:rPr>
        <w:t>Sub-Consultant</w:t>
      </w:r>
      <w:r w:rsidRPr="00332EF5">
        <w:rPr>
          <w:rFonts w:ascii="Arial" w:hAnsi="Arial" w:cs="Arial"/>
          <w:sz w:val="20"/>
        </w:rPr>
        <w:t xml:space="preserve"> will owe it no greater liability under the terms of this Deed than it would have owed to the Beneficiary</w:t>
      </w:r>
      <w:r w:rsidRPr="00AD1FB9">
        <w:rPr>
          <w:rFonts w:ascii="Arial" w:hAnsi="Arial" w:cs="Arial"/>
          <w:sz w:val="20"/>
        </w:rPr>
        <w:t xml:space="preserve"> had it been named joint employer with the Contractor under the Sub-Contract.</w:t>
      </w:r>
    </w:p>
    <w:p w:rsidR="007324AA" w:rsidRPr="00AD1FB9" w:rsidRDefault="007324AA" w:rsidP="007324AA">
      <w:pPr>
        <w:pStyle w:val="Heading1"/>
        <w:keepNext/>
        <w:numPr>
          <w:ilvl w:val="0"/>
          <w:numId w:val="1"/>
        </w:numPr>
        <w:tabs>
          <w:tab w:val="clear" w:pos="1414"/>
        </w:tabs>
        <w:spacing w:before="0" w:after="240"/>
        <w:rPr>
          <w:rFonts w:ascii="Arial" w:hAnsi="Arial" w:cs="Arial"/>
          <w:sz w:val="20"/>
        </w:rPr>
      </w:pPr>
      <w:r w:rsidRPr="00AD1FB9">
        <w:rPr>
          <w:rFonts w:ascii="Arial" w:hAnsi="Arial" w:cs="Arial"/>
          <w:b/>
          <w:bCs/>
          <w:sz w:val="20"/>
        </w:rPr>
        <w:t>GOVERNING LAW</w:t>
      </w:r>
    </w:p>
    <w:p w:rsidR="007324AA" w:rsidRPr="00AD1FB9" w:rsidRDefault="007324AA" w:rsidP="007324AA">
      <w:pPr>
        <w:pStyle w:val="BodyText"/>
        <w:ind w:left="720"/>
        <w:rPr>
          <w:rFonts w:ascii="Arial" w:hAnsi="Arial" w:cs="Arial"/>
          <w:sz w:val="20"/>
        </w:rPr>
      </w:pPr>
      <w:r w:rsidRPr="00AD1FB9">
        <w:rPr>
          <w:rFonts w:ascii="Arial" w:hAnsi="Arial" w:cs="Arial"/>
          <w:sz w:val="20"/>
        </w:rPr>
        <w:t xml:space="preserve">This Deed shall be governed by and construed in accordance with English law, and disputes arising from this Deed shall be referred to and determined by the Courts of England and Wales.  </w:t>
      </w:r>
    </w:p>
    <w:p w:rsidR="007324AA" w:rsidRPr="00AD1FB9" w:rsidRDefault="007324AA" w:rsidP="007324AA">
      <w:pPr>
        <w:pStyle w:val="Heading1"/>
        <w:keepNext/>
        <w:numPr>
          <w:ilvl w:val="0"/>
          <w:numId w:val="1"/>
        </w:numPr>
        <w:tabs>
          <w:tab w:val="clear" w:pos="1414"/>
        </w:tabs>
        <w:spacing w:before="0" w:after="240"/>
        <w:rPr>
          <w:rFonts w:ascii="Arial" w:hAnsi="Arial" w:cs="Arial"/>
          <w:sz w:val="20"/>
        </w:rPr>
      </w:pPr>
      <w:r w:rsidRPr="00AD1FB9">
        <w:rPr>
          <w:rFonts w:ascii="Arial" w:hAnsi="Arial" w:cs="Arial"/>
          <w:b/>
          <w:bCs/>
          <w:sz w:val="20"/>
        </w:rPr>
        <w:t>THIRD PARTY RIGHTS</w:t>
      </w:r>
    </w:p>
    <w:p w:rsidR="007324AA" w:rsidRPr="00AD1FB9" w:rsidRDefault="007324AA" w:rsidP="007324AA">
      <w:pPr>
        <w:pStyle w:val="BodyText"/>
        <w:ind w:left="720"/>
        <w:rPr>
          <w:rFonts w:ascii="Arial" w:hAnsi="Arial" w:cs="Arial"/>
          <w:sz w:val="20"/>
        </w:rPr>
      </w:pPr>
      <w:r w:rsidRPr="00AD1FB9">
        <w:rPr>
          <w:rFonts w:ascii="Arial" w:hAnsi="Arial" w:cs="Arial"/>
          <w:sz w:val="20"/>
        </w:rPr>
        <w:t xml:space="preserve">Except as expressly stated nothing in this Deed confers or purports to confer on any third party any benefit or any right to enforce any term of this Deed pursuant to the Contract (Rights of Third Parties) Act 1999. </w:t>
      </w:r>
    </w:p>
    <w:p w:rsidR="0083257E" w:rsidRDefault="007324AA" w:rsidP="007324AA">
      <w:r w:rsidRPr="00AD1FB9">
        <w:rPr>
          <w:rFonts w:ascii="Arial" w:hAnsi="Arial" w:cs="Arial"/>
          <w:b/>
          <w:sz w:val="20"/>
        </w:rPr>
        <w:t>IN WITNESS</w:t>
      </w:r>
      <w:r w:rsidRPr="00AD1FB9">
        <w:rPr>
          <w:rFonts w:ascii="Arial" w:hAnsi="Arial" w:cs="Arial"/>
          <w:sz w:val="20"/>
        </w:rPr>
        <w:t xml:space="preserve"> whereof this Agreement was executed and delivered as a Deed on the date at the head of this document.</w:t>
      </w:r>
    </w:p>
    <w:p w:rsidR="0083257E" w:rsidRDefault="0083257E" w:rsidP="0083257E"/>
    <w:p w:rsidR="00EE18CA" w:rsidRPr="0083257E" w:rsidRDefault="00EE18CA" w:rsidP="0083257E"/>
    <w:sectPr w:rsidR="00EE18CA" w:rsidRPr="0083257E" w:rsidSect="00A83CD9">
      <w:pgSz w:w="11906" w:h="16838"/>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FDC2F08"/>
    <w:lvl w:ilvl="0">
      <w:start w:val="1"/>
      <w:numFmt w:val="decimal"/>
      <w:pStyle w:val="Heading1"/>
      <w:lvlText w:val="%1."/>
      <w:lvlJc w:val="left"/>
      <w:pPr>
        <w:tabs>
          <w:tab w:val="num" w:pos="720"/>
        </w:tabs>
        <w:ind w:left="720" w:hanging="720"/>
      </w:pPr>
      <w:rPr>
        <w:rFonts w:ascii="Arial" w:hAnsi="Arial" w:hint="default"/>
        <w:b w:val="0"/>
        <w:i w:val="0"/>
        <w:sz w:val="20"/>
      </w:rPr>
    </w:lvl>
    <w:lvl w:ilvl="1">
      <w:start w:val="1"/>
      <w:numFmt w:val="decimal"/>
      <w:pStyle w:val="Heading2"/>
      <w:lvlText w:val="%1.%2"/>
      <w:lvlJc w:val="left"/>
      <w:pPr>
        <w:tabs>
          <w:tab w:val="num" w:pos="0"/>
        </w:tabs>
        <w:ind w:left="1440" w:hanging="720"/>
      </w:pPr>
      <w:rPr>
        <w:rFonts w:ascii="Arial" w:hAnsi="Arial" w:hint="default"/>
        <w:sz w:val="20"/>
      </w:rPr>
    </w:lvl>
    <w:lvl w:ilvl="2">
      <w:start w:val="1"/>
      <w:numFmt w:val="decimal"/>
      <w:pStyle w:val="Heading3"/>
      <w:lvlText w:val="%1.%2.%3"/>
      <w:lvlJc w:val="left"/>
      <w:pPr>
        <w:tabs>
          <w:tab w:val="num" w:pos="0"/>
        </w:tabs>
        <w:ind w:left="2404" w:hanging="720"/>
      </w:pPr>
      <w:rPr>
        <w:rFonts w:ascii="Arial" w:hAnsi="Arial" w:hint="default"/>
        <w:sz w:val="20"/>
      </w:rPr>
    </w:lvl>
    <w:lvl w:ilvl="3">
      <w:start w:val="1"/>
      <w:numFmt w:val="decimal"/>
      <w:pStyle w:val="Heading4"/>
      <w:lvlText w:val="%1.%2.%3.%4"/>
      <w:lvlJc w:val="left"/>
      <w:pPr>
        <w:tabs>
          <w:tab w:val="num" w:pos="0"/>
        </w:tabs>
        <w:ind w:left="3612" w:hanging="720"/>
      </w:pPr>
      <w:rPr>
        <w:rFonts w:ascii="Arial" w:hAnsi="Arial" w:hint="default"/>
        <w:sz w:val="20"/>
      </w:rPr>
    </w:lvl>
    <w:lvl w:ilvl="4">
      <w:start w:val="1"/>
      <w:numFmt w:val="decimal"/>
      <w:pStyle w:val="Heading5"/>
      <w:lvlText w:val="%1.%2.%3.%4.%5"/>
      <w:lvlJc w:val="left"/>
      <w:pPr>
        <w:tabs>
          <w:tab w:val="num" w:pos="4709"/>
        </w:tabs>
        <w:ind w:left="4349"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lowerLetter"/>
      <w:pStyle w:val="Heading6"/>
      <w:lvlText w:val="(%6)"/>
      <w:lvlJc w:val="left"/>
      <w:pPr>
        <w:tabs>
          <w:tab w:val="num" w:pos="5058"/>
        </w:tabs>
        <w:ind w:left="5058" w:hanging="720"/>
      </w:pPr>
      <w:rPr>
        <w:rFonts w:ascii="Arial" w:hAnsi="Arial" w:hint="default"/>
        <w:sz w:val="20"/>
      </w:rPr>
    </w:lvl>
    <w:lvl w:ilvl="6">
      <w:start w:val="1"/>
      <w:numFmt w:val="lowerRoman"/>
      <w:pStyle w:val="Heading7"/>
      <w:lvlText w:val="(%7)"/>
      <w:lvlJc w:val="left"/>
      <w:pPr>
        <w:tabs>
          <w:tab w:val="num" w:pos="5761"/>
        </w:tabs>
        <w:ind w:left="5761" w:hanging="720"/>
      </w:pPr>
      <w:rPr>
        <w:rFonts w:ascii="Arial" w:hAnsi="Arial" w:hint="default"/>
        <w:b w:val="0"/>
        <w:i w:val="0"/>
        <w:sz w:val="20"/>
      </w:rPr>
    </w:lvl>
    <w:lvl w:ilvl="7">
      <w:start w:val="1"/>
      <w:numFmt w:val="bullet"/>
      <w:pStyle w:val="Heading8"/>
      <w:lvlText w:val=""/>
      <w:lvlJc w:val="left"/>
      <w:pPr>
        <w:tabs>
          <w:tab w:val="num" w:pos="6447"/>
        </w:tabs>
        <w:ind w:left="6447" w:hanging="720"/>
      </w:pPr>
      <w:rPr>
        <w:rFonts w:ascii="Symbol" w:hAnsi="Symbol" w:hint="default"/>
      </w:rPr>
    </w:lvl>
    <w:lvl w:ilvl="8">
      <w:start w:val="1"/>
      <w:numFmt w:val="bullet"/>
      <w:pStyle w:val="Heading9"/>
      <w:lvlText w:val=""/>
      <w:lvlJc w:val="left"/>
      <w:pPr>
        <w:tabs>
          <w:tab w:val="num" w:pos="7155"/>
        </w:tabs>
        <w:ind w:left="7155" w:hanging="720"/>
      </w:pPr>
      <w:rPr>
        <w:rFonts w:ascii="Symbol" w:hAnsi="Symbol" w:hint="default"/>
      </w:rPr>
    </w:lvl>
  </w:abstractNum>
  <w:abstractNum w:abstractNumId="1" w15:restartNumberingAfterBreak="0">
    <w:nsid w:val="03E05CB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7324AA"/>
    <w:rsid w:val="00015D29"/>
    <w:rsid w:val="0003298D"/>
    <w:rsid w:val="000407E2"/>
    <w:rsid w:val="00046FA6"/>
    <w:rsid w:val="00047775"/>
    <w:rsid w:val="00051C14"/>
    <w:rsid w:val="0008490E"/>
    <w:rsid w:val="00091FA6"/>
    <w:rsid w:val="000F7C88"/>
    <w:rsid w:val="0011184C"/>
    <w:rsid w:val="0014422B"/>
    <w:rsid w:val="00160BCC"/>
    <w:rsid w:val="00171C4E"/>
    <w:rsid w:val="00192B82"/>
    <w:rsid w:val="001C3E13"/>
    <w:rsid w:val="0026034C"/>
    <w:rsid w:val="0028350A"/>
    <w:rsid w:val="002B5D6F"/>
    <w:rsid w:val="002C4E08"/>
    <w:rsid w:val="002D05DA"/>
    <w:rsid w:val="003021B6"/>
    <w:rsid w:val="00332EF5"/>
    <w:rsid w:val="00365B66"/>
    <w:rsid w:val="00394346"/>
    <w:rsid w:val="003A40B7"/>
    <w:rsid w:val="003B13CB"/>
    <w:rsid w:val="003C0AFF"/>
    <w:rsid w:val="00493671"/>
    <w:rsid w:val="004F20A6"/>
    <w:rsid w:val="004F7652"/>
    <w:rsid w:val="0058506D"/>
    <w:rsid w:val="005A15CA"/>
    <w:rsid w:val="005C0AD5"/>
    <w:rsid w:val="005C6014"/>
    <w:rsid w:val="00600EB0"/>
    <w:rsid w:val="00615B96"/>
    <w:rsid w:val="0063325C"/>
    <w:rsid w:val="006427EC"/>
    <w:rsid w:val="006611E7"/>
    <w:rsid w:val="0067285D"/>
    <w:rsid w:val="006B1FD7"/>
    <w:rsid w:val="006C57AE"/>
    <w:rsid w:val="00720496"/>
    <w:rsid w:val="007324AA"/>
    <w:rsid w:val="00746527"/>
    <w:rsid w:val="007C3A7D"/>
    <w:rsid w:val="0083257E"/>
    <w:rsid w:val="008458B0"/>
    <w:rsid w:val="008E07D8"/>
    <w:rsid w:val="008F0AA3"/>
    <w:rsid w:val="008F7969"/>
    <w:rsid w:val="00925416"/>
    <w:rsid w:val="009411CA"/>
    <w:rsid w:val="0095199A"/>
    <w:rsid w:val="00955DBF"/>
    <w:rsid w:val="009869D9"/>
    <w:rsid w:val="00A012B0"/>
    <w:rsid w:val="00A051B4"/>
    <w:rsid w:val="00A4466D"/>
    <w:rsid w:val="00A83CD9"/>
    <w:rsid w:val="00A93E44"/>
    <w:rsid w:val="00AD01AE"/>
    <w:rsid w:val="00AF2389"/>
    <w:rsid w:val="00B0336E"/>
    <w:rsid w:val="00B158E5"/>
    <w:rsid w:val="00B90C60"/>
    <w:rsid w:val="00B95B85"/>
    <w:rsid w:val="00BE4ED4"/>
    <w:rsid w:val="00C56130"/>
    <w:rsid w:val="00CA3E81"/>
    <w:rsid w:val="00D66E62"/>
    <w:rsid w:val="00DE580B"/>
    <w:rsid w:val="00E40BA0"/>
    <w:rsid w:val="00E71EE3"/>
    <w:rsid w:val="00EE18CA"/>
    <w:rsid w:val="00F11BBD"/>
    <w:rsid w:val="00F25B7B"/>
    <w:rsid w:val="00F43D94"/>
    <w:rsid w:val="00FA02B9"/>
    <w:rsid w:val="00FB7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594402-D259-4F2C-A89E-EF9D9252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4AA"/>
    <w:pPr>
      <w:jc w:val="both"/>
    </w:pPr>
    <w:rPr>
      <w:sz w:val="23"/>
      <w:lang w:eastAsia="en-US"/>
    </w:rPr>
  </w:style>
  <w:style w:type="paragraph" w:styleId="Heading1">
    <w:name w:val="heading 1"/>
    <w:basedOn w:val="Normal"/>
    <w:next w:val="Body1"/>
    <w:qFormat/>
    <w:rsid w:val="004F7652"/>
    <w:pPr>
      <w:numPr>
        <w:numId w:val="28"/>
      </w:numPr>
      <w:tabs>
        <w:tab w:val="clear" w:pos="720"/>
        <w:tab w:val="num" w:pos="714"/>
        <w:tab w:val="left" w:pos="1414"/>
      </w:tabs>
      <w:spacing w:before="200" w:after="60"/>
      <w:outlineLvl w:val="0"/>
    </w:pPr>
  </w:style>
  <w:style w:type="paragraph" w:styleId="Heading2">
    <w:name w:val="heading 2"/>
    <w:basedOn w:val="Normal"/>
    <w:next w:val="Body2"/>
    <w:qFormat/>
    <w:rsid w:val="00746527"/>
    <w:pPr>
      <w:numPr>
        <w:ilvl w:val="1"/>
        <w:numId w:val="1"/>
      </w:numPr>
      <w:tabs>
        <w:tab w:val="clear" w:pos="0"/>
        <w:tab w:val="num" w:pos="1414"/>
        <w:tab w:val="left" w:pos="2268"/>
      </w:tabs>
      <w:spacing w:before="200" w:after="60"/>
      <w:ind w:left="1414" w:hanging="714"/>
      <w:outlineLvl w:val="1"/>
    </w:pPr>
  </w:style>
  <w:style w:type="paragraph" w:styleId="Heading3">
    <w:name w:val="heading 3"/>
    <w:basedOn w:val="Normal"/>
    <w:next w:val="Body3"/>
    <w:qFormat/>
    <w:rsid w:val="006C57AE"/>
    <w:pPr>
      <w:numPr>
        <w:ilvl w:val="2"/>
        <w:numId w:val="28"/>
      </w:numPr>
      <w:tabs>
        <w:tab w:val="clear" w:pos="0"/>
        <w:tab w:val="left" w:pos="2268"/>
        <w:tab w:val="num" w:pos="3402"/>
      </w:tabs>
      <w:spacing w:before="200" w:after="60"/>
      <w:ind w:left="2268" w:hanging="854"/>
      <w:outlineLvl w:val="2"/>
    </w:pPr>
  </w:style>
  <w:style w:type="paragraph" w:styleId="Heading4">
    <w:name w:val="heading 4"/>
    <w:basedOn w:val="Normal"/>
    <w:next w:val="Body4"/>
    <w:qFormat/>
    <w:rsid w:val="006C57AE"/>
    <w:pPr>
      <w:numPr>
        <w:ilvl w:val="3"/>
        <w:numId w:val="28"/>
      </w:numPr>
      <w:tabs>
        <w:tab w:val="clear" w:pos="0"/>
        <w:tab w:val="left" w:pos="3416"/>
        <w:tab w:val="num" w:pos="4678"/>
      </w:tabs>
      <w:spacing w:before="200" w:after="60"/>
      <w:ind w:left="3416" w:hanging="1148"/>
      <w:outlineLvl w:val="3"/>
    </w:pPr>
  </w:style>
  <w:style w:type="paragraph" w:styleId="Heading5">
    <w:name w:val="heading 5"/>
    <w:basedOn w:val="Normal"/>
    <w:next w:val="Body5"/>
    <w:qFormat/>
    <w:rsid w:val="004F20A6"/>
    <w:pPr>
      <w:numPr>
        <w:ilvl w:val="4"/>
        <w:numId w:val="28"/>
      </w:numPr>
      <w:tabs>
        <w:tab w:val="clear" w:pos="4709"/>
        <w:tab w:val="num" w:pos="4678"/>
        <w:tab w:val="left" w:pos="5387"/>
      </w:tabs>
      <w:spacing w:before="200" w:after="60"/>
      <w:ind w:left="4676" w:hanging="1260"/>
      <w:outlineLvl w:val="4"/>
    </w:pPr>
  </w:style>
  <w:style w:type="paragraph" w:styleId="Heading6">
    <w:name w:val="heading 6"/>
    <w:basedOn w:val="Normal"/>
    <w:next w:val="Body6"/>
    <w:qFormat/>
    <w:rsid w:val="0003298D"/>
    <w:pPr>
      <w:numPr>
        <w:ilvl w:val="5"/>
        <w:numId w:val="28"/>
      </w:numPr>
      <w:tabs>
        <w:tab w:val="clear" w:pos="5058"/>
        <w:tab w:val="num" w:pos="5387"/>
        <w:tab w:val="left" w:pos="6096"/>
      </w:tabs>
      <w:spacing w:before="200" w:after="60"/>
      <w:ind w:left="5387" w:hanging="709"/>
      <w:outlineLvl w:val="5"/>
    </w:pPr>
  </w:style>
  <w:style w:type="paragraph" w:styleId="Heading7">
    <w:name w:val="heading 7"/>
    <w:basedOn w:val="Normal"/>
    <w:next w:val="Body7"/>
    <w:qFormat/>
    <w:rsid w:val="005C0AD5"/>
    <w:pPr>
      <w:numPr>
        <w:ilvl w:val="6"/>
        <w:numId w:val="28"/>
      </w:numPr>
      <w:tabs>
        <w:tab w:val="clear" w:pos="5761"/>
        <w:tab w:val="num" w:pos="6096"/>
        <w:tab w:val="left" w:pos="6663"/>
      </w:tabs>
      <w:spacing w:before="200" w:after="60"/>
      <w:ind w:left="6096" w:hanging="709"/>
      <w:outlineLvl w:val="6"/>
    </w:pPr>
  </w:style>
  <w:style w:type="paragraph" w:styleId="Heading8">
    <w:name w:val="heading 8"/>
    <w:basedOn w:val="Normal"/>
    <w:next w:val="Body8"/>
    <w:qFormat/>
    <w:rsid w:val="0003298D"/>
    <w:pPr>
      <w:numPr>
        <w:ilvl w:val="7"/>
        <w:numId w:val="28"/>
      </w:numPr>
      <w:tabs>
        <w:tab w:val="clear" w:pos="6447"/>
        <w:tab w:val="num" w:pos="6663"/>
        <w:tab w:val="left" w:pos="7371"/>
      </w:tabs>
      <w:spacing w:before="200" w:after="60"/>
      <w:ind w:left="6663" w:hanging="567"/>
      <w:outlineLvl w:val="7"/>
    </w:pPr>
  </w:style>
  <w:style w:type="paragraph" w:styleId="Heading9">
    <w:name w:val="heading 9"/>
    <w:basedOn w:val="Normal"/>
    <w:next w:val="Body9"/>
    <w:qFormat/>
    <w:rsid w:val="0003298D"/>
    <w:pPr>
      <w:numPr>
        <w:ilvl w:val="8"/>
        <w:numId w:val="28"/>
      </w:numPr>
      <w:tabs>
        <w:tab w:val="clear" w:pos="7155"/>
        <w:tab w:val="num" w:pos="7371"/>
        <w:tab w:val="left" w:pos="8080"/>
      </w:tabs>
      <w:spacing w:before="200" w:after="60"/>
      <w:ind w:left="7371" w:hanging="70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link w:val="Body1Char"/>
    <w:rsid w:val="0003298D"/>
    <w:pPr>
      <w:spacing w:before="200" w:after="60"/>
      <w:ind w:left="714"/>
    </w:pPr>
  </w:style>
  <w:style w:type="paragraph" w:customStyle="1" w:styleId="Body2">
    <w:name w:val="Body2"/>
    <w:basedOn w:val="Normal"/>
    <w:rsid w:val="0003298D"/>
    <w:pPr>
      <w:spacing w:before="200" w:after="60"/>
      <w:ind w:left="1414"/>
    </w:pPr>
  </w:style>
  <w:style w:type="paragraph" w:customStyle="1" w:styleId="Body3">
    <w:name w:val="Body3"/>
    <w:basedOn w:val="Normal"/>
    <w:rsid w:val="0003298D"/>
    <w:pPr>
      <w:spacing w:before="200" w:after="60"/>
      <w:ind w:left="2268"/>
    </w:pPr>
  </w:style>
  <w:style w:type="paragraph" w:customStyle="1" w:styleId="Body4">
    <w:name w:val="Body4"/>
    <w:basedOn w:val="Normal"/>
    <w:rsid w:val="00B90C60"/>
    <w:pPr>
      <w:spacing w:before="200" w:after="60"/>
      <w:ind w:left="3416"/>
    </w:pPr>
  </w:style>
  <w:style w:type="paragraph" w:customStyle="1" w:styleId="Body5">
    <w:name w:val="Body5"/>
    <w:basedOn w:val="Normal"/>
    <w:rsid w:val="0003298D"/>
    <w:pPr>
      <w:spacing w:before="200" w:after="60"/>
      <w:ind w:left="4678"/>
    </w:pPr>
  </w:style>
  <w:style w:type="paragraph" w:customStyle="1" w:styleId="Body6">
    <w:name w:val="Body6"/>
    <w:basedOn w:val="Normal"/>
    <w:rsid w:val="0003298D"/>
    <w:pPr>
      <w:spacing w:before="200" w:after="60"/>
      <w:ind w:left="5387"/>
    </w:pPr>
  </w:style>
  <w:style w:type="paragraph" w:customStyle="1" w:styleId="Body7">
    <w:name w:val="Body7"/>
    <w:basedOn w:val="Normal"/>
    <w:rsid w:val="0003298D"/>
    <w:pPr>
      <w:spacing w:before="200" w:after="60"/>
      <w:ind w:left="6096"/>
    </w:pPr>
  </w:style>
  <w:style w:type="paragraph" w:customStyle="1" w:styleId="Body8">
    <w:name w:val="Body8"/>
    <w:basedOn w:val="Normal"/>
    <w:rsid w:val="0003298D"/>
    <w:pPr>
      <w:spacing w:before="200" w:after="60"/>
      <w:ind w:left="6663"/>
    </w:pPr>
  </w:style>
  <w:style w:type="paragraph" w:customStyle="1" w:styleId="Body9">
    <w:name w:val="Body9"/>
    <w:basedOn w:val="Normal"/>
    <w:rsid w:val="0003298D"/>
    <w:pPr>
      <w:spacing w:before="200" w:after="60"/>
      <w:ind w:left="7371"/>
    </w:pPr>
  </w:style>
  <w:style w:type="paragraph" w:styleId="BodyText">
    <w:name w:val="Body Text"/>
    <w:basedOn w:val="Normal"/>
    <w:link w:val="BodyTextChar"/>
    <w:rsid w:val="00091FA6"/>
    <w:pPr>
      <w:spacing w:after="120"/>
    </w:pPr>
  </w:style>
  <w:style w:type="paragraph" w:styleId="BodyTextIndent">
    <w:name w:val="Body Text Indent"/>
    <w:basedOn w:val="Normal"/>
    <w:rsid w:val="00091FA6"/>
    <w:pPr>
      <w:spacing w:after="120"/>
      <w:ind w:left="709"/>
    </w:pPr>
  </w:style>
  <w:style w:type="paragraph" w:customStyle="1" w:styleId="DocSpace">
    <w:name w:val="DocSpace"/>
    <w:basedOn w:val="Normal"/>
    <w:rsid w:val="00091FA6"/>
    <w:pPr>
      <w:spacing w:before="200" w:after="60"/>
    </w:pPr>
  </w:style>
  <w:style w:type="paragraph" w:styleId="ListBullet">
    <w:name w:val="List Bullet"/>
    <w:basedOn w:val="Normal"/>
    <w:rsid w:val="00091FA6"/>
    <w:pPr>
      <w:ind w:left="709" w:hanging="709"/>
    </w:pPr>
  </w:style>
  <w:style w:type="paragraph" w:styleId="ListBullet2">
    <w:name w:val="List Bullet 2"/>
    <w:basedOn w:val="Normal"/>
    <w:rsid w:val="00091FA6"/>
    <w:pPr>
      <w:ind w:left="993" w:hanging="709"/>
    </w:pPr>
  </w:style>
  <w:style w:type="paragraph" w:styleId="ListBullet3">
    <w:name w:val="List Bullet 3"/>
    <w:basedOn w:val="Normal"/>
    <w:rsid w:val="00091FA6"/>
    <w:pPr>
      <w:ind w:left="1276" w:hanging="709"/>
    </w:pPr>
  </w:style>
  <w:style w:type="paragraph" w:styleId="ListBullet4">
    <w:name w:val="List Bullet 4"/>
    <w:basedOn w:val="Normal"/>
    <w:rsid w:val="00091FA6"/>
    <w:pPr>
      <w:ind w:left="1560" w:hanging="709"/>
    </w:pPr>
  </w:style>
  <w:style w:type="paragraph" w:styleId="ListBullet5">
    <w:name w:val="List Bullet 5"/>
    <w:basedOn w:val="Normal"/>
    <w:rsid w:val="00091FA6"/>
    <w:pPr>
      <w:ind w:left="1843" w:hanging="709"/>
    </w:pPr>
  </w:style>
  <w:style w:type="paragraph" w:styleId="ListContinue">
    <w:name w:val="List Continue"/>
    <w:basedOn w:val="Normal"/>
    <w:rsid w:val="00091FA6"/>
    <w:pPr>
      <w:spacing w:after="120"/>
      <w:ind w:left="284"/>
    </w:pPr>
  </w:style>
  <w:style w:type="paragraph" w:styleId="ListContinue2">
    <w:name w:val="List Continue 2"/>
    <w:basedOn w:val="Normal"/>
    <w:rsid w:val="00091FA6"/>
    <w:pPr>
      <w:spacing w:after="120"/>
      <w:ind w:left="566"/>
    </w:pPr>
  </w:style>
  <w:style w:type="paragraph" w:styleId="ListNumber">
    <w:name w:val="List Number"/>
    <w:basedOn w:val="Normal"/>
    <w:rsid w:val="00091FA6"/>
    <w:pPr>
      <w:ind w:left="709" w:hanging="709"/>
    </w:pPr>
  </w:style>
  <w:style w:type="paragraph" w:styleId="ListNumber2">
    <w:name w:val="List Number 2"/>
    <w:basedOn w:val="Normal"/>
    <w:rsid w:val="00091FA6"/>
    <w:pPr>
      <w:ind w:left="993" w:hanging="709"/>
    </w:pPr>
  </w:style>
  <w:style w:type="paragraph" w:styleId="ListNumber3">
    <w:name w:val="List Number 3"/>
    <w:basedOn w:val="Normal"/>
    <w:rsid w:val="00091FA6"/>
    <w:pPr>
      <w:ind w:left="1276" w:hanging="709"/>
    </w:pPr>
  </w:style>
  <w:style w:type="paragraph" w:styleId="ListNumber4">
    <w:name w:val="List Number 4"/>
    <w:basedOn w:val="Normal"/>
    <w:rsid w:val="00091FA6"/>
    <w:pPr>
      <w:ind w:left="1560" w:hanging="709"/>
    </w:pPr>
  </w:style>
  <w:style w:type="paragraph" w:styleId="ListNumber5">
    <w:name w:val="List Number 5"/>
    <w:basedOn w:val="Normal"/>
    <w:rsid w:val="00091FA6"/>
    <w:pPr>
      <w:ind w:left="1843" w:hanging="709"/>
    </w:pPr>
  </w:style>
  <w:style w:type="paragraph" w:customStyle="1" w:styleId="SchTitle">
    <w:name w:val="Sch Title"/>
    <w:next w:val="STBody"/>
    <w:rsid w:val="00091FA6"/>
    <w:pPr>
      <w:keepNext/>
      <w:widowControl w:val="0"/>
      <w:spacing w:before="200" w:after="60"/>
      <w:jc w:val="center"/>
    </w:pPr>
    <w:rPr>
      <w:rFonts w:ascii="Arial" w:hAnsi="Arial"/>
    </w:rPr>
  </w:style>
  <w:style w:type="paragraph" w:customStyle="1" w:styleId="STBody">
    <w:name w:val="STBody"/>
    <w:basedOn w:val="Normal"/>
    <w:rsid w:val="00091FA6"/>
    <w:pPr>
      <w:keepNext/>
      <w:jc w:val="center"/>
    </w:pPr>
  </w:style>
  <w:style w:type="paragraph" w:customStyle="1" w:styleId="SchedClauses">
    <w:name w:val="Sched Clauses"/>
    <w:basedOn w:val="Normal"/>
    <w:rsid w:val="00091FA6"/>
    <w:pPr>
      <w:spacing w:before="200" w:after="60"/>
    </w:pPr>
  </w:style>
  <w:style w:type="paragraph" w:styleId="BlockText">
    <w:name w:val="Block Text"/>
    <w:basedOn w:val="Normal"/>
    <w:rsid w:val="00091FA6"/>
    <w:pPr>
      <w:spacing w:after="120"/>
      <w:ind w:left="1418" w:right="1418"/>
    </w:pPr>
  </w:style>
  <w:style w:type="character" w:styleId="Strong">
    <w:name w:val="Strong"/>
    <w:qFormat/>
    <w:rsid w:val="007324AA"/>
    <w:rPr>
      <w:b/>
      <w:bCs/>
    </w:rPr>
  </w:style>
  <w:style w:type="character" w:customStyle="1" w:styleId="Body1Char">
    <w:name w:val="Body1 Char"/>
    <w:link w:val="Body1"/>
    <w:rsid w:val="007324AA"/>
    <w:rPr>
      <w:sz w:val="23"/>
      <w:lang w:eastAsia="en-US"/>
    </w:rPr>
  </w:style>
  <w:style w:type="paragraph" w:customStyle="1" w:styleId="Body">
    <w:name w:val="Body"/>
    <w:basedOn w:val="Normal"/>
    <w:link w:val="BodyChar"/>
    <w:qFormat/>
    <w:rsid w:val="007324AA"/>
    <w:pPr>
      <w:adjustRightInd w:val="0"/>
      <w:spacing w:after="240" w:line="276" w:lineRule="auto"/>
    </w:pPr>
    <w:rPr>
      <w:rFonts w:ascii="Arial" w:eastAsia="Arial" w:hAnsi="Arial" w:cs="Arial"/>
      <w:sz w:val="21"/>
      <w:szCs w:val="21"/>
      <w:lang w:eastAsia="en-GB"/>
    </w:rPr>
  </w:style>
  <w:style w:type="character" w:customStyle="1" w:styleId="BodyChar">
    <w:name w:val="Body Char"/>
    <w:link w:val="Body"/>
    <w:rsid w:val="007324AA"/>
    <w:rPr>
      <w:rFonts w:ascii="Arial" w:eastAsia="Arial" w:hAnsi="Arial" w:cs="Arial"/>
      <w:sz w:val="21"/>
      <w:szCs w:val="21"/>
    </w:rPr>
  </w:style>
  <w:style w:type="character" w:customStyle="1" w:styleId="BodyTextChar">
    <w:name w:val="Body Text Char"/>
    <w:link w:val="BodyText"/>
    <w:rsid w:val="007324AA"/>
    <w:rPr>
      <w:rFonts w:ascii="Arial" w:hAnsi="Arial"/>
    </w:rPr>
  </w:style>
  <w:style w:type="character" w:customStyle="1" w:styleId="DeltaViewDeletion">
    <w:name w:val="DeltaView Deletion"/>
    <w:rsid w:val="007324AA"/>
    <w:rPr>
      <w:strike/>
      <w:color w:val="FF0000"/>
      <w:spacing w:val="0"/>
    </w:rPr>
  </w:style>
  <w:style w:type="character" w:styleId="CommentReference">
    <w:name w:val="annotation reference"/>
    <w:basedOn w:val="DefaultParagraphFont"/>
    <w:rsid w:val="00F25B7B"/>
    <w:rPr>
      <w:sz w:val="16"/>
      <w:szCs w:val="16"/>
    </w:rPr>
  </w:style>
  <w:style w:type="paragraph" w:styleId="CommentText">
    <w:name w:val="annotation text"/>
    <w:basedOn w:val="Normal"/>
    <w:link w:val="CommentTextChar"/>
    <w:rsid w:val="00F25B7B"/>
    <w:rPr>
      <w:sz w:val="20"/>
    </w:rPr>
  </w:style>
  <w:style w:type="character" w:customStyle="1" w:styleId="CommentTextChar">
    <w:name w:val="Comment Text Char"/>
    <w:basedOn w:val="DefaultParagraphFont"/>
    <w:link w:val="CommentText"/>
    <w:rsid w:val="00F25B7B"/>
    <w:rPr>
      <w:lang w:eastAsia="en-US"/>
    </w:rPr>
  </w:style>
  <w:style w:type="paragraph" w:styleId="CommentSubject">
    <w:name w:val="annotation subject"/>
    <w:basedOn w:val="CommentText"/>
    <w:next w:val="CommentText"/>
    <w:link w:val="CommentSubjectChar"/>
    <w:rsid w:val="00F25B7B"/>
    <w:rPr>
      <w:b/>
      <w:bCs/>
    </w:rPr>
  </w:style>
  <w:style w:type="character" w:customStyle="1" w:styleId="CommentSubjectChar">
    <w:name w:val="Comment Subject Char"/>
    <w:basedOn w:val="CommentTextChar"/>
    <w:link w:val="CommentSubject"/>
    <w:rsid w:val="00F25B7B"/>
    <w:rPr>
      <w:b/>
      <w:bCs/>
      <w:lang w:eastAsia="en-US"/>
    </w:rPr>
  </w:style>
  <w:style w:type="paragraph" w:styleId="BalloonText">
    <w:name w:val="Balloon Text"/>
    <w:basedOn w:val="Normal"/>
    <w:link w:val="BalloonTextChar"/>
    <w:rsid w:val="00F25B7B"/>
    <w:rPr>
      <w:rFonts w:ascii="Tahoma" w:hAnsi="Tahoma" w:cs="Tahoma"/>
      <w:sz w:val="16"/>
      <w:szCs w:val="16"/>
    </w:rPr>
  </w:style>
  <w:style w:type="character" w:customStyle="1" w:styleId="BalloonTextChar">
    <w:name w:val="Balloon Text Char"/>
    <w:basedOn w:val="DefaultParagraphFont"/>
    <w:link w:val="BalloonText"/>
    <w:rsid w:val="00F25B7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F9E700AA</Template>
  <TotalTime>42</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Taylor</dc:creator>
  <cp:keywords/>
  <dc:description/>
  <cp:lastModifiedBy>Jacek Wojcik</cp:lastModifiedBy>
  <cp:revision>11</cp:revision>
  <cp:lastPrinted>2018-09-19T08:23:00Z</cp:lastPrinted>
  <dcterms:created xsi:type="dcterms:W3CDTF">2018-02-06T20:28:00Z</dcterms:created>
  <dcterms:modified xsi:type="dcterms:W3CDTF">2018-09-21T17:06:00Z</dcterms:modified>
</cp:coreProperties>
</file>