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24" w:name="gegevens---verzamelen"/>
    <w:p>
      <w:pPr>
        <w:pStyle w:val="Heading2"/>
      </w:pPr>
      <w:r>
        <w:t xml:space="preserve">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23" w:name="fig-gegevensbronnen"/>
          <w:p>
            <w:pPr>
              <w:pStyle w:val="Compact"/>
              <w:jc w:val="left"/>
            </w:pPr>
            <w:r>
              <w:drawing>
                <wp:inline>
                  <wp:extent cx="5334000" cy="2098360"/>
                  <wp:effectExtent b="0" l="0" r="0" t="0"/>
                  <wp:docPr descr="" title="" id="21" name="Picture"/>
                  <a:graphic>
                    <a:graphicData uri="http://schemas.openxmlformats.org/drawingml/2006/picture">
                      <pic:pic>
                        <pic:nvPicPr>
                          <pic:cNvPr descr="./static/21_gegevensbronnen.jpg" id="22" name="Picture"/>
                          <pic:cNvPicPr>
                            <a:picLocks noChangeArrowheads="1" noChangeAspect="1"/>
                          </pic:cNvPicPr>
                        </pic:nvPicPr>
                        <pic:blipFill>
                          <a:blip r:embed="rId20"/>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Gegevensbronnen</w:t>
            </w:r>
          </w:p>
          <w:bookmarkEnd w:id="23"/>
        </w:tc>
      </w:tr>
    </w:tbl>
    <w:p>
      <w:pPr>
        <w:pStyle w:val="Compact"/>
        <w:numPr>
          <w:ilvl w:val="0"/>
          <w:numId w:val="1001"/>
        </w:numPr>
      </w:pPr>
      <w:r>
        <w:t xml:space="preserve">SIS, het studenten informaties systeem, bevat de klassenlijst. SIS is ook het systeem waar, op het eind van het blok, de cijfers van de studenten worden ingevoerd.</w:t>
      </w:r>
    </w:p>
    <w:p>
      <w:pPr>
        <w:pStyle w:val="Compact"/>
        <w:numPr>
          <w:ilvl w:val="0"/>
          <w:numId w:val="1001"/>
        </w:numPr>
      </w:pPr>
      <w:r>
        <w:t xml:space="preserve">Skoledo is de leverancier van de e-learnings. Skoledo levert wekelijks de voortgang van de studenten aan alsook tussentijdse resultaten.</w:t>
      </w:r>
    </w:p>
    <w:p>
      <w:pPr>
        <w:pStyle w:val="Compact"/>
        <w:numPr>
          <w:ilvl w:val="0"/>
          <w:numId w:val="1001"/>
        </w:numPr>
      </w:pPr>
      <w:r>
        <w:t xml:space="preserve">Brightspace bevat de studiehandleiding en de lesstof. Brightspace is ook het systeem waar de praktijkopdrachten worden ingeleverd en beoordeeld.</w:t>
      </w:r>
    </w:p>
    <w:p>
      <w:pPr>
        <w:pStyle w:val="Compact"/>
        <w:numPr>
          <w:ilvl w:val="0"/>
          <w:numId w:val="1001"/>
        </w:numPr>
      </w:pPr>
      <w:r>
        <w:t xml:space="preserve">Testvision is het programma waarin de kennistoets wordt samengesteld en waarin de studenten de toets maken.</w:t>
      </w:r>
    </w:p>
    <w:p>
      <w:pPr>
        <w:pStyle w:val="Compact"/>
        <w:numPr>
          <w:ilvl w:val="0"/>
          <w:numId w:val="1001"/>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24"/>
    <w:bookmarkStart w:id="29" w:name="meetplan"/>
    <w:p>
      <w:pPr>
        <w:pStyle w:val="Heading2"/>
      </w:pPr>
      <w:r>
        <w:t xml:space="preserve">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28" w:name="fig-module-detail"/>
          <w:p>
            <w:pPr>
              <w:pStyle w:val="Compact"/>
              <w:jc w:val="left"/>
            </w:pPr>
            <w:r>
              <w:drawing>
                <wp:inline>
                  <wp:extent cx="5334000" cy="1893174"/>
                  <wp:effectExtent b="0" l="0" r="0" t="0"/>
                  <wp:docPr descr="" title="" id="26" name="Picture"/>
                  <a:graphic>
                    <a:graphicData uri="http://schemas.openxmlformats.org/drawingml/2006/picture">
                      <pic:pic>
                        <pic:nvPicPr>
                          <pic:cNvPr descr="./static/22_module_detail.jpg" id="27" name="Picture"/>
                          <pic:cNvPicPr>
                            <a:picLocks noChangeArrowheads="1" noChangeAspect="1"/>
                          </pic:cNvPicPr>
                        </pic:nvPicPr>
                        <pic:blipFill>
                          <a:blip r:embed="rId25"/>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2: Module detail</w:t>
            </w:r>
          </w:p>
          <w:bookmarkEnd w:id="28"/>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29"/>
    <w:bookmarkStart w:id="34" w:name="gegevens---betrouwbaarheid"/>
    <w:p>
      <w:pPr>
        <w:pStyle w:val="Heading2"/>
      </w:pPr>
      <w:r>
        <w:t xml:space="preserve">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2"/>
        </w:numPr>
      </w:pPr>
      <w:r>
        <w:t xml:space="preserve">Zijn de data oplopend</w:t>
      </w:r>
    </w:p>
    <w:p>
      <w:pPr>
        <w:pStyle w:val="Compact"/>
        <w:numPr>
          <w:ilvl w:val="0"/>
          <w:numId w:val="1002"/>
        </w:numPr>
      </w:pPr>
      <w:r>
        <w:t xml:space="preserve">Is de voortgang deze week hoger dan vorige week</w:t>
      </w:r>
    </w:p>
    <w:p>
      <w:pPr>
        <w:pStyle w:val="Compact"/>
        <w:numPr>
          <w:ilvl w:val="0"/>
          <w:numId w:val="1002"/>
        </w:numPr>
      </w:pPr>
      <w:r>
        <w:t xml:space="preserve">Zijn alle studenten begonnen met de e-learnings</w:t>
      </w:r>
    </w:p>
    <w:p>
      <w:pPr>
        <w:pStyle w:val="Compact"/>
        <w:numPr>
          <w:ilvl w:val="0"/>
          <w:numId w:val="1002"/>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33" w:name="fig-checks"/>
          <w:p>
            <w:pPr>
              <w:pStyle w:val="Compact"/>
              <w:jc w:val="left"/>
            </w:pPr>
            <w:r>
              <w:drawing>
                <wp:inline>
                  <wp:extent cx="5334000" cy="2587977"/>
                  <wp:effectExtent b="0" l="0" r="0" t="0"/>
                  <wp:docPr descr="" title="" id="31" name="Picture"/>
                  <a:graphic>
                    <a:graphicData uri="http://schemas.openxmlformats.org/drawingml/2006/picture">
                      <pic:pic>
                        <pic:nvPicPr>
                          <pic:cNvPr descr="./static/24_betrouwbaarheid.jpg" id="32" name="Picture"/>
                          <pic:cNvPicPr>
                            <a:picLocks noChangeArrowheads="1" noChangeAspect="1"/>
                          </pic:cNvPicPr>
                        </pic:nvPicPr>
                        <pic:blipFill>
                          <a:blip r:embed="rId30"/>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3: Vakdocent en student checks</w:t>
            </w:r>
          </w:p>
          <w:bookmarkEnd w:id="33"/>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34"/>
    <w:bookmarkStart w:id="35" w:name="gegevens---verwerken"/>
    <w:p>
      <w:pPr>
        <w:pStyle w:val="Heading2"/>
      </w:pPr>
      <w:r>
        <w:t xml:space="preserve">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03"/>
        </w:numPr>
      </w:pPr>
      <w:r>
        <w:t xml:space="preserve">De gegevens worden aangeleverd in Excel</w:t>
      </w:r>
    </w:p>
    <w:p>
      <w:pPr>
        <w:pStyle w:val="Compact"/>
        <w:numPr>
          <w:ilvl w:val="0"/>
          <w:numId w:val="1003"/>
        </w:numPr>
      </w:pPr>
      <w:r>
        <w:t xml:space="preserve">Excel is voor iedereen (docenten en studenten) beschikbaar</w:t>
      </w:r>
    </w:p>
    <w:p>
      <w:pPr>
        <w:pStyle w:val="Compact"/>
        <w:numPr>
          <w:ilvl w:val="0"/>
          <w:numId w:val="1003"/>
        </w:numPr>
      </w:pPr>
      <w:r>
        <w:t xml:space="preserve">Brede bekendheid met Excel onder de docenten</w:t>
      </w:r>
    </w:p>
    <w:p>
      <w:pPr>
        <w:pStyle w:val="Compact"/>
        <w:numPr>
          <w:ilvl w:val="0"/>
          <w:numId w:val="1003"/>
        </w:numPr>
      </w:pPr>
      <w:r>
        <w:t xml:space="preserve">Voldoende statistische functies om een analyse te kunnen doen</w:t>
      </w:r>
    </w:p>
    <w:p>
      <w:pPr>
        <w:pStyle w:val="Compact"/>
        <w:numPr>
          <w:ilvl w:val="0"/>
          <w:numId w:val="1003"/>
        </w:numPr>
      </w:pPr>
      <w:r>
        <w:t xml:space="preserve">Voldoende grafische mogelijkheden om een control-chart te kunnen maken</w:t>
      </w:r>
    </w:p>
    <w:p>
      <w:pPr>
        <w:pStyle w:val="Compact"/>
        <w:numPr>
          <w:ilvl w:val="0"/>
          <w:numId w:val="1003"/>
        </w:numPr>
      </w:pPr>
      <w:r>
        <w:t xml:space="preserve">En, last but not least, goede kennis van Excel bij de auteur van dit rapport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jpg" /><Relationship Type="http://schemas.openxmlformats.org/officeDocument/2006/relationships/image" Id="rId30" Target="media/rId3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Measure-fase</dc:title>
  <dc:creator/>
  <cp:keywords/>
  <dcterms:created xsi:type="dcterms:W3CDTF">2024-08-22T07:51:23Z</dcterms:created>
  <dcterms:modified xsi:type="dcterms:W3CDTF">2024-08-22T07:51:23Z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crossref">
    <vt:lpwstr>False</vt:lpwstr>
  </property>
  <property fmtid="{D5CDD505-2E9C-101B-9397-08002B2CF9AE}" pid="8" name="fig-prefix">
    <vt:lpwstr>figure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ppress-bibliography">
    <vt:lpwstr>True</vt:lpwstr>
  </property>
  <property fmtid="{D5CDD505-2E9C-101B-9397-08002B2CF9AE}" pid="14" name="tbl-prefix">
    <vt:lpwstr>table</vt:lpwstr>
  </property>
  <property fmtid="{D5CDD505-2E9C-101B-9397-08002B2CF9AE}" pid="15" name="toc-title">
    <vt:lpwstr>Table of contents</vt:lpwstr>
  </property>
</Properties>
</file>