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kosten"/>
    <w:p>
      <w:pPr>
        <w:pStyle w:val="Heading1"/>
      </w:pPr>
      <w:r>
        <w:t xml:space="preserve">Kosten</w:t>
      </w:r>
    </w:p>
    <w:p>
      <w:pPr>
        <w:pStyle w:val="FirstParagraph"/>
      </w:pPr>
      <w:r>
        <w:t xml:space="preserve">Aanname 1: De kosten van de module zijn als volgt berekend:</w:t>
      </w:r>
    </w:p>
    <w:p>
      <w:pPr>
        <w:pStyle w:val="BodyText"/>
      </w:pPr>
      <w:r>
        <w:t xml:space="preserve">In 2022 realiseerde de HvA een omzet van €513,5 miljoen en een netto resultaat van €13,2 miljoen (bron:</w:t>
      </w:r>
      <w:hyperlink r:id="rId20">
        <w:r>
          <w:rPr>
            <w:rStyle w:val="Hyperlink"/>
          </w:rPr>
          <w:t xml:space="preserve">jaarverslag 2022</w:t>
        </w:r>
      </w:hyperlink>
      <w:r>
        <w:t xml:space="preserve">). De kostenbasis van de HvA is daarmee €500,3 miljoen. In 2022 studeerden er 46.928 studenten aan de HvA. De kosten per student zijn daarmee €10.661 per jaar. Een regulier studiejaar bestaat uit 4 blokken. De koster per student zijn €2.665 per blok.</w:t>
      </w:r>
    </w:p>
    <w:p>
      <w:pPr>
        <w:pStyle w:val="BodyText"/>
      </w:pPr>
      <w:r>
        <w:t xml:space="preserve">Aanname 2: Een klas bestaat uit 25 studenten. De kosten van een klas/blok zijn daarmee 25*€2.665 = €66.625</w:t>
      </w:r>
    </w:p>
    <w:p>
      <w:pPr>
        <w:pStyle w:val="BodyText"/>
      </w:pPr>
      <w:r>
        <w:t xml:space="preserve">Aanname 3: aangenomen is dat 45% van de kosten van 1 blok/klas toe te wijzen zijn aan het vak Operations. Deze aanname is gebasseerd op het feit dat Operations 45% meetelt in het eindcijfer. De 45% bestaat uit 30% beroepsproduct en 15% kennistoets. 45% van €66.625 is €29.881, afgerond €30.000</w:t>
      </w:r>
    </w:p>
    <w:p>
      <w:pPr>
        <w:pStyle w:val="CaptionedFigure"/>
      </w:pPr>
      <w:r>
        <w:drawing>
          <wp:inline>
            <wp:extent cx="5334000" cy="1842976"/>
            <wp:effectExtent b="0" l="0" r="0" t="0"/>
            <wp:docPr descr="Beoordeling Module" title="" id="22" name="Picture"/>
            <a:graphic>
              <a:graphicData uri="http://schemas.openxmlformats.org/drawingml/2006/picture">
                <pic:pic>
                  <pic:nvPicPr>
                    <pic:cNvPr descr="./static/beoordeling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Beoordeling Module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s://www.hva.nl/over-de-hva/organisatie/plannen-feiten-en-verslagen/feiten-en-cijfers/financien/financie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hva.nl/over-de-hva/organisatie/plannen-feiten-en-verslagen/feiten-en-cijfers/financien/financi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2024-08-22T07:54:30Z</dcterms:created>
  <dcterms:modified xsi:type="dcterms:W3CDTF">2024-08-22T07:54:30Z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ppress-bibliography">
    <vt:lpwstr>True</vt:lpwstr>
  </property>
  <property fmtid="{D5CDD505-2E9C-101B-9397-08002B2CF9AE}" pid="14" name="tbl-prefix">
    <vt:lpwstr>table</vt:lpwstr>
  </property>
  <property fmtid="{D5CDD505-2E9C-101B-9397-08002B2CF9AE}" pid="15" name="toc-title">
    <vt:lpwstr>Table of contents</vt:lpwstr>
  </property>
</Properties>
</file>