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jpg" ContentType="image/jpeg"/>
  <Override PartName="/word/media/rId57.jpg" ContentType="image/jpeg"/>
  <Override PartName="/word/media/rId47.jpg" ContentType="image/jpeg"/>
  <Override PartName="/word/media/rId52.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p>
    <w:p>
      <w:pPr>
        <w:pStyle w:val="Compact"/>
        <w:numPr>
          <w:ilvl w:val="0"/>
          <w:numId w:val="1001"/>
        </w:numPr>
      </w:pPr>
      <w:hyperlink r:id="rId20">
        <w:r>
          <w:rPr>
            <w:rStyle w:val="Hyperlink"/>
          </w:rPr>
          <w:t xml:space="preserve">pdf document</w:t>
        </w:r>
      </w:hyperlink>
      <w:r>
        <w:t xml:space="preserve"> </w:t>
      </w:r>
      <w:r>
        <w:t xml:space="preserve">en als</w:t>
      </w:r>
    </w:p>
    <w:p>
      <w:pPr>
        <w:pStyle w:val="Compact"/>
        <w:numPr>
          <w:ilvl w:val="0"/>
          <w:numId w:val="1001"/>
        </w:numPr>
      </w:pPr>
      <w:hyperlink r:id="rId21">
        <w:r>
          <w:rPr>
            <w:rStyle w:val="Hyperlink"/>
          </w:rPr>
          <w:t xml:space="preserve">docx document</w:t>
        </w:r>
      </w:hyperlink>
      <w:r>
        <w:t xml:space="preserve">.</w:t>
      </w:r>
    </w:p>
    <w:p>
      <w:pPr>
        <w:pStyle w:val="FirstParagraph"/>
      </w:pPr>
      <w:r>
        <w:t xml:space="preserve">Ten behoeve van dit rapport worden de volgende definities gehanteerd:</w:t>
      </w:r>
    </w:p>
    <w:p>
      <w:pPr>
        <w:pStyle w:val="Compact"/>
        <w:numPr>
          <w:ilvl w:val="0"/>
          <w:numId w:val="1002"/>
        </w:numPr>
      </w:pPr>
      <w:r>
        <w:t xml:space="preserve">Cyclustijd: de tijd tussen twee opeenvolgende modules, is 10 weken.</w:t>
      </w:r>
    </w:p>
    <w:p>
      <w:pPr>
        <w:pStyle w:val="Compact"/>
        <w:numPr>
          <w:ilvl w:val="0"/>
          <w:numId w:val="1002"/>
        </w:numPr>
      </w:pPr>
      <w:r>
        <w:t xml:space="preserve">Doorlooptijd: de totale tijd om het vak af te ronden is 9 weken, gerekend vanaf de start van het blok.</w:t>
      </w:r>
    </w:p>
    <w:p>
      <w:pPr>
        <w:pStyle w:val="Compact"/>
        <w:numPr>
          <w:ilvl w:val="0"/>
          <w:numId w:val="1002"/>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3"/>
        </w:numPr>
      </w:pPr>
      <w:r>
        <w:t xml:space="preserve">Unit of analysis.</w:t>
      </w:r>
    </w:p>
    <w:p>
      <w:pPr>
        <w:pStyle w:val="Compact"/>
        <w:numPr>
          <w:ilvl w:val="0"/>
          <w:numId w:val="1003"/>
        </w:numPr>
      </w:pPr>
      <w:r>
        <w:t xml:space="preserve">Populatie</w:t>
      </w:r>
    </w:p>
    <w:p>
      <w:pPr>
        <w:pStyle w:val="Compact"/>
        <w:numPr>
          <w:ilvl w:val="0"/>
          <w:numId w:val="1003"/>
        </w:numPr>
      </w:pPr>
      <w:r>
        <w:t xml:space="preserve">Steekproefomvang</w:t>
      </w:r>
    </w:p>
    <w:p>
      <w:pPr>
        <w:pStyle w:val="Compact"/>
        <w:numPr>
          <w:ilvl w:val="0"/>
          <w:numId w:val="1003"/>
        </w:numPr>
      </w:pPr>
      <w:r>
        <w:t xml:space="preserve">Representatief</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Charter{#tbl-projectcharter}</w:t>
      </w:r>
    </w:p>
    <w:tbl>
      <w:tblPr>
        <w:tblStyle w:val="Table"/>
        <w:tblW w:type="pct" w:w="5000"/>
        <w:tblLayout w:type="fixed"/>
        <w:tblLook w:firstRow="1" w:lastRow="0" w:firstColumn="0" w:lastColumn="0" w:noHBand="0" w:noVBand="0" w:val="0020"/>
        <w:tblCaption w:val="Project Charter{#tbl-project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4"/>
        </w:numPr>
      </w:pPr>
      <w:r>
        <w:t xml:space="preserve">Het coördinatieteam zorgt ondermeer voor het samenstellen van het rooster.</w:t>
      </w:r>
    </w:p>
    <w:p>
      <w:pPr>
        <w:pStyle w:val="Compact"/>
        <w:numPr>
          <w:ilvl w:val="0"/>
          <w:numId w:val="1004"/>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4"/>
        </w:numPr>
      </w:pPr>
      <w:r>
        <w:t xml:space="preserve">De externe dienstverlener is in dit geval Skoledo waar de studenten de e-learnings volgen.</w:t>
      </w:r>
    </w:p>
    <w:p>
      <w:pPr>
        <w:pStyle w:val="Compact"/>
        <w:numPr>
          <w:ilvl w:val="0"/>
          <w:numId w:val="1004"/>
        </w:numPr>
      </w:pPr>
      <w:r>
        <w:t xml:space="preserve">Het examenburo verzorgt de logistiek rondom de afname van examens.</w:t>
      </w:r>
    </w:p>
    <w:p>
      <w:pPr>
        <w:pStyle w:val="Compact"/>
        <w:numPr>
          <w:ilvl w:val="0"/>
          <w:numId w:val="1004"/>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5"/>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5"/>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5"/>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6"/>
        </w:numPr>
      </w:pPr>
      <w:r>
        <w:t xml:space="preserve">de ideale doorlooptijd van de e-learnings is</w:t>
      </w:r>
    </w:p>
    <w:p>
      <w:pPr>
        <w:pStyle w:val="Compact"/>
        <w:numPr>
          <w:ilvl w:val="0"/>
          <w:numId w:val="1006"/>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7"/>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7"/>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63"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2002252"/>
                  <wp:effectExtent b="0" l="0" r="0" t="0"/>
                  <wp:docPr descr="" title="" id="48" name="Picture"/>
                  <a:graphic>
                    <a:graphicData uri="http://schemas.openxmlformats.org/drawingml/2006/picture">
                      <pic:pic>
                        <pic:nvPicPr>
                          <pic:cNvPr descr="./static/gegevensbronnen2.jpg" id="49" name="Picture"/>
                          <pic:cNvPicPr>
                            <a:picLocks noChangeArrowheads="1" noChangeAspect="1"/>
                          </pic:cNvPicPr>
                        </pic:nvPicPr>
                        <pic:blipFill>
                          <a:blip r:embed="rId47"/>
                          <a:stretch>
                            <a:fillRect/>
                          </a:stretch>
                        </pic:blipFill>
                        <pic:spPr bwMode="auto">
                          <a:xfrm>
                            <a:off x="0" y="0"/>
                            <a:ext cx="5334000" cy="2002252"/>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8"/>
        </w:numPr>
      </w:pPr>
      <w:r>
        <w:t xml:space="preserve">SIS, het studenten informaties systeem, bevat de klassenlijst. SIS is ook het systeem waar, op het eind van het blok, de cijfers van de studenten worden ingevoerd.</w:t>
      </w:r>
    </w:p>
    <w:p>
      <w:pPr>
        <w:pStyle w:val="Compact"/>
        <w:numPr>
          <w:ilvl w:val="0"/>
          <w:numId w:val="1008"/>
        </w:numPr>
      </w:pPr>
      <w:r>
        <w:t xml:space="preserve">Skoledo is de leverancier van de e-learnings. Skoledo levert wekelijks de voortgang van de studenten aan alsook tussentijdse resultaten.</w:t>
      </w:r>
    </w:p>
    <w:p>
      <w:pPr>
        <w:pStyle w:val="Compact"/>
        <w:numPr>
          <w:ilvl w:val="0"/>
          <w:numId w:val="1008"/>
        </w:numPr>
      </w:pPr>
      <w:r>
        <w:t xml:space="preserve">Brightspace bevat de studiehandleiding en de lesstof. Brightspace is ook het systeem waar de praktijkopdrachten worden ingeleverd en beoordeeld.</w:t>
      </w:r>
    </w:p>
    <w:p>
      <w:pPr>
        <w:pStyle w:val="Compact"/>
        <w:numPr>
          <w:ilvl w:val="0"/>
          <w:numId w:val="1008"/>
        </w:numPr>
      </w:pPr>
      <w:r>
        <w:t xml:space="preserve">Testvision is het programma waarin de kennistoets wordt samengesteld en waarin de studenten de toets maken.</w:t>
      </w:r>
    </w:p>
    <w:p>
      <w:pPr>
        <w:pStyle w:val="Compact"/>
        <w:numPr>
          <w:ilvl w:val="0"/>
          <w:numId w:val="1008"/>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1"/>
    <w:bookmarkStart w:id="56"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5" w:name="fig-module-detail"/>
          <w:p>
            <w:pPr>
              <w:pStyle w:val="Compact"/>
              <w:jc w:val="left"/>
            </w:pPr>
            <w:r>
              <w:drawing>
                <wp:inline>
                  <wp:extent cx="5334000" cy="1958050"/>
                  <wp:effectExtent b="0" l="0" r="0" t="0"/>
                  <wp:docPr descr="" title="" id="53" name="Picture"/>
                  <a:graphic>
                    <a:graphicData uri="http://schemas.openxmlformats.org/drawingml/2006/picture">
                      <pic:pic>
                        <pic:nvPicPr>
                          <pic:cNvPr descr="./static/module_detail.jpg" id="54" name="Picture"/>
                          <pic:cNvPicPr>
                            <a:picLocks noChangeArrowheads="1" noChangeAspect="1"/>
                          </pic:cNvPicPr>
                        </pic:nvPicPr>
                        <pic:blipFill>
                          <a:blip r:embed="rId52"/>
                          <a:stretch>
                            <a:fillRect/>
                          </a:stretch>
                        </pic:blipFill>
                        <pic:spPr bwMode="auto">
                          <a:xfrm>
                            <a:off x="0" y="0"/>
                            <a:ext cx="5334000" cy="1958050"/>
                          </a:xfrm>
                          <a:prstGeom prst="rect">
                            <a:avLst/>
                          </a:prstGeom>
                          <a:noFill/>
                          <a:ln w="9525">
                            <a:noFill/>
                            <a:headEnd/>
                            <a:tailEnd/>
                          </a:ln>
                        </pic:spPr>
                      </pic:pic>
                    </a:graphicData>
                  </a:graphic>
                </wp:inline>
              </w:drawing>
            </w:r>
          </w:p>
          <w:p>
            <w:pPr>
              <w:jc w:val="left"/>
            </w:pPr>
            <w:pPr>
              <w:jc w:val="start"/>
              <w:spacing w:before="200"/>
              <w:pStyle w:val="ImageCaption"/>
            </w:pPr>
            <w:r>
              <w:t xml:space="preserve">Figure 6: Module detail</w:t>
            </w:r>
          </w:p>
          <w:bookmarkEnd w:id="55"/>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6"/>
    <w:bookmarkStart w:id="61" w:name="gegevens---betrouwbaarheid"/>
    <w:p>
      <w:pPr>
        <w:pStyle w:val="Heading2"/>
      </w:pPr>
      <w:r>
        <w:rPr>
          <w:rStyle w:val="SectionNumber"/>
        </w:rPr>
        <w:t xml:space="preserve">2.3</w:t>
      </w:r>
      <w:r>
        <w:tab/>
      </w:r>
      <w:r>
        <w:t xml:space="preserve">2.3 Gegevens - betrouwbaarheid</w:t>
      </w:r>
    </w:p>
    <w:p>
      <w:pPr>
        <w:pStyle w:val="FirstParagraph"/>
      </w:pPr>
      <w:r>
        <w:t xml:space="preserve">De gegevens v.w.b. de voortgang van de e-learnings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9"/>
        </w:numPr>
      </w:pPr>
      <w:r>
        <w:t xml:space="preserve">Zijn de data oplopend</w:t>
      </w:r>
    </w:p>
    <w:p>
      <w:pPr>
        <w:pStyle w:val="Compact"/>
        <w:numPr>
          <w:ilvl w:val="0"/>
          <w:numId w:val="1009"/>
        </w:numPr>
      </w:pPr>
      <w:r>
        <w:t xml:space="preserve">Is de voortgang deze week hoger dan vorige week</w:t>
      </w:r>
    </w:p>
    <w:p>
      <w:pPr>
        <w:pStyle w:val="Compact"/>
        <w:numPr>
          <w:ilvl w:val="0"/>
          <w:numId w:val="1009"/>
        </w:numPr>
      </w:pPr>
      <w:r>
        <w:t xml:space="preserve">Zijn alle studenten begonnen met de e-learnings</w:t>
      </w:r>
    </w:p>
    <w:p>
      <w:pPr>
        <w:pStyle w:val="Compact"/>
        <w:numPr>
          <w:ilvl w:val="0"/>
          <w:numId w:val="1009"/>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0" w:name="fig-checks"/>
          <w:p>
            <w:pPr>
              <w:pStyle w:val="Compact"/>
              <w:jc w:val="left"/>
            </w:pPr>
            <w:r>
              <w:drawing>
                <wp:inline>
                  <wp:extent cx="5334000" cy="2587977"/>
                  <wp:effectExtent b="0" l="0" r="0" t="0"/>
                  <wp:docPr descr="" title="" id="58" name="Picture"/>
                  <a:graphic>
                    <a:graphicData uri="http://schemas.openxmlformats.org/drawingml/2006/picture">
                      <pic:pic>
                        <pic:nvPicPr>
                          <pic:cNvPr descr="./static/betrouwbaarheid.jpg" id="59" name="Picture"/>
                          <pic:cNvPicPr>
                            <a:picLocks noChangeArrowheads="1" noChangeAspect="1"/>
                          </pic:cNvPicPr>
                        </pic:nvPicPr>
                        <pic:blipFill>
                          <a:blip r:embed="rId57"/>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7: Vakdocent en student checks</w:t>
            </w:r>
          </w:p>
          <w:bookmarkEnd w:id="60"/>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1"/>
    <w:bookmarkStart w:id="62"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10"/>
        </w:numPr>
      </w:pPr>
      <w:r>
        <w:t xml:space="preserve">De gegevens worden aangeleverd in Excel</w:t>
      </w:r>
    </w:p>
    <w:p>
      <w:pPr>
        <w:pStyle w:val="Compact"/>
        <w:numPr>
          <w:ilvl w:val="0"/>
          <w:numId w:val="1010"/>
        </w:numPr>
      </w:pPr>
      <w:r>
        <w:t xml:space="preserve">Excel is voor iedereen (docenten en studenten) beschikbaar</w:t>
      </w:r>
    </w:p>
    <w:p>
      <w:pPr>
        <w:pStyle w:val="Compact"/>
        <w:numPr>
          <w:ilvl w:val="0"/>
          <w:numId w:val="1010"/>
        </w:numPr>
      </w:pPr>
      <w:r>
        <w:t xml:space="preserve">Brede bekendheid met Excel onder de docenten</w:t>
      </w:r>
    </w:p>
    <w:p>
      <w:pPr>
        <w:pStyle w:val="Compact"/>
        <w:numPr>
          <w:ilvl w:val="0"/>
          <w:numId w:val="1010"/>
        </w:numPr>
      </w:pPr>
      <w:r>
        <w:t xml:space="preserve">Voldoende statistische functies om een analyse te kunnen doen</w:t>
      </w:r>
    </w:p>
    <w:p>
      <w:pPr>
        <w:pStyle w:val="Compact"/>
        <w:numPr>
          <w:ilvl w:val="0"/>
          <w:numId w:val="1010"/>
        </w:numPr>
      </w:pPr>
      <w:r>
        <w:t xml:space="preserve">Voldoende grafische mogelijkheden om een control-chart te kunnen maken</w:t>
      </w:r>
    </w:p>
    <w:p>
      <w:pPr>
        <w:pStyle w:val="Compact"/>
        <w:numPr>
          <w:ilvl w:val="0"/>
          <w:numId w:val="1010"/>
        </w:numPr>
      </w:pPr>
      <w:r>
        <w:t xml:space="preserve">En, last but not least, goede kennis van Excel bij de auteur van dit rapport</w:t>
      </w:r>
    </w:p>
    <w:p>
      <w:pPr>
        <w:pStyle w:val="FirstParagraph"/>
      </w:pPr>
      <w:r>
        <w:t xml:space="preserve">Een voorbeeld van een geanonimisseerd gegevensbestand is opgenomen als bijlage C.</w:t>
      </w:r>
    </w:p>
    <w:bookmarkEnd w:id="62"/>
    <w:bookmarkEnd w:id="63"/>
    <w:bookmarkStart w:id="68" w:name="analyse-fase"/>
    <w:p>
      <w:pPr>
        <w:pStyle w:val="Heading1"/>
      </w:pPr>
      <w:r>
        <w:rPr>
          <w:rStyle w:val="SectionNumber"/>
        </w:rPr>
        <w:t xml:space="preserve">3</w:t>
      </w:r>
      <w:r>
        <w:tab/>
      </w:r>
      <w:r>
        <w:t xml:space="preserve">3. Analyse-fase</w:t>
      </w:r>
    </w:p>
    <w:p>
      <w:pPr>
        <w:pStyle w:val="FirstParagraph"/>
      </w:pPr>
      <w:r>
        <w:t xml:space="preserve">aan bod komen:</w:t>
      </w:r>
    </w:p>
    <w:bookmarkStart w:id="64"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4"/>
    <w:bookmarkStart w:id="65" w:name="prestaties-van-het-proces"/>
    <w:p>
      <w:pPr>
        <w:pStyle w:val="Heading2"/>
      </w:pPr>
      <w:r>
        <w:rPr>
          <w:rStyle w:val="SectionNumber"/>
        </w:rPr>
        <w:t xml:space="preserve">3.2</w:t>
      </w:r>
      <w:r>
        <w:tab/>
      </w:r>
      <w:r>
        <w:t xml:space="preserve">3.2 Prestaties van het proces</w:t>
      </w:r>
    </w:p>
    <w:bookmarkEnd w:id="65"/>
    <w:bookmarkStart w:id="66"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6"/>
    <w:bookmarkStart w:id="67" w:name="meeste-impact"/>
    <w:p>
      <w:pPr>
        <w:pStyle w:val="Heading2"/>
      </w:pPr>
      <w:r>
        <w:rPr>
          <w:rStyle w:val="SectionNumber"/>
        </w:rPr>
        <w:t xml:space="preserve">3.4</w:t>
      </w:r>
      <w:r>
        <w:tab/>
      </w:r>
      <w:r>
        <w:t xml:space="preserve">3.4 Meeste Impact</w:t>
      </w:r>
    </w:p>
    <w:p>
      <w:pPr>
        <w:pStyle w:val="Compact"/>
        <w:numPr>
          <w:ilvl w:val="0"/>
          <w:numId w:val="1011"/>
        </w:numPr>
      </w:pPr>
      <w:r>
        <w:t xml:space="preserve">aanwezigheid</w:t>
      </w:r>
    </w:p>
    <w:p>
      <w:pPr>
        <w:pStyle w:val="Compact"/>
        <w:numPr>
          <w:ilvl w:val="0"/>
          <w:numId w:val="1011"/>
        </w:numPr>
      </w:pPr>
      <w:r>
        <w:t xml:space="preserve">e-learning op tijd maken</w:t>
      </w:r>
    </w:p>
    <w:p>
      <w:pPr>
        <w:pStyle w:val="Compact"/>
        <w:numPr>
          <w:ilvl w:val="0"/>
          <w:numId w:val="1011"/>
        </w:numPr>
      </w:pPr>
      <w:r>
        <w:t xml:space="preserve">groepsgenoten</w:t>
      </w:r>
    </w:p>
    <w:p>
      <w:pPr>
        <w:pStyle w:val="Compact"/>
        <w:numPr>
          <w:ilvl w:val="0"/>
          <w:numId w:val="1011"/>
        </w:numPr>
      </w:pPr>
      <w:r>
        <w:t xml:space="preserve">vakdocent</w:t>
      </w:r>
    </w:p>
    <w:p>
      <w:pPr>
        <w:pStyle w:val="Compact"/>
        <w:numPr>
          <w:ilvl w:val="0"/>
          <w:numId w:val="1011"/>
        </w:numPr>
      </w:pPr>
      <w:r>
        <w:t xml:space="preserve">procesdocent</w:t>
      </w:r>
    </w:p>
    <w:bookmarkEnd w:id="67"/>
    <w:bookmarkEnd w:id="68"/>
    <w:bookmarkStart w:id="73" w:name="improve-fase"/>
    <w:p>
      <w:pPr>
        <w:pStyle w:val="Heading1"/>
      </w:pPr>
      <w:r>
        <w:rPr>
          <w:rStyle w:val="SectionNumber"/>
        </w:rPr>
        <w:t xml:space="preserve">4</w:t>
      </w:r>
      <w:r>
        <w:tab/>
      </w:r>
      <w:r>
        <w:t xml:space="preserve">4. Improve-fase</w:t>
      </w:r>
    </w:p>
    <w:bookmarkStart w:id="69" w:name="mogelijke-oplossingen"/>
    <w:p>
      <w:pPr>
        <w:pStyle w:val="Heading2"/>
      </w:pPr>
      <w:r>
        <w:rPr>
          <w:rStyle w:val="SectionNumber"/>
        </w:rPr>
        <w:t xml:space="preserve">4.1</w:t>
      </w:r>
      <w:r>
        <w:tab/>
      </w:r>
      <w:r>
        <w:t xml:space="preserve">4.1 Mogelijke oplossingen</w:t>
      </w:r>
    </w:p>
    <w:bookmarkEnd w:id="69"/>
    <w:bookmarkStart w:id="70" w:name="generatie-van-oplossingen"/>
    <w:p>
      <w:pPr>
        <w:pStyle w:val="Heading2"/>
      </w:pPr>
      <w:r>
        <w:rPr>
          <w:rStyle w:val="SectionNumber"/>
        </w:rPr>
        <w:t xml:space="preserve">4.2</w:t>
      </w:r>
      <w:r>
        <w:tab/>
      </w:r>
      <w:r>
        <w:t xml:space="preserve">4.2 Generatie van oplossingen</w:t>
      </w:r>
    </w:p>
    <w:bookmarkEnd w:id="70"/>
    <w:bookmarkStart w:id="71" w:name="korte-termijn-oplossing"/>
    <w:p>
      <w:pPr>
        <w:pStyle w:val="Heading2"/>
      </w:pPr>
      <w:r>
        <w:rPr>
          <w:rStyle w:val="SectionNumber"/>
        </w:rPr>
        <w:t xml:space="preserve">4.3</w:t>
      </w:r>
      <w:r>
        <w:tab/>
      </w:r>
      <w:r>
        <w:t xml:space="preserve">4.3 Korte termijn oplossing</w:t>
      </w:r>
    </w:p>
    <w:bookmarkEnd w:id="71"/>
    <w:bookmarkStart w:id="72" w:name="implementatieplan"/>
    <w:p>
      <w:pPr>
        <w:pStyle w:val="Heading2"/>
      </w:pPr>
      <w:r>
        <w:rPr>
          <w:rStyle w:val="SectionNumber"/>
        </w:rPr>
        <w:t xml:space="preserve">4.4</w:t>
      </w:r>
      <w:r>
        <w:tab/>
      </w:r>
      <w:r>
        <w:t xml:space="preserve">4.4 Implementatieplan</w:t>
      </w:r>
    </w:p>
    <w:bookmarkEnd w:id="72"/>
    <w:bookmarkEnd w:id="73"/>
    <w:bookmarkStart w:id="77" w:name="control-fase"/>
    <w:p>
      <w:pPr>
        <w:pStyle w:val="Heading1"/>
      </w:pPr>
      <w:r>
        <w:rPr>
          <w:rStyle w:val="SectionNumber"/>
        </w:rPr>
        <w:t xml:space="preserve">5</w:t>
      </w:r>
      <w:r>
        <w:tab/>
      </w:r>
      <w:r>
        <w:t xml:space="preserve">5. Control-fase</w:t>
      </w:r>
    </w:p>
    <w:p>
      <w:pPr>
        <w:pStyle w:val="FirstParagraph"/>
      </w:pPr>
      <w:r>
        <w:t xml:space="preserve">Inleiding</w:t>
      </w:r>
    </w:p>
    <w:bookmarkStart w:id="74"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4"/>
    <w:bookmarkStart w:id="75" w:name="control-instrument-1"/>
    <w:p>
      <w:pPr>
        <w:pStyle w:val="Heading2"/>
      </w:pPr>
      <w:r>
        <w:rPr>
          <w:rStyle w:val="SectionNumber"/>
        </w:rPr>
        <w:t xml:space="preserve">5.2</w:t>
      </w:r>
      <w:r>
        <w:tab/>
      </w:r>
      <w:r>
        <w:t xml:space="preserve">5.2 Control instrument 1</w:t>
      </w:r>
    </w:p>
    <w:bookmarkEnd w:id="75"/>
    <w:bookmarkStart w:id="76" w:name="control-instrument-2"/>
    <w:p>
      <w:pPr>
        <w:pStyle w:val="Heading2"/>
      </w:pPr>
      <w:r>
        <w:rPr>
          <w:rStyle w:val="SectionNumber"/>
        </w:rPr>
        <w:t xml:space="preserve">5.3</w:t>
      </w:r>
      <w:r>
        <w:tab/>
      </w:r>
      <w:r>
        <w:t xml:space="preserve">5.3 Control instrument 2</w:t>
      </w:r>
    </w:p>
    <w:bookmarkEnd w:id="76"/>
    <w:bookmarkEnd w:id="77"/>
    <w:bookmarkStart w:id="82"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8">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0" name="Picture"/>
            <a:graphic>
              <a:graphicData uri="http://schemas.openxmlformats.org/drawingml/2006/picture">
                <pic:pic>
                  <pic:nvPicPr>
                    <pic:cNvPr descr="./static/beoordeling.jpg" id="81" name="Picture"/>
                    <pic:cNvPicPr>
                      <a:picLocks noChangeArrowheads="1" noChangeAspect="1"/>
                    </pic:cNvPicPr>
                  </pic:nvPicPr>
                  <pic:blipFill>
                    <a:blip r:embed="rId79"/>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2"/>
    <w:bookmarkStart w:id="83"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3"/>
    <w:bookmarkStart w:id="84"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jpg" /><Relationship Type="http://schemas.openxmlformats.org/officeDocument/2006/relationships/image" Id="rId57" Target="media/rId57.jpg" /><Relationship Type="http://schemas.openxmlformats.org/officeDocument/2006/relationships/image" Id="rId47" Target="media/rId47.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2024-05-03T14:09:14Z</dcterms:created>
  <dcterms:modified xsi:type="dcterms:W3CDTF">2024-05-03T14:09:14Z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