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jpg" ContentType="image/jpeg"/>
  <Override PartName="/word/media/rId47.jpg" ContentType="image/jpeg"/>
  <Override PartName="/word/media/rId23.jpg" ContentType="image/jpeg"/>
  <Override PartName="/word/media/rId30.jpg" ContentType="image/jpeg"/>
  <Override PartName="/word/media/rId4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Behalve als html is dit rapport ook beschikbaar als</w:t>
      </w:r>
      <w:r>
        <w:t xml:space="preserve"> </w:t>
      </w:r>
      <w:hyperlink r:id="rId20">
        <w:r>
          <w:rPr>
            <w:rStyle w:val="Hyperlink"/>
          </w:rPr>
          <w:t xml:space="preserve">pdf document</w:t>
        </w:r>
      </w:hyperlink>
      <w:r>
        <w:t xml:space="preserve"> </w:t>
      </w:r>
      <w:r>
        <w:t xml:space="preserve">en als</w:t>
      </w:r>
      <w:r>
        <w:t xml:space="preserve"> </w:t>
      </w:r>
      <w:hyperlink r:id="rId21">
        <w:r>
          <w:rPr>
            <w:rStyle w:val="Hyperlink"/>
          </w:rPr>
          <w:t xml:space="preserve">docx document</w:t>
        </w:r>
      </w:hyperlink>
      <w:r>
        <w:t xml:space="preserve">.</w:t>
      </w:r>
    </w:p>
    <w:bookmarkEnd w:id="22"/>
    <w:bookmarkStart w:id="46"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7"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tbl>
      <w:tblPr>
        <w:tblStyle w:val="Table"/>
        <w:tblW w:type="pct" w:w="5000"/>
        <w:tblLayout w:type="fixed"/>
        <w:tblLook w:firstRow="0" w:lastRow="0" w:firstColumn="0" w:lastColumn="0" w:noHBand="0" w:noVBand="0" w:val="0000"/>
      </w:tblPr>
      <w:tblGrid>
        <w:gridCol w:w="7920"/>
      </w:tblGrid>
      <w:tr>
        <w:tc>
          <w:tcPr/>
          <w:bookmarkStart w:id="26" w:name="fig-module-proces"/>
          <w:p>
            <w:pPr>
              <w:pStyle w:val="Compact"/>
              <w:jc w:val="left"/>
            </w:pPr>
            <w:r>
              <w:drawing>
                <wp:inline>
                  <wp:extent cx="5334000" cy="1598443"/>
                  <wp:effectExtent b="0" l="0" r="0" t="0"/>
                  <wp:docPr descr="" title="" id="24" name="Picture"/>
                  <a:graphic>
                    <a:graphicData uri="http://schemas.openxmlformats.org/drawingml/2006/picture">
                      <pic:pic>
                        <pic:nvPicPr>
                          <pic:cNvPr descr="./static/module_generiek.jpg" id="25" name="Picture"/>
                          <pic:cNvPicPr>
                            <a:picLocks noChangeArrowheads="1" noChangeAspect="1"/>
                          </pic:cNvPicPr>
                        </pic:nvPicPr>
                        <pic:blipFill>
                          <a:blip r:embed="rId23"/>
                          <a:stretch>
                            <a:fillRect/>
                          </a:stretch>
                        </pic:blipFill>
                        <pic:spPr bwMode="auto">
                          <a:xfrm>
                            <a:off x="0" y="0"/>
                            <a:ext cx="5334000" cy="1598443"/>
                          </a:xfrm>
                          <a:prstGeom prst="rect">
                            <a:avLst/>
                          </a:prstGeom>
                          <a:noFill/>
                          <a:ln w="9525">
                            <a:noFill/>
                            <a:headEnd/>
                            <a:tailEnd/>
                          </a:ln>
                        </pic:spPr>
                      </pic:pic>
                    </a:graphicData>
                  </a:graphic>
                </wp:inline>
              </w:drawing>
            </w:r>
          </w:p>
          <w:p>
            <w:pPr>
              <w:jc w:val="left"/>
            </w:pPr>
            <w:pPr>
              <w:jc w:val="start"/>
              <w:spacing w:before="200"/>
              <w:pStyle w:val="ImageCaption"/>
            </w:pPr>
            <w:r>
              <w:t xml:space="preserve">Figure 1: Generiek Module Proces</w:t>
            </w:r>
          </w:p>
          <w:bookmarkEnd w:id="26"/>
        </w:tc>
      </w:tr>
    </w:tbl>
    <w:bookmarkEnd w:id="27"/>
    <w:bookmarkStart w:id="29"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p>
      <w:pPr>
        <w:pStyle w:val="TableCaption"/>
      </w:pPr>
      <w:r>
        <w:t xml:space="preserve">Project Charter{#tbl-projectcharter}</w:t>
      </w:r>
    </w:p>
    <w:tbl>
      <w:tblPr>
        <w:tblStyle w:val="Table"/>
        <w:tblW w:type="pct" w:w="5000"/>
        <w:tblLayout w:type="fixed"/>
        <w:tblLook w:firstRow="1" w:lastRow="0" w:firstColumn="0" w:lastColumn="0" w:noHBand="0" w:noVBand="0" w:val="0020"/>
        <w:tblCaption w:val="Project Charter{#tbl-projectcharter}"/>
      </w:tblPr>
      <w:tblGrid>
        <w:gridCol w:w="3745"/>
        <w:gridCol w:w="4174"/>
      </w:tblGrid>
      <w:tr>
        <w:trPr>
          <w:tblHeader w:val="on"/>
        </w:trPr>
        <w:tc>
          <w:tcPr/>
          <w:p>
            <w:pPr>
              <w:pStyle w:val="Compact"/>
              <w:jc w:val="left"/>
            </w:pPr>
            <w:r>
              <w:rPr>
                <w:b/>
                <w:bCs/>
              </w:rPr>
              <w:t xml:space="preserve">Business Case</w:t>
            </w:r>
          </w:p>
        </w:tc>
        <w:tc>
          <w:tcPr/>
          <w:p>
            <w:pPr>
              <w:pStyle w:val="Compact"/>
              <w:jc w:val="left"/>
            </w:pPr>
            <w:r>
              <w:rPr>
                <w:b/>
                <w:bCs/>
              </w:rPr>
              <w:t xml:space="preserve">Scope</w:t>
            </w:r>
          </w:p>
        </w:tc>
      </w:tr>
      <w:tr>
        <w:tc>
          <w:tcPr/>
          <w:p>
            <w:pPr>
              <w:pStyle w:val="Compact"/>
            </w:pPr>
          </w:p>
        </w:tc>
        <w:tc>
          <w:tcPr/>
          <w:p>
            <w:pPr>
              <w:pStyle w:val="Compact"/>
            </w:pPr>
          </w:p>
        </w:tc>
      </w:tr>
      <w:tr>
        <w:tc>
          <w:tcPr/>
          <w:p>
            <w:pPr>
              <w:pStyle w:val="Compact"/>
              <w:jc w:val="left"/>
            </w:pPr>
            <w:r>
              <w:t xml:space="preserve">Operations wordt, als vak binnen</w:t>
            </w:r>
          </w:p>
        </w:tc>
        <w:tc>
          <w:tcPr/>
          <w:p>
            <w:pPr>
              <w:pStyle w:val="Compact"/>
              <w:jc w:val="left"/>
            </w:pPr>
            <w:r>
              <w:t xml:space="preserve">Organisatie: Hogeschool van Amsterdam</w:t>
            </w:r>
          </w:p>
        </w:tc>
      </w:tr>
      <w:tr>
        <w:tc>
          <w:tcPr/>
          <w:p>
            <w:pPr>
              <w:pStyle w:val="Compact"/>
              <w:jc w:val="left"/>
            </w:pPr>
            <w:r>
              <w:t xml:space="preserve">Processen &amp; Risico twee keer per</w:t>
            </w:r>
          </w:p>
        </w:tc>
        <w:tc>
          <w:tcPr/>
          <w:p>
            <w:pPr>
              <w:pStyle w:val="Compact"/>
              <w:jc w:val="left"/>
            </w:pPr>
            <w:r>
              <w:t xml:space="preserve">Faculteit: Business &amp; Economie</w:t>
            </w:r>
          </w:p>
        </w:tc>
      </w:tr>
      <w:tr>
        <w:tc>
          <w:tcPr/>
          <w:p>
            <w:pPr>
              <w:pStyle w:val="Compact"/>
              <w:jc w:val="left"/>
            </w:pPr>
            <w:r>
              <w:t xml:space="preserve">jaar gegeven. Aanname is dat de kosten</w:t>
            </w:r>
          </w:p>
        </w:tc>
        <w:tc>
          <w:tcPr/>
          <w:p>
            <w:pPr>
              <w:pStyle w:val="Compact"/>
              <w:jc w:val="left"/>
            </w:pPr>
            <w:r>
              <w:t xml:space="preserve">Opleiding: Finance &amp; Control</w:t>
            </w:r>
          </w:p>
        </w:tc>
      </w:tr>
      <w:tr>
        <w:tc>
          <w:tcPr/>
          <w:p>
            <w:pPr>
              <w:pStyle w:val="Compact"/>
              <w:jc w:val="left"/>
            </w:pPr>
            <w:r>
              <w:t xml:space="preserve">van Operations per blok/klas circa</w:t>
            </w:r>
          </w:p>
        </w:tc>
        <w:tc>
          <w:tcPr/>
          <w:p>
            <w:pPr>
              <w:pStyle w:val="Compact"/>
              <w:jc w:val="left"/>
            </w:pPr>
            <w:r>
              <w:t xml:space="preserve">Jaar: 2 van 4</w:t>
            </w:r>
          </w:p>
        </w:tc>
      </w:tr>
      <w:tr>
        <w:tc>
          <w:tcPr/>
          <w:p>
            <w:pPr>
              <w:pStyle w:val="Compact"/>
              <w:jc w:val="left"/>
            </w:pPr>
            <w:r>
              <w:t xml:space="preserve">€30.000 bedragen. Zie bijlage A</w:t>
            </w:r>
          </w:p>
        </w:tc>
        <w:tc>
          <w:tcPr/>
          <w:p>
            <w:pPr>
              <w:pStyle w:val="Compact"/>
              <w:jc w:val="left"/>
            </w:pPr>
            <w:r>
              <w:t xml:space="preserve">Module: Proces &amp; Risico</w:t>
            </w:r>
          </w:p>
        </w:tc>
      </w:tr>
      <w:tr>
        <w:tc>
          <w:tcPr/>
          <w:p>
            <w:pPr>
              <w:pStyle w:val="Compact"/>
              <w:jc w:val="left"/>
            </w:pPr>
            <w:r>
              <w:t xml:space="preserve">voor het detail van deze aanname.</w:t>
            </w:r>
          </w:p>
        </w:tc>
        <w:tc>
          <w:tcPr/>
          <w:p>
            <w:pPr>
              <w:pStyle w:val="Compact"/>
              <w:jc w:val="left"/>
            </w:pPr>
            <w:r>
              <w:t xml:space="preserve">Vak: Operations Management</w:t>
            </w:r>
          </w:p>
        </w:tc>
      </w:tr>
      <w:tr>
        <w:tc>
          <w:tcPr/>
          <w:p>
            <w:pPr>
              <w:pStyle w:val="Compact"/>
              <w:jc w:val="left"/>
            </w:pPr>
            <w:r>
              <w:t xml:space="preserve">De business case bestaat eruit dat</w:t>
            </w:r>
          </w:p>
        </w:tc>
        <w:tc>
          <w:tcPr/>
          <w:p>
            <w:pPr>
              <w:pStyle w:val="Compact"/>
              <w:jc w:val="left"/>
            </w:pPr>
            <w:r>
              <w:t xml:space="preserve">Onderdeel: e-learnings (KM, YB, Minitab)</w:t>
            </w:r>
          </w:p>
        </w:tc>
      </w:tr>
      <w:tr>
        <w:tc>
          <w:tcPr/>
          <w:p>
            <w:pPr>
              <w:pStyle w:val="Compact"/>
              <w:jc w:val="left"/>
            </w:pPr>
            <w:r>
              <w:t xml:space="preserve">dezen gelden effectiever kunnen worden</w:t>
            </w:r>
          </w:p>
        </w:tc>
        <w:tc>
          <w:tcPr/>
          <w:p>
            <w:pPr>
              <w:pStyle w:val="Compact"/>
            </w:pPr>
          </w:p>
        </w:tc>
      </w:tr>
      <w:tr>
        <w:tc>
          <w:tcPr/>
          <w:p>
            <w:pPr>
              <w:pStyle w:val="Compact"/>
              <w:jc w:val="left"/>
            </w:pPr>
            <w:r>
              <w:t xml:space="preserve">ingezet.</w:t>
            </w:r>
          </w:p>
        </w:tc>
        <w:tc>
          <w:tcPr/>
          <w:p>
            <w:pPr>
              <w:pStyle w:val="Compact"/>
              <w:jc w:val="left"/>
            </w:pPr>
            <w:r>
              <w:rPr>
                <w:b/>
                <w:bCs/>
              </w:rPr>
              <w:t xml:space="preserve">Proces (start en einde)</w:t>
            </w:r>
          </w:p>
        </w:tc>
      </w:tr>
      <w:tr>
        <w:tc>
          <w:tcPr/>
          <w:p>
            <w:pPr>
              <w:pStyle w:val="Compact"/>
            </w:pPr>
          </w:p>
        </w:tc>
        <w:tc>
          <w:tcPr/>
          <w:p>
            <w:pPr>
              <w:pStyle w:val="Compact"/>
              <w:jc w:val="left"/>
            </w:pPr>
            <w:r>
              <w:t xml:space="preserve">1. maken lessenplan</w:t>
            </w:r>
          </w:p>
        </w:tc>
      </w:tr>
      <w:tr>
        <w:tc>
          <w:tcPr/>
          <w:p>
            <w:pPr>
              <w:pStyle w:val="Compact"/>
              <w:jc w:val="left"/>
            </w:pPr>
            <w:r>
              <w:rPr>
                <w:b/>
                <w:bCs/>
              </w:rPr>
              <w:t xml:space="preserve">Probleembeschrijving</w:t>
            </w:r>
          </w:p>
        </w:tc>
        <w:tc>
          <w:tcPr/>
          <w:p>
            <w:pPr>
              <w:pStyle w:val="Compact"/>
              <w:jc w:val="left"/>
            </w:pPr>
            <w:r>
              <w:t xml:space="preserve">5. evalueren lessen en resultaten</w:t>
            </w:r>
          </w:p>
        </w:tc>
      </w:tr>
      <w:tr>
        <w:tc>
          <w:tcPr/>
          <w:p>
            <w:pPr>
              <w:pStyle w:val="Compact"/>
            </w:pPr>
          </w:p>
        </w:tc>
        <w:tc>
          <w:tcPr/>
          <w:p>
            <w:pPr>
              <w:pStyle w:val="Compact"/>
              <w:jc w:val="left"/>
            </w:pPr>
            <w:r>
              <w:t xml:space="preserve">Zie ook de SIPOC</w:t>
            </w:r>
          </w:p>
        </w:tc>
      </w:tr>
      <w:tr>
        <w:tc>
          <w:tcPr/>
          <w:p>
            <w:pPr>
              <w:pStyle w:val="Compact"/>
              <w:jc w:val="left"/>
            </w:pPr>
            <w:r>
              <w:t xml:space="preserve">Studenten lijken tijdens het blok</w:t>
            </w:r>
          </w:p>
        </w:tc>
        <w:tc>
          <w:tcPr/>
          <w:p>
            <w:pPr>
              <w:pStyle w:val="Compact"/>
            </w:pPr>
          </w:p>
        </w:tc>
      </w:tr>
      <w:tr>
        <w:tc>
          <w:tcPr/>
          <w:p>
            <w:pPr>
              <w:pStyle w:val="Compact"/>
              <w:jc w:val="left"/>
            </w:pPr>
            <w:r>
              <w:t xml:space="preserve">het verband tussen de verschillende</w:t>
            </w:r>
          </w:p>
        </w:tc>
        <w:tc>
          <w:tcPr/>
          <w:p>
            <w:pPr>
              <w:pStyle w:val="Compact"/>
              <w:jc w:val="left"/>
            </w:pPr>
            <w:r>
              <w:rPr>
                <w:b/>
                <w:bCs/>
              </w:rPr>
              <w:t xml:space="preserve">Team</w:t>
            </w:r>
          </w:p>
        </w:tc>
      </w:tr>
      <w:tr>
        <w:tc>
          <w:tcPr/>
          <w:p>
            <w:pPr>
              <w:pStyle w:val="Compact"/>
              <w:jc w:val="left"/>
            </w:pPr>
            <w:r>
              <w:t xml:space="preserve">module onderdelen niet, of althans</w:t>
            </w:r>
          </w:p>
        </w:tc>
        <w:tc>
          <w:tcPr/>
          <w:p>
            <w:pPr>
              <w:pStyle w:val="Compact"/>
            </w:pPr>
          </w:p>
        </w:tc>
      </w:tr>
      <w:tr>
        <w:tc>
          <w:tcPr/>
          <w:p>
            <w:pPr>
              <w:pStyle w:val="Compact"/>
              <w:jc w:val="left"/>
            </w:pPr>
            <w:r>
              <w:t xml:space="preserve">onvoldoende, te zien. Hierdoor wordt</w:t>
            </w:r>
          </w:p>
        </w:tc>
        <w:tc>
          <w:tcPr/>
          <w:p>
            <w:pPr>
              <w:pStyle w:val="Compact"/>
              <w:jc w:val="left"/>
            </w:pPr>
            <w:r>
              <w:t xml:space="preserve">Jan-Ru Muller, OPS docent, LSS student</w:t>
            </w:r>
          </w:p>
        </w:tc>
      </w:tr>
      <w:tr>
        <w:tc>
          <w:tcPr/>
          <w:p>
            <w:pPr>
              <w:pStyle w:val="Compact"/>
              <w:jc w:val="left"/>
            </w:pPr>
            <w:r>
              <w:t xml:space="preserve">tijdens het blok in een aantal</w:t>
            </w:r>
          </w:p>
        </w:tc>
        <w:tc>
          <w:tcPr/>
          <w:p>
            <w:pPr>
              <w:pStyle w:val="Compact"/>
              <w:jc w:val="left"/>
            </w:pPr>
            <w:r>
              <w:t xml:space="preserve">Paul te Riele, OPS docent</w:t>
            </w:r>
          </w:p>
        </w:tc>
      </w:tr>
      <w:tr>
        <w:tc>
          <w:tcPr/>
          <w:p>
            <w:pPr>
              <w:pStyle w:val="Compact"/>
              <w:jc w:val="left"/>
            </w:pPr>
            <w:r>
              <w:t xml:space="preserve">gevallen in de verkeerde volg-</w:t>
            </w:r>
          </w:p>
        </w:tc>
        <w:tc>
          <w:tcPr/>
          <w:p>
            <w:pPr>
              <w:pStyle w:val="Compact"/>
              <w:jc w:val="left"/>
            </w:pPr>
            <w:r>
              <w:t xml:space="preserve">Rachel van Velzen, Proces docent</w:t>
            </w:r>
          </w:p>
        </w:tc>
      </w:tr>
      <w:tr>
        <w:tc>
          <w:tcPr/>
          <w:p>
            <w:pPr>
              <w:pStyle w:val="Compact"/>
              <w:jc w:val="left"/>
            </w:pPr>
            <w:r>
              <w:t xml:space="preserve">orde gestudeerd. Men heeft dan nog</w:t>
            </w:r>
          </w:p>
        </w:tc>
        <w:tc>
          <w:tcPr/>
          <w:p>
            <w:pPr>
              <w:pStyle w:val="Compact"/>
            </w:pPr>
          </w:p>
        </w:tc>
      </w:tr>
      <w:tr>
        <w:tc>
          <w:tcPr/>
          <w:p>
            <w:pPr>
              <w:pStyle w:val="Compact"/>
              <w:jc w:val="left"/>
            </w:pPr>
            <w:r>
              <w:t xml:space="preserve">niet de theorie bestudeerd als de</w:t>
            </w:r>
          </w:p>
        </w:tc>
        <w:tc>
          <w:tcPr/>
          <w:p>
            <w:pPr>
              <w:pStyle w:val="Compact"/>
              <w:jc w:val="left"/>
            </w:pPr>
            <w:r>
              <w:rPr>
                <w:b/>
                <w:bCs/>
              </w:rPr>
              <w:t xml:space="preserve">Planning</w:t>
            </w:r>
          </w:p>
        </w:tc>
      </w:tr>
      <w:tr>
        <w:tc>
          <w:tcPr/>
          <w:p>
            <w:pPr>
              <w:pStyle w:val="Compact"/>
              <w:jc w:val="left"/>
            </w:pPr>
            <w:r>
              <w:t xml:space="preserve">theorie al nodig is voor een</w:t>
            </w:r>
          </w:p>
        </w:tc>
        <w:tc>
          <w:tcPr/>
          <w:p>
            <w:pPr>
              <w:pStyle w:val="Compact"/>
            </w:pPr>
          </w:p>
        </w:tc>
      </w:tr>
      <w:tr>
        <w:tc>
          <w:tcPr/>
          <w:p>
            <w:pPr>
              <w:pStyle w:val="Compact"/>
              <w:jc w:val="left"/>
            </w:pPr>
            <w:r>
              <w:t xml:space="preserve">opdracht of een toets.</w:t>
            </w:r>
          </w:p>
        </w:tc>
        <w:tc>
          <w:tcPr/>
          <w:p>
            <w:pPr>
              <w:pStyle w:val="Compact"/>
              <w:jc w:val="left"/>
            </w:pPr>
            <w:r>
              <w:t xml:space="preserve">Startdate Fase Status</w:t>
            </w:r>
          </w:p>
        </w:tc>
      </w:tr>
      <w:tr>
        <w:tc>
          <w:tcPr/>
          <w:p>
            <w:pPr>
              <w:pStyle w:val="Compact"/>
            </w:pPr>
          </w:p>
        </w:tc>
        <w:tc>
          <w:tcPr/>
          <w:p>
            <w:pPr>
              <w:pStyle w:val="Compact"/>
              <w:jc w:val="left"/>
            </w:pPr>
            <w:r>
              <w:t xml:space="preserve">15-04-2024 Define Ongoing</w:t>
            </w:r>
          </w:p>
        </w:tc>
      </w:tr>
      <w:tr>
        <w:tc>
          <w:tcPr/>
          <w:p>
            <w:pPr>
              <w:pStyle w:val="Compact"/>
              <w:jc w:val="left"/>
            </w:pPr>
            <w:r>
              <w:rPr>
                <w:b/>
                <w:bCs/>
              </w:rPr>
              <w:t xml:space="preserve">Doelstelling</w:t>
            </w:r>
          </w:p>
        </w:tc>
        <w:tc>
          <w:tcPr/>
          <w:p>
            <w:pPr>
              <w:pStyle w:val="Compact"/>
              <w:jc w:val="left"/>
            </w:pPr>
            <w:r>
              <w:t xml:space="preserve">30-04-2024 Measure -</w:t>
            </w:r>
          </w:p>
        </w:tc>
      </w:tr>
      <w:tr>
        <w:tc>
          <w:tcPr/>
          <w:p>
            <w:pPr>
              <w:pStyle w:val="Compact"/>
            </w:pPr>
          </w:p>
        </w:tc>
        <w:tc>
          <w:tcPr/>
          <w:p>
            <w:pPr>
              <w:pStyle w:val="Compact"/>
              <w:jc w:val="left"/>
            </w:pPr>
            <w:r>
              <w:t xml:space="preserve">15-05-2024 Analyse -</w:t>
            </w:r>
          </w:p>
        </w:tc>
      </w:tr>
      <w:tr>
        <w:tc>
          <w:tcPr/>
          <w:p>
            <w:pPr>
              <w:pStyle w:val="Compact"/>
              <w:jc w:val="left"/>
            </w:pPr>
            <w:r>
              <w:t xml:space="preserve">De gemiddelde doorlooptijd van de</w:t>
            </w:r>
          </w:p>
        </w:tc>
        <w:tc>
          <w:tcPr/>
          <w:p>
            <w:pPr>
              <w:pStyle w:val="Compact"/>
              <w:jc w:val="left"/>
            </w:pPr>
            <w:r>
              <w:t xml:space="preserve">30-05-2024 Improve -</w:t>
            </w:r>
          </w:p>
        </w:tc>
      </w:tr>
      <w:tr>
        <w:tc>
          <w:tcPr/>
          <w:p>
            <w:pPr>
              <w:pStyle w:val="Compact"/>
              <w:jc w:val="left"/>
            </w:pPr>
            <w:r>
              <w:t xml:space="preserve">de e-learnings verlagen met 10%</w:t>
            </w:r>
          </w:p>
        </w:tc>
        <w:tc>
          <w:tcPr/>
          <w:p>
            <w:pPr>
              <w:pStyle w:val="Compact"/>
              <w:jc w:val="left"/>
            </w:pPr>
            <w:r>
              <w:t xml:space="preserve">15-06-2024 Control -</w:t>
            </w:r>
          </w:p>
        </w:tc>
      </w:tr>
      <w:tr>
        <w:tc>
          <w:tcPr/>
          <w:p>
            <w:pPr>
              <w:pStyle w:val="Compact"/>
              <w:jc w:val="left"/>
            </w:pPr>
            <w:r>
              <w:t xml:space="preserve">van [70] dagen naar [63] dagen</w:t>
            </w:r>
            <w:r>
              <w:rPr>
                <w:rStyle w:val="FootnoteReference"/>
              </w:rPr>
              <w:footnoteReference w:id="28"/>
            </w:r>
            <w:r>
              <w:t xml:space="preserve">.</w:t>
            </w:r>
          </w:p>
        </w:tc>
        <w:tc>
          <w:tcPr/>
          <w:p>
            <w:pPr>
              <w:pStyle w:val="Compact"/>
            </w:pPr>
          </w:p>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29"/>
    <w:bookmarkStart w:id="35"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tbl>
      <w:tblPr>
        <w:tblStyle w:val="Table"/>
        <w:tblW w:type="pct" w:w="5000"/>
        <w:tblLayout w:type="fixed"/>
        <w:tblLook w:firstRow="0" w:lastRow="0" w:firstColumn="0" w:lastColumn="0" w:noHBand="0" w:noVBand="0" w:val="0000"/>
      </w:tblPr>
      <w:tblGrid>
        <w:gridCol w:w="7920"/>
      </w:tblGrid>
      <w:tr>
        <w:tc>
          <w:tcPr/>
          <w:bookmarkStart w:id="33" w:name="fig-onderwijs"/>
          <w:p>
            <w:pPr>
              <w:pStyle w:val="Compact"/>
              <w:jc w:val="left"/>
            </w:pPr>
            <w:r>
              <w:drawing>
                <wp:inline>
                  <wp:extent cx="5334000" cy="3246042"/>
                  <wp:effectExtent b="0" l="0" r="0" t="0"/>
                  <wp:docPr descr="" title="" id="31" name="Picture"/>
                  <a:graphic>
                    <a:graphicData uri="http://schemas.openxmlformats.org/drawingml/2006/picture">
                      <pic:pic>
                        <pic:nvPicPr>
                          <pic:cNvPr descr="./static/onderwijs_geven.jpg" id="32" name="Picture"/>
                          <pic:cNvPicPr>
                            <a:picLocks noChangeArrowheads="1" noChangeAspect="1"/>
                          </pic:cNvPicPr>
                        </pic:nvPicPr>
                        <pic:blipFill>
                          <a:blip r:embed="rId30"/>
                          <a:stretch>
                            <a:fillRect/>
                          </a:stretch>
                        </pic:blipFill>
                        <pic:spPr bwMode="auto">
                          <a:xfrm>
                            <a:off x="0" y="0"/>
                            <a:ext cx="5334000" cy="3246042"/>
                          </a:xfrm>
                          <a:prstGeom prst="rect">
                            <a:avLst/>
                          </a:prstGeom>
                          <a:noFill/>
                          <a:ln w="9525">
                            <a:noFill/>
                            <a:headEnd/>
                            <a:tailEnd/>
                          </a:ln>
                        </pic:spPr>
                      </pic:pic>
                    </a:graphicData>
                  </a:graphic>
                </wp:inline>
              </w:drawing>
            </w:r>
          </w:p>
          <w:p>
            <w:pPr>
              <w:jc w:val="left"/>
            </w:pPr>
            <w:pPr>
              <w:jc w:val="start"/>
              <w:spacing w:before="200"/>
              <w:pStyle w:val="ImageCaption"/>
            </w:pPr>
            <w:r>
              <w:t xml:space="preserve">Figure 2: Onderwijsuitvoering</w:t>
            </w:r>
          </w:p>
          <w:bookmarkEnd w:id="33"/>
        </w:tc>
      </w:tr>
    </w:tbl>
    <w:p>
      <w:pPr>
        <w:pStyle w:val="BodyText"/>
      </w:pPr>
      <w:r>
        <w:t xml:space="preserve">Ter algemene toelichting:</w:t>
      </w:r>
    </w:p>
    <w:p>
      <w:pPr>
        <w:pStyle w:val="Compact"/>
        <w:numPr>
          <w:ilvl w:val="0"/>
          <w:numId w:val="1001"/>
        </w:numPr>
      </w:pPr>
      <w:r>
        <w:t xml:space="preserve">Het coördinatieteam zorgt ondermeer voor het samenstellen van het rooster.</w:t>
      </w:r>
    </w:p>
    <w:p>
      <w:pPr>
        <w:pStyle w:val="Compact"/>
        <w:numPr>
          <w:ilvl w:val="0"/>
          <w:numId w:val="1001"/>
        </w:numPr>
      </w:pPr>
      <w:r>
        <w:t xml:space="preserve">Onderwijs &amp; onderzoek ondersteunt o.a. bij de inrichting en het gebruik van het LMS</w:t>
      </w:r>
      <w:r>
        <w:rPr>
          <w:rStyle w:val="FootnoteReference"/>
        </w:rPr>
        <w:footnoteReference w:id="34"/>
      </w:r>
      <w:r>
        <w:t xml:space="preserve">.</w:t>
      </w:r>
    </w:p>
    <w:p>
      <w:pPr>
        <w:pStyle w:val="Compact"/>
        <w:numPr>
          <w:ilvl w:val="0"/>
          <w:numId w:val="1001"/>
        </w:numPr>
      </w:pPr>
      <w:r>
        <w:t xml:space="preserve">De externe dienstverlener is in dit geval Skoledo waar de studenten de e-learnings volgen.</w:t>
      </w:r>
    </w:p>
    <w:p>
      <w:pPr>
        <w:pStyle w:val="Compact"/>
        <w:numPr>
          <w:ilvl w:val="0"/>
          <w:numId w:val="1001"/>
        </w:numPr>
      </w:pPr>
      <w:r>
        <w:t xml:space="preserve">Het examenburo verzorgt de logistiek rondom de afname van examens.</w:t>
      </w:r>
    </w:p>
    <w:p>
      <w:pPr>
        <w:pStyle w:val="Compact"/>
        <w:numPr>
          <w:ilvl w:val="0"/>
          <w:numId w:val="1001"/>
        </w:numPr>
      </w:pPr>
      <w:r>
        <w:t xml:space="preserve">Onder management wordt hier verstaan het hoofd van de opleiding Finance &amp; Control.</w:t>
      </w:r>
    </w:p>
    <w:bookmarkEnd w:id="35"/>
    <w:bookmarkStart w:id="40"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ayout w:type="fixed"/>
        <w:tblLook w:firstRow="0" w:lastRow="0" w:firstColumn="0" w:lastColumn="0" w:noHBand="0" w:noVBand="0" w:val="0000"/>
      </w:tblPr>
      <w:tblGrid>
        <w:gridCol w:w="7920"/>
      </w:tblGrid>
      <w:tr>
        <w:tc>
          <w:tcPr/>
          <w:bookmarkStart w:id="39" w:name="fig-voc-ctq"/>
          <w:p>
            <w:pPr>
              <w:jc w:val="center"/>
            </w:pPr>
            <w:r>
              <w:drawing>
                <wp:inline>
                  <wp:extent cx="5334000" cy="3423683"/>
                  <wp:effectExtent b="0" l="0" r="0" t="0"/>
                  <wp:docPr descr="" title="" id="37" name="Picture"/>
                  <a:graphic>
                    <a:graphicData uri="http://schemas.openxmlformats.org/drawingml/2006/picture">
                      <pic:pic>
                        <pic:nvPicPr>
                          <pic:cNvPr descr="1_definitie_fase_files/figure-docx/mermaid-figure-2.png" id="38" name="Picture"/>
                          <pic:cNvPicPr>
                            <a:picLocks noChangeArrowheads="1" noChangeAspect="1"/>
                          </pic:cNvPicPr>
                        </pic:nvPicPr>
                        <pic:blipFill>
                          <a:blip r:embed="rId36"/>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Voice of the Business</w:t>
            </w:r>
          </w:p>
          <w:bookmarkEnd w:id="39"/>
        </w:tc>
      </w:tr>
    </w:tbl>
    <w:p>
      <w:pPr>
        <w:pStyle w:val="BodyText"/>
      </w:pPr>
      <w:r>
        <w:t xml:space="preserve">Waarschijnlijke toekomstige verbeteringen:</w:t>
      </w:r>
    </w:p>
    <w:p>
      <w:pPr>
        <w:pStyle w:val="Compact"/>
        <w:numPr>
          <w:ilvl w:val="0"/>
          <w:numId w:val="1002"/>
        </w:numPr>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pStyle w:val="Compact"/>
        <w:numPr>
          <w:ilvl w:val="0"/>
          <w:numId w:val="1002"/>
        </w:numPr>
      </w:pPr>
      <w:r>
        <w:t xml:space="preserve">In deze versie van de VOB-CTQ staan de meetbare eenheden (ME) appart genoemd per CTQ. In een latere versie kunnen alle drie de CTQ’s verwijzen naar twee meetbare eenheden: datum en cijfer.</w:t>
      </w:r>
    </w:p>
    <w:p>
      <w:pPr>
        <w:pStyle w:val="Compact"/>
        <w:numPr>
          <w:ilvl w:val="0"/>
          <w:numId w:val="1002"/>
        </w:numPr>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40"/>
    <w:bookmarkStart w:id="45"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pStyle w:val="Compact"/>
        <w:numPr>
          <w:ilvl w:val="0"/>
          <w:numId w:val="1003"/>
        </w:numPr>
      </w:pPr>
      <w:r>
        <w:t xml:space="preserve">de ideale doorlooptijd van de e-learnings is</w:t>
      </w:r>
    </w:p>
    <w:p>
      <w:pPr>
        <w:pStyle w:val="Compact"/>
        <w:numPr>
          <w:ilvl w:val="0"/>
          <w:numId w:val="1003"/>
        </w:numPr>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ayout w:type="fixed"/>
        <w:tblLook w:firstRow="0" w:lastRow="0" w:firstColumn="0" w:lastColumn="0" w:noHBand="0" w:noVBand="0" w:val="0000"/>
      </w:tblPr>
      <w:tblGrid>
        <w:gridCol w:w="7920"/>
      </w:tblGrid>
      <w:tr>
        <w:tc>
          <w:tcPr/>
          <w:bookmarkStart w:id="44" w:name="fig-lineplot"/>
          <w:p>
            <w:pPr>
              <w:pStyle w:val="Compact"/>
              <w:jc w:val="center"/>
            </w:pPr>
            <w:r>
              <w:drawing>
                <wp:inline>
                  <wp:extent cx="5334000" cy="2908868"/>
                  <wp:effectExtent b="0" l="0" r="0" t="0"/>
                  <wp:docPr descr="" title="" id="42" name="Picture"/>
                  <a:graphic>
                    <a:graphicData uri="http://schemas.openxmlformats.org/drawingml/2006/picture">
                      <pic:pic>
                        <pic:nvPicPr>
                          <pic:cNvPr descr="1_definitie_fase_files/figure-docx/fig-lineplot-output-1.png" id="43" name="Picture"/>
                          <pic:cNvPicPr>
                            <a:picLocks noChangeArrowheads="1" noChangeAspect="1"/>
                          </pic:cNvPicPr>
                        </pic:nvPicPr>
                        <pic:blipFill>
                          <a:blip r:embed="rId41"/>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line plot showing progress on the e-learnings</w:t>
            </w:r>
          </w:p>
          <w:bookmarkEnd w:id="44"/>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pStyle w:val="Compact"/>
        <w:numPr>
          <w:ilvl w:val="0"/>
          <w:numId w:val="1004"/>
        </w:numPr>
      </w:pPr>
      <w:r>
        <w:t xml:space="preserve">De</w:t>
      </w:r>
      <w:r>
        <w:t xml:space="preserve"> </w:t>
      </w:r>
      <w:r>
        <w:t xml:space="preserve">blauwe</w:t>
      </w:r>
      <w:r>
        <w:t xml:space="preserve"> </w:t>
      </w:r>
      <w:r>
        <w:t xml:space="preserve">lijn geeft de huidige doorlooptijd van de e-learnings weer.</w:t>
      </w:r>
    </w:p>
    <w:p>
      <w:pPr>
        <w:pStyle w:val="Compact"/>
        <w:numPr>
          <w:ilvl w:val="0"/>
          <w:numId w:val="1004"/>
        </w:numPr>
      </w:pPr>
      <w:r>
        <w:t xml:space="preserve">De</w:t>
      </w:r>
      <w:r>
        <w:t xml:space="preserve"> </w:t>
      </w:r>
      <w:r>
        <w:t xml:space="preserve">rode</w:t>
      </w:r>
      <w:r>
        <w:t xml:space="preserve"> </w:t>
      </w:r>
      <w:r>
        <w:t xml:space="preserve">lijn geeft de nieuwe beoogde doorlooptijd van de e-learnings weer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5"/>
    <w:bookmarkEnd w:id="46"/>
    <w:bookmarkStart w:id="55" w:name="measure-fase"/>
    <w:p>
      <w:pPr>
        <w:pStyle w:val="Heading1"/>
      </w:pPr>
      <w:r>
        <w:rPr>
          <w:rStyle w:val="SectionNumber"/>
        </w:rPr>
        <w:t xml:space="preserve">2</w:t>
      </w:r>
      <w:r>
        <w:tab/>
      </w:r>
      <w:r>
        <w:t xml:space="preserve">2. Measure-fase</w:t>
      </w:r>
    </w:p>
    <w:p>
      <w:pPr>
        <w:pStyle w:val="FirstParagraph"/>
      </w:pPr>
      <w:r>
        <w:t xml:space="preserve">Het doel van de measure-fase is om te komen tot een meetplan. In dit hoofdstuk komen aan de orde: welke gegevens er beschikbaar zijn, welke gegevens er gebruikt gaan worden, wat de betrouwbaarheid is van de gevens en tenslotte hoe de gegevens verwerkt gaan worden.</w:t>
      </w:r>
    </w:p>
    <w:bookmarkStart w:id="51" w:name="gegevens---verzamelen"/>
    <w:p>
      <w:pPr>
        <w:pStyle w:val="Heading2"/>
      </w:pPr>
      <w:r>
        <w:rPr>
          <w:rStyle w:val="SectionNumber"/>
        </w:rPr>
        <w:t xml:space="preserve">2.1</w:t>
      </w:r>
      <w:r>
        <w:tab/>
      </w:r>
      <w:r>
        <w:t xml:space="preserve">2.1 Gegevens - verzamelen</w:t>
      </w:r>
    </w:p>
    <w:p>
      <w:pPr>
        <w:pStyle w:val="FirstParagraph"/>
      </w:pPr>
      <w:r>
        <w:t xml:space="preserve">In de grafiek hieronder staat een vereenvoudigde grafische weergave van een vijftal gegevensbronnen waarmee men tijdens het proces</w:t>
      </w:r>
      <w:r>
        <w:t xml:space="preserve"> </w:t>
      </w:r>
      <w:r>
        <w:t xml:space="preserve">“</w:t>
      </w:r>
      <w:r>
        <w:t xml:space="preserve">onderwijsuitvoering</w:t>
      </w:r>
      <w:r>
        <w:t xml:space="preserve">”</w:t>
      </w:r>
      <w:r>
        <w:t xml:space="preserve"> </w:t>
      </w:r>
      <w:r>
        <w:t xml:space="preserve">te maken heeft.</w:t>
      </w:r>
    </w:p>
    <w:tbl>
      <w:tblPr>
        <w:tblStyle w:val="Table"/>
        <w:tblW w:type="pct" w:w="5000"/>
        <w:tblLayout w:type="fixed"/>
        <w:tblLook w:firstRow="0" w:lastRow="0" w:firstColumn="0" w:lastColumn="0" w:noHBand="0" w:noVBand="0" w:val="0000"/>
      </w:tblPr>
      <w:tblGrid>
        <w:gridCol w:w="7920"/>
      </w:tblGrid>
      <w:tr>
        <w:tc>
          <w:tcPr/>
          <w:bookmarkStart w:id="50" w:name="fig-gegevensbronnen"/>
          <w:p>
            <w:pPr>
              <w:pStyle w:val="Compact"/>
              <w:jc w:val="left"/>
            </w:pPr>
            <w:r>
              <w:drawing>
                <wp:inline>
                  <wp:extent cx="5334000" cy="3091505"/>
                  <wp:effectExtent b="0" l="0" r="0" t="0"/>
                  <wp:docPr descr="" title="" id="48" name="Picture"/>
                  <a:graphic>
                    <a:graphicData uri="http://schemas.openxmlformats.org/drawingml/2006/picture">
                      <pic:pic>
                        <pic:nvPicPr>
                          <pic:cNvPr descr="./static/gegevensbronnen.jpg" id="49" name="Picture"/>
                          <pic:cNvPicPr>
                            <a:picLocks noChangeArrowheads="1" noChangeAspect="1"/>
                          </pic:cNvPicPr>
                        </pic:nvPicPr>
                        <pic:blipFill>
                          <a:blip r:embed="rId47"/>
                          <a:stretch>
                            <a:fillRect/>
                          </a:stretch>
                        </pic:blipFill>
                        <pic:spPr bwMode="auto">
                          <a:xfrm>
                            <a:off x="0" y="0"/>
                            <a:ext cx="5334000" cy="3091505"/>
                          </a:xfrm>
                          <a:prstGeom prst="rect">
                            <a:avLst/>
                          </a:prstGeom>
                          <a:noFill/>
                          <a:ln w="9525">
                            <a:noFill/>
                            <a:headEnd/>
                            <a:tailEnd/>
                          </a:ln>
                        </pic:spPr>
                      </pic:pic>
                    </a:graphicData>
                  </a:graphic>
                </wp:inline>
              </w:drawing>
            </w:r>
          </w:p>
          <w:p>
            <w:pPr>
              <w:jc w:val="left"/>
            </w:pPr>
            <w:pPr>
              <w:jc w:val="start"/>
              <w:spacing w:before="200"/>
              <w:pStyle w:val="ImageCaption"/>
            </w:pPr>
            <w:r>
              <w:t xml:space="preserve">Figure 5: Gegevensbronnen</w:t>
            </w:r>
          </w:p>
          <w:bookmarkEnd w:id="50"/>
        </w:tc>
      </w:tr>
    </w:tbl>
    <w:p>
      <w:pPr>
        <w:pStyle w:val="Compact"/>
        <w:numPr>
          <w:ilvl w:val="0"/>
          <w:numId w:val="1005"/>
        </w:numPr>
      </w:pPr>
      <w:r>
        <w:t xml:space="preserve">SIS, het studenten informaties ysteem, bevat de klassenlijst. SIS is ook het systeem waar, op het eind van het blok, de cijfers van de studenten worden ingevoerd.</w:t>
      </w:r>
    </w:p>
    <w:p>
      <w:pPr>
        <w:pStyle w:val="Compact"/>
        <w:numPr>
          <w:ilvl w:val="0"/>
          <w:numId w:val="1005"/>
        </w:numPr>
      </w:pPr>
      <w:r>
        <w:t xml:space="preserve">Skoledo is de leverancier van de e-learnings. Skoledo levert wekelijks de voortgang van de studenten aan alsook tussentijdse resultaten.</w:t>
      </w:r>
    </w:p>
    <w:p>
      <w:pPr>
        <w:pStyle w:val="Compact"/>
        <w:numPr>
          <w:ilvl w:val="0"/>
          <w:numId w:val="1005"/>
        </w:numPr>
      </w:pPr>
      <w:r>
        <w:t xml:space="preserve">Brightspace bevat de studiehandleiding en de lesstof. Brightspace is ook het systeem waar de praktijkopdrachten worden ingeleverd en beoordeeld.</w:t>
      </w:r>
    </w:p>
    <w:p>
      <w:pPr>
        <w:pStyle w:val="Compact"/>
        <w:numPr>
          <w:ilvl w:val="0"/>
          <w:numId w:val="1005"/>
        </w:numPr>
      </w:pPr>
      <w:r>
        <w:t xml:space="preserve">Het rooster geeft aan waar en wanneer de lessen plaatsvinden. Aanwezigheid wordt bijgehouden in een excel sheet.</w:t>
      </w:r>
    </w:p>
    <w:p>
      <w:pPr>
        <w:pStyle w:val="Compact"/>
        <w:numPr>
          <w:ilvl w:val="0"/>
          <w:numId w:val="1005"/>
        </w:numPr>
      </w:pPr>
      <w:r>
        <w:t xml:space="preserve">Tenslotte worden de cijfers, zodra deze bepaald zijn, ingevoerd in SIS. SIS staat ook als input getekend omdat aan het begin van het blok wordt gechecked dat alle studenten die in SIS bij het vak geregistreerd staan, ook in Brightspace geregistreerd staan.</w:t>
      </w:r>
    </w:p>
    <w:bookmarkEnd w:id="51"/>
    <w:bookmarkStart w:id="52" w:name="meetplan"/>
    <w:p>
      <w:pPr>
        <w:pStyle w:val="Heading2"/>
      </w:pPr>
      <w:r>
        <w:rPr>
          <w:rStyle w:val="SectionNumber"/>
        </w:rPr>
        <w:t xml:space="preserve">2.2</w:t>
      </w:r>
      <w:r>
        <w:tab/>
      </w:r>
      <w:r>
        <w:t xml:space="preserve">2.2 Meetplan</w:t>
      </w:r>
    </w:p>
    <w:tbl>
      <w:tblPr>
        <w:tblStyle w:val="Table"/>
        <w:tblW w:type="pct" w:w="5000"/>
        <w:tblLayout w:type="fixed"/>
        <w:tblLook w:firstRow="1" w:lastRow="0" w:firstColumn="0" w:lastColumn="0" w:noHBand="0" w:noVBand="0" w:val="0020"/>
      </w:tblPr>
      <w:tblGrid>
        <w:gridCol w:w="905"/>
        <w:gridCol w:w="1131"/>
        <w:gridCol w:w="1885"/>
        <w:gridCol w:w="1357"/>
        <w:gridCol w:w="1433"/>
        <w:gridCol w:w="1206"/>
      </w:tblGrid>
      <w:tr>
        <w:trPr>
          <w:tblHeader w:val="on"/>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data</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a</w:t>
            </w:r>
          </w:p>
        </w:tc>
        <w:tc>
          <w:tcPr/>
          <w:p>
            <w:pPr>
              <w:pStyle w:val="Compact"/>
              <w:jc w:val="left"/>
            </w:pPr>
            <w:r>
              <w:t xml:space="preserve">CTQ1</w:t>
            </w:r>
          </w:p>
        </w:tc>
        <w:tc>
          <w:tcPr/>
          <w:p>
            <w:pPr>
              <w:pStyle w:val="Compact"/>
            </w:pPr>
          </w:p>
        </w:tc>
        <w:tc>
          <w:tcPr/>
          <w:p>
            <w:pPr>
              <w:pStyle w:val="Compact"/>
              <w:jc w:val="left"/>
            </w:pPr>
            <w:r>
              <w:t xml:space="preserve">iedere week</w:t>
            </w:r>
          </w:p>
        </w:tc>
        <w:tc>
          <w:tcPr/>
          <w:p>
            <w:pPr>
              <w:pStyle w:val="Compact"/>
            </w:pPr>
          </w:p>
        </w:tc>
        <w:tc>
          <w:tcPr/>
          <w:p>
            <w:pPr>
              <w:pStyle w:val="Compact"/>
            </w:pPr>
          </w:p>
        </w:tc>
      </w:tr>
      <w:tr>
        <w:tc>
          <w:tcPr/>
          <w:p>
            <w:pPr>
              <w:pStyle w:val="Compact"/>
              <w:jc w:val="left"/>
            </w:pPr>
            <w:r>
              <w:t xml:space="preserve">b</w:t>
            </w:r>
          </w:p>
        </w:tc>
        <w:tc>
          <w:tcPr/>
          <w:p>
            <w:pPr>
              <w:pStyle w:val="Compact"/>
              <w:jc w:val="left"/>
            </w:pPr>
            <w:r>
              <w:t xml:space="preserve">CTQ2</w:t>
            </w:r>
          </w:p>
        </w:tc>
        <w:tc>
          <w:tcPr/>
          <w:p>
            <w:pPr>
              <w:pStyle w:val="Compact"/>
            </w:pPr>
          </w:p>
        </w:tc>
        <w:tc>
          <w:tcPr/>
          <w:p>
            <w:pPr>
              <w:pStyle w:val="Compact"/>
              <w:jc w:val="left"/>
            </w:pPr>
            <w:r>
              <w:t xml:space="preserve">iedere week</w:t>
            </w:r>
          </w:p>
        </w:tc>
        <w:tc>
          <w:tcPr/>
          <w:p>
            <w:pPr>
              <w:pStyle w:val="Compact"/>
            </w:pPr>
          </w:p>
        </w:tc>
        <w:tc>
          <w:tcPr/>
          <w:p>
            <w:pPr>
              <w:pStyle w:val="Compact"/>
            </w:pPr>
          </w:p>
        </w:tc>
      </w:tr>
      <w:tr>
        <w:tc>
          <w:tcPr/>
          <w:p>
            <w:pPr>
              <w:pStyle w:val="Compact"/>
              <w:jc w:val="left"/>
            </w:pPr>
            <w:r>
              <w:t xml:space="preserve">c</w:t>
            </w:r>
          </w:p>
        </w:tc>
        <w:tc>
          <w:tcPr/>
          <w:p>
            <w:pPr>
              <w:pStyle w:val="Compact"/>
              <w:jc w:val="left"/>
            </w:pPr>
            <w:r>
              <w:t xml:space="preserve">CTQ3</w:t>
            </w:r>
          </w:p>
        </w:tc>
        <w:tc>
          <w:tcPr/>
          <w:p>
            <w:pPr>
              <w:pStyle w:val="Compact"/>
              <w:jc w:val="left"/>
            </w:pPr>
            <w:r>
              <w:t xml:space="preserve">export &gt; excel</w:t>
            </w:r>
          </w:p>
        </w:tc>
        <w:tc>
          <w:tcPr/>
          <w:p>
            <w:pPr>
              <w:pStyle w:val="Compact"/>
              <w:jc w:val="left"/>
            </w:pPr>
            <w:r>
              <w:t xml:space="preserve">in week 9</w:t>
            </w:r>
          </w:p>
        </w:tc>
        <w:tc>
          <w:tcPr/>
          <w:p>
            <w:pPr>
              <w:pStyle w:val="Compact"/>
              <w:jc w:val="left"/>
            </w:pPr>
            <w:r>
              <w:t xml:space="preserve">voor processtap 3.2</w:t>
            </w:r>
          </w:p>
        </w:tc>
        <w:tc>
          <w:tcPr/>
          <w:p>
            <w:pPr>
              <w:pStyle w:val="Compact"/>
              <w:jc w:val="left"/>
            </w:pPr>
            <w:r>
              <w:t xml:space="preserve">Vakdocent</w:t>
            </w:r>
          </w:p>
        </w:tc>
      </w:tr>
      <w:tr>
        <w:tc>
          <w:tcPr/>
          <w:p>
            <w:pPr>
              <w:pStyle w:val="Compact"/>
              <w:jc w:val="left"/>
            </w:pPr>
            <w:r>
              <w:t xml:space="preserve">d</w:t>
            </w:r>
          </w:p>
        </w:tc>
        <w:tc>
          <w:tcPr/>
          <w:p>
            <w:pPr>
              <w:pStyle w:val="Compact"/>
            </w:pPr>
          </w:p>
        </w:tc>
        <w:tc>
          <w:tcPr/>
          <w:p>
            <w:pPr>
              <w:pStyle w:val="Compact"/>
            </w:pPr>
          </w:p>
        </w:tc>
        <w:tc>
          <w:tcPr/>
          <w:p>
            <w:pPr>
              <w:pStyle w:val="Compact"/>
            </w:pPr>
          </w:p>
        </w:tc>
        <w:tc>
          <w:tcPr/>
          <w:p>
            <w:pPr>
              <w:pStyle w:val="Compact"/>
              <w:jc w:val="left"/>
            </w:pPr>
            <w:r>
              <w:t xml:space="preserve">voor processtap 3.5</w:t>
            </w:r>
          </w:p>
        </w:tc>
        <w:tc>
          <w:tcPr/>
          <w:p>
            <w:pPr>
              <w:pStyle w:val="Compact"/>
              <w:jc w:val="left"/>
            </w:pPr>
            <w:r>
              <w:t xml:space="preserve">Skoledo</w:t>
            </w:r>
          </w:p>
        </w:tc>
      </w:tr>
    </w:tbl>
    <w:bookmarkEnd w:id="52"/>
    <w:bookmarkStart w:id="53" w:name="gegevens---betrouwbaarheid"/>
    <w:p>
      <w:pPr>
        <w:pStyle w:val="Heading2"/>
      </w:pPr>
      <w:r>
        <w:rPr>
          <w:rStyle w:val="SectionNumber"/>
        </w:rPr>
        <w:t xml:space="preserve">2.3</w:t>
      </w:r>
      <w:r>
        <w:tab/>
      </w:r>
      <w:r>
        <w:t xml:space="preserve">2.3 Gegevens - betrouwbaarheid</w:t>
      </w:r>
    </w:p>
    <w:p>
      <w:pPr>
        <w:pStyle w:val="FirstParagraph"/>
      </w:pPr>
      <w:r>
        <w:t xml:space="preserve">De gegevens v.w.b. de voortgang van de e-learnings is afkomstig van Skoledo. De gegevens worden wekelijks samengesteld en opgestuurd. Er worden door de ontvanger een paar checks gedaan:</w:t>
      </w:r>
      <w:r>
        <w:t xml:space="preserve"> </w:t>
      </w:r>
      <w:r>
        <w:t xml:space="preserve">- Zijn de data oplopend</w:t>
      </w:r>
      <w:r>
        <w:t xml:space="preserve"> </w:t>
      </w:r>
      <w:r>
        <w:t xml:space="preserve">- Is de voortgang deze week niet lager dan vorige week</w:t>
      </w:r>
    </w:p>
    <w:bookmarkEnd w:id="53"/>
    <w:bookmarkStart w:id="54" w:name="gegevens---verwerken"/>
    <w:p>
      <w:pPr>
        <w:pStyle w:val="Heading2"/>
      </w:pPr>
      <w:r>
        <w:rPr>
          <w:rStyle w:val="SectionNumber"/>
        </w:rPr>
        <w:t xml:space="preserve">2.4</w:t>
      </w:r>
      <w:r>
        <w:tab/>
      </w:r>
      <w:r>
        <w:t xml:space="preserve">2.4 Gegevens - verwerken</w:t>
      </w:r>
    </w:p>
    <w:p>
      <w:pPr>
        <w:pStyle w:val="FirstParagraph"/>
      </w:pPr>
      <w:r>
        <w:t xml:space="preserve">De gegevens zullen worden verwerkt met Excel. Een voorbeeld van een geanonimisseerd gegevensbestand is opgenomen als bijlage C.</w:t>
      </w:r>
    </w:p>
    <w:bookmarkEnd w:id="54"/>
    <w:bookmarkEnd w:id="55"/>
    <w:bookmarkStart w:id="60" w:name="analyse-fase"/>
    <w:p>
      <w:pPr>
        <w:pStyle w:val="Heading1"/>
      </w:pPr>
      <w:r>
        <w:rPr>
          <w:rStyle w:val="SectionNumber"/>
        </w:rPr>
        <w:t xml:space="preserve">3</w:t>
      </w:r>
      <w:r>
        <w:tab/>
      </w:r>
      <w:r>
        <w:t xml:space="preserve">3. Analyse-fase</w:t>
      </w:r>
    </w:p>
    <w:p>
      <w:pPr>
        <w:pStyle w:val="FirstParagraph"/>
      </w:pPr>
      <w:r>
        <w:t xml:space="preserve">aan bod komen:</w:t>
      </w:r>
    </w:p>
    <w:bookmarkStart w:id="56" w:name="analyse-technieken"/>
    <w:p>
      <w:pPr>
        <w:pStyle w:val="Heading2"/>
      </w:pPr>
      <w:r>
        <w:rPr>
          <w:rStyle w:val="SectionNumber"/>
        </w:rPr>
        <w:t xml:space="preserve">3.1</w:t>
      </w:r>
      <w:r>
        <w:tab/>
      </w:r>
      <w:r>
        <w:t xml:space="preserve">3.1 Analyse technieken</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56"/>
    <w:bookmarkStart w:id="57" w:name="prestaties-van-het-proces"/>
    <w:p>
      <w:pPr>
        <w:pStyle w:val="Heading2"/>
      </w:pPr>
      <w:r>
        <w:rPr>
          <w:rStyle w:val="SectionNumber"/>
        </w:rPr>
        <w:t xml:space="preserve">3.2</w:t>
      </w:r>
      <w:r>
        <w:tab/>
      </w:r>
      <w:r>
        <w:t xml:space="preserve">3.2 Prestaties van het proces</w:t>
      </w:r>
    </w:p>
    <w:bookmarkEnd w:id="57"/>
    <w:bookmarkStart w:id="58" w:name="inventarisatie-invloedsfactoren"/>
    <w:p>
      <w:pPr>
        <w:pStyle w:val="Heading2"/>
      </w:pPr>
      <w:r>
        <w:rPr>
          <w:rStyle w:val="SectionNumber"/>
        </w:rPr>
        <w:t xml:space="preserve">3.3</w:t>
      </w:r>
      <w:r>
        <w:tab/>
      </w:r>
      <w:r>
        <w:t xml:space="preserve">3.3 Inventarisatie invloedsfactoren</w:t>
      </w:r>
    </w:p>
    <w:p>
      <w:pPr>
        <w:pStyle w:val="FirstParagraph"/>
      </w:pPr>
      <w:r>
        <w:t xml:space="preserve">Visgraat</w:t>
      </w:r>
    </w:p>
    <w:bookmarkEnd w:id="58"/>
    <w:bookmarkStart w:id="59" w:name="meeste-impact"/>
    <w:p>
      <w:pPr>
        <w:pStyle w:val="Heading2"/>
      </w:pPr>
      <w:r>
        <w:rPr>
          <w:rStyle w:val="SectionNumber"/>
        </w:rPr>
        <w:t xml:space="preserve">3.4</w:t>
      </w:r>
      <w:r>
        <w:tab/>
      </w:r>
      <w:r>
        <w:t xml:space="preserve">3.4 Meeste Impact</w:t>
      </w:r>
    </w:p>
    <w:p>
      <w:pPr>
        <w:pStyle w:val="Compact"/>
        <w:numPr>
          <w:ilvl w:val="0"/>
          <w:numId w:val="1006"/>
        </w:numPr>
      </w:pPr>
      <w:r>
        <w:t xml:space="preserve">aanwezigheid</w:t>
      </w:r>
    </w:p>
    <w:p>
      <w:pPr>
        <w:pStyle w:val="Compact"/>
        <w:numPr>
          <w:ilvl w:val="0"/>
          <w:numId w:val="1006"/>
        </w:numPr>
      </w:pPr>
      <w:r>
        <w:t xml:space="preserve">e-learning op tijd maken</w:t>
      </w:r>
    </w:p>
    <w:p>
      <w:pPr>
        <w:pStyle w:val="Compact"/>
        <w:numPr>
          <w:ilvl w:val="0"/>
          <w:numId w:val="1006"/>
        </w:numPr>
      </w:pPr>
      <w:r>
        <w:t xml:space="preserve">groepsgenoten</w:t>
      </w:r>
    </w:p>
    <w:p>
      <w:pPr>
        <w:pStyle w:val="Compact"/>
        <w:numPr>
          <w:ilvl w:val="0"/>
          <w:numId w:val="1006"/>
        </w:numPr>
      </w:pPr>
      <w:r>
        <w:t xml:space="preserve">vakdocent</w:t>
      </w:r>
    </w:p>
    <w:p>
      <w:pPr>
        <w:pStyle w:val="Compact"/>
        <w:numPr>
          <w:ilvl w:val="0"/>
          <w:numId w:val="1006"/>
        </w:numPr>
      </w:pPr>
      <w:r>
        <w:t xml:space="preserve">procesdocent</w:t>
      </w:r>
    </w:p>
    <w:bookmarkEnd w:id="59"/>
    <w:bookmarkEnd w:id="60"/>
    <w:bookmarkStart w:id="65" w:name="improve-fase"/>
    <w:p>
      <w:pPr>
        <w:pStyle w:val="Heading1"/>
      </w:pPr>
      <w:r>
        <w:rPr>
          <w:rStyle w:val="SectionNumber"/>
        </w:rPr>
        <w:t xml:space="preserve">4</w:t>
      </w:r>
      <w:r>
        <w:tab/>
      </w:r>
      <w:r>
        <w:t xml:space="preserve">4. Improve-fase</w:t>
      </w:r>
    </w:p>
    <w:bookmarkStart w:id="61" w:name="mogelijke-oplossingen"/>
    <w:p>
      <w:pPr>
        <w:pStyle w:val="Heading2"/>
      </w:pPr>
      <w:r>
        <w:rPr>
          <w:rStyle w:val="SectionNumber"/>
        </w:rPr>
        <w:t xml:space="preserve">4.1</w:t>
      </w:r>
      <w:r>
        <w:tab/>
      </w:r>
      <w:r>
        <w:t xml:space="preserve">4.1 Mogelijke oplossingen</w:t>
      </w:r>
    </w:p>
    <w:bookmarkEnd w:id="61"/>
    <w:bookmarkStart w:id="62" w:name="generatie-van-oplossingen"/>
    <w:p>
      <w:pPr>
        <w:pStyle w:val="Heading2"/>
      </w:pPr>
      <w:r>
        <w:rPr>
          <w:rStyle w:val="SectionNumber"/>
        </w:rPr>
        <w:t xml:space="preserve">4.2</w:t>
      </w:r>
      <w:r>
        <w:tab/>
      </w:r>
      <w:r>
        <w:t xml:space="preserve">4.2 Generatie van oplossingen</w:t>
      </w:r>
    </w:p>
    <w:bookmarkEnd w:id="62"/>
    <w:bookmarkStart w:id="63" w:name="korte-termijn-oplossing"/>
    <w:p>
      <w:pPr>
        <w:pStyle w:val="Heading2"/>
      </w:pPr>
      <w:r>
        <w:rPr>
          <w:rStyle w:val="SectionNumber"/>
        </w:rPr>
        <w:t xml:space="preserve">4.3</w:t>
      </w:r>
      <w:r>
        <w:tab/>
      </w:r>
      <w:r>
        <w:t xml:space="preserve">4.3 Korte termijn oplossing</w:t>
      </w:r>
    </w:p>
    <w:bookmarkEnd w:id="63"/>
    <w:bookmarkStart w:id="64" w:name="implementatieplan"/>
    <w:p>
      <w:pPr>
        <w:pStyle w:val="Heading2"/>
      </w:pPr>
      <w:r>
        <w:rPr>
          <w:rStyle w:val="SectionNumber"/>
        </w:rPr>
        <w:t xml:space="preserve">4.4</w:t>
      </w:r>
      <w:r>
        <w:tab/>
      </w:r>
      <w:r>
        <w:t xml:space="preserve">4.4 Implementatieplan</w:t>
      </w:r>
    </w:p>
    <w:bookmarkEnd w:id="64"/>
    <w:bookmarkEnd w:id="65"/>
    <w:bookmarkStart w:id="69" w:name="control-fase"/>
    <w:p>
      <w:pPr>
        <w:pStyle w:val="Heading1"/>
      </w:pPr>
      <w:r>
        <w:rPr>
          <w:rStyle w:val="SectionNumber"/>
        </w:rPr>
        <w:t xml:space="preserve">5</w:t>
      </w:r>
      <w:r>
        <w:tab/>
      </w:r>
      <w:r>
        <w:t xml:space="preserve">5. Control-fase</w:t>
      </w:r>
    </w:p>
    <w:p>
      <w:pPr>
        <w:pStyle w:val="FirstParagraph"/>
      </w:pPr>
      <w:r>
        <w:t xml:space="preserve">Inleiding</w:t>
      </w:r>
    </w:p>
    <w:bookmarkStart w:id="66" w:name="borgingsinstrumenten"/>
    <w:p>
      <w:pPr>
        <w:pStyle w:val="Heading2"/>
      </w:pPr>
      <w:r>
        <w:rPr>
          <w:rStyle w:val="SectionNumber"/>
        </w:rPr>
        <w:t xml:space="preserve">5.1</w:t>
      </w:r>
      <w:r>
        <w:tab/>
      </w:r>
      <w:r>
        <w:t xml:space="preserve">5.1 Borgingsinstrumenten</w:t>
      </w:r>
    </w:p>
    <w:p>
      <w:pPr>
        <w:pStyle w:val="FirstParagraph"/>
      </w:pPr>
      <w:r>
        <w:t xml:space="preserve">Aan het eind van de module vind met het docententeam een evaluatie plaats aan de hand van een</w:t>
      </w:r>
      <w:r>
        <w:t xml:space="preserve"> </w:t>
      </w:r>
      <w:r>
        <w:t xml:space="preserve">“</w:t>
      </w:r>
      <w:r>
        <w:t xml:space="preserve">PDCA</w:t>
      </w:r>
      <w:r>
        <w:t xml:space="preserve">”</w:t>
      </w:r>
      <w:r>
        <w:t xml:space="preserve"> </w:t>
      </w:r>
      <w:r>
        <w:t xml:space="preserve">formulier.</w:t>
      </w:r>
    </w:p>
    <w:bookmarkEnd w:id="66"/>
    <w:bookmarkStart w:id="67" w:name="control-instrument-1"/>
    <w:p>
      <w:pPr>
        <w:pStyle w:val="Heading2"/>
      </w:pPr>
      <w:r>
        <w:rPr>
          <w:rStyle w:val="SectionNumber"/>
        </w:rPr>
        <w:t xml:space="preserve">5.2</w:t>
      </w:r>
      <w:r>
        <w:tab/>
      </w:r>
      <w:r>
        <w:t xml:space="preserve">5.2 Control instrument 1</w:t>
      </w:r>
    </w:p>
    <w:bookmarkEnd w:id="67"/>
    <w:bookmarkStart w:id="68" w:name="control-instrument-2"/>
    <w:p>
      <w:pPr>
        <w:pStyle w:val="Heading2"/>
      </w:pPr>
      <w:r>
        <w:rPr>
          <w:rStyle w:val="SectionNumber"/>
        </w:rPr>
        <w:t xml:space="preserve">5.3</w:t>
      </w:r>
      <w:r>
        <w:tab/>
      </w:r>
      <w:r>
        <w:t xml:space="preserve">5.3 Control instrument 2</w:t>
      </w:r>
    </w:p>
    <w:bookmarkEnd w:id="68"/>
    <w:bookmarkEnd w:id="69"/>
    <w:bookmarkStart w:id="74"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70">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72" name="Picture"/>
            <a:graphic>
              <a:graphicData uri="http://schemas.openxmlformats.org/drawingml/2006/picture">
                <pic:pic>
                  <pic:nvPicPr>
                    <pic:cNvPr descr="./static/beoordeling.jpg" id="73" name="Picture"/>
                    <pic:cNvPicPr>
                      <a:picLocks noChangeArrowheads="1" noChangeAspect="1"/>
                    </pic:cNvPicPr>
                  </pic:nvPicPr>
                  <pic:blipFill>
                    <a:blip r:embed="rId71"/>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74"/>
    <w:bookmarkStart w:id="75" w:name="studiebelasting"/>
    <w:p>
      <w:pPr>
        <w:pStyle w:val="Heading1"/>
      </w:pPr>
      <w:r>
        <w:rPr>
          <w:rStyle w:val="SectionNumber"/>
        </w:rPr>
        <w:t xml:space="preserve">B</w:t>
      </w:r>
      <w:r>
        <w:tab/>
      </w:r>
      <w:r>
        <w:t xml:space="preserve">Appendix B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ayout w:type="fixed"/>
        <w:tblLook w:firstRow="1" w:lastRow="0" w:firstColumn="0" w:lastColumn="0" w:noHBand="0" w:noVBand="0" w:val="0020"/>
        <w:tblCaption w:val="Studiebelasting"/>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75"/>
    <w:bookmarkStart w:id="76" w:name="partiële-dataset"/>
    <w:p>
      <w:pPr>
        <w:pStyle w:val="Heading1"/>
      </w:pPr>
      <w:r>
        <w:rPr>
          <w:rStyle w:val="SectionNumber"/>
        </w:rPr>
        <w:t xml:space="preserve">C</w:t>
      </w:r>
      <w:r>
        <w:tab/>
      </w:r>
      <w:r>
        <w:t xml:space="preserve">Appendix C — Partiële dataset</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de doelstelling zal na de analyse fase worden aangepast omdat dan pas duidelijk zal zijn wat momenteel de gemiddelde doorlooptijd is.</w:t>
      </w:r>
    </w:p>
  </w:footnote>
  <w:footnote w:id="34">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jpg" /><Relationship Type="http://schemas.openxmlformats.org/officeDocument/2006/relationships/image" Id="rId47" Target="media/rId47.jp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70"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70"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
  <cp:keywords/>
  <dcterms:created xsi:type="dcterms:W3CDTF">2024-05-02T20:21:58Z</dcterms:created>
  <dcterms:modified xsi:type="dcterms:W3CDTF">2024-05-02T20:21:58Z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ndix-delim">
    <vt:lpwstr>:</vt:lpwstr>
  </property>
  <property fmtid="{D5CDD505-2E9C-101B-9397-08002B2CF9AE}" pid="3" name="appendix-title">
    <vt:lpwstr>App.</vt:lpwstr>
  </property>
  <property fmtid="{D5CDD505-2E9C-101B-9397-08002B2CF9AE}" pid="4" name="biblio-config">
    <vt:lpwstr>True</vt:lpwstr>
  </property>
  <property fmtid="{D5CDD505-2E9C-101B-9397-08002B2CF9AE}" pid="5" name="book">
    <vt:lpwstr/>
  </property>
  <property fmtid="{D5CDD505-2E9C-101B-9397-08002B2CF9AE}" pid="6" name="crossref">
    <vt:lpwstr>False</vt:lpwstr>
  </property>
  <property fmtid="{D5CDD505-2E9C-101B-9397-08002B2CF9AE}" pid="7" name="date">
    <vt:lpwstr>11/04/2024</vt:lpwstr>
  </property>
  <property fmtid="{D5CDD505-2E9C-101B-9397-08002B2CF9AE}" pid="8" name="date-format">
    <vt:lpwstr>DD/MM/YYYY</vt:lpwstr>
  </property>
  <property fmtid="{D5CDD505-2E9C-101B-9397-08002B2CF9AE}" pid="9" name="fig-prefix">
    <vt:lpwstr>figure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Lean / Six Sigma</vt:lpwstr>
  </property>
  <property fmtid="{D5CDD505-2E9C-101B-9397-08002B2CF9AE}" pid="15" name="tbl-prefix">
    <vt:lpwstr>table</vt:lpwstr>
  </property>
  <property fmtid="{D5CDD505-2E9C-101B-9397-08002B2CF9AE}" pid="16" name="template-partials">
    <vt:lpwstr/>
  </property>
  <property fmtid="{D5CDD505-2E9C-101B-9397-08002B2CF9AE}" pid="17" name="toc-title">
    <vt:lpwstr>Table of contents</vt:lpwstr>
  </property>
</Properties>
</file>