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df" ContentType="application/pdf"/>
  <Override PartName="/word/media/rId79.jpg" ContentType="image/jpeg"/>
  <Override PartName="/word/media/rId47.jpg" ContentType="image/jpeg"/>
  <Override PartName="/word/media/rId52.jpg" ContentType="image/jpeg"/>
  <Override PartName="/word/media/rId23.jpg" ContentType="image/jpeg"/>
  <Override PartName="/word/media/rId30.jpg" ContentType="image/jpeg"/>
  <Override PartName="/word/media/rId4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Behalve als html is dit rapport ook beschikbaar als</w:t>
      </w:r>
      <w:r>
        <w:t xml:space="preserve"> </w:t>
      </w:r>
      <w:hyperlink r:id="rId20">
        <w:r>
          <w:rPr>
            <w:rStyle w:val="Hyperlink"/>
          </w:rPr>
          <w:t xml:space="preserve">pdf document</w:t>
        </w:r>
      </w:hyperlink>
      <w:r>
        <w:t xml:space="preserve"> </w:t>
      </w:r>
      <w:r>
        <w:t xml:space="preserve">en als</w:t>
      </w:r>
      <w:r>
        <w:t xml:space="preserve"> </w:t>
      </w:r>
      <w:hyperlink r:id="rId21">
        <w:r>
          <w:rPr>
            <w:rStyle w:val="Hyperlink"/>
          </w:rPr>
          <w:t xml:space="preserve">docx document</w:t>
        </w:r>
      </w:hyperlink>
      <w:r>
        <w:t xml:space="preserve">.</w:t>
      </w:r>
    </w:p>
    <w:bookmarkEnd w:id="22"/>
    <w:bookmarkStart w:id="46"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7"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tbl>
      <w:tblPr>
        <w:tblStyle w:val="Table"/>
        <w:tblW w:type="pct" w:w="5000"/>
        <w:tblLayout w:type="fixed"/>
        <w:tblLook w:firstRow="0" w:lastRow="0" w:firstColumn="0" w:lastColumn="0" w:noHBand="0" w:noVBand="0" w:val="0000"/>
      </w:tblPr>
      <w:tblGrid>
        <w:gridCol w:w="7920"/>
      </w:tblGrid>
      <w:tr>
        <w:tc>
          <w:tcPr/>
          <w:bookmarkStart w:id="26" w:name="fig-module-proces"/>
          <w:p>
            <w:pPr>
              <w:pStyle w:val="Compact"/>
              <w:jc w:val="left"/>
            </w:pPr>
            <w:r>
              <w:drawing>
                <wp:inline>
                  <wp:extent cx="5334000" cy="1598443"/>
                  <wp:effectExtent b="0" l="0" r="0" t="0"/>
                  <wp:docPr descr="" title="" id="24" name="Picture"/>
                  <a:graphic>
                    <a:graphicData uri="http://schemas.openxmlformats.org/drawingml/2006/picture">
                      <pic:pic>
                        <pic:nvPicPr>
                          <pic:cNvPr descr="./static/module_generiek.jpg" id="25" name="Picture"/>
                          <pic:cNvPicPr>
                            <a:picLocks noChangeArrowheads="1" noChangeAspect="1"/>
                          </pic:cNvPicPr>
                        </pic:nvPicPr>
                        <pic:blipFill>
                          <a:blip r:embed="rId23"/>
                          <a:stretch>
                            <a:fillRect/>
                          </a:stretch>
                        </pic:blipFill>
                        <pic:spPr bwMode="auto">
                          <a:xfrm>
                            <a:off x="0" y="0"/>
                            <a:ext cx="5334000" cy="1598443"/>
                          </a:xfrm>
                          <a:prstGeom prst="rect">
                            <a:avLst/>
                          </a:prstGeom>
                          <a:noFill/>
                          <a:ln w="9525">
                            <a:noFill/>
                            <a:headEnd/>
                            <a:tailEnd/>
                          </a:ln>
                        </pic:spPr>
                      </pic:pic>
                    </a:graphicData>
                  </a:graphic>
                </wp:inline>
              </w:drawing>
            </w:r>
          </w:p>
          <w:p>
            <w:pPr>
              <w:jc w:val="left"/>
            </w:pPr>
            <w:pPr>
              <w:jc w:val="start"/>
              <w:spacing w:before="200"/>
              <w:pStyle w:val="ImageCaption"/>
            </w:pPr>
            <w:r>
              <w:t xml:space="preserve">Figure 1: Generiek Module Proces</w:t>
            </w:r>
          </w:p>
          <w:bookmarkEnd w:id="26"/>
        </w:tc>
      </w:tr>
    </w:tbl>
    <w:bookmarkEnd w:id="27"/>
    <w:bookmarkStart w:id="29"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Charter{#tbl-projectcharter}</w:t>
      </w:r>
    </w:p>
    <w:tbl>
      <w:tblPr>
        <w:tblStyle w:val="Table"/>
        <w:tblW w:type="pct" w:w="5000"/>
        <w:tblLayout w:type="fixed"/>
        <w:tblLook w:firstRow="1" w:lastRow="0" w:firstColumn="0" w:lastColumn="0" w:noHBand="0" w:noVBand="0" w:val="0020"/>
        <w:tblCaption w:val="Project Charter{#tbl-projectcharter}"/>
      </w:tblPr>
      <w:tblGrid>
        <w:gridCol w:w="3745"/>
        <w:gridCol w:w="4174"/>
      </w:tblGrid>
      <w:tr>
        <w:trPr>
          <w:tblHeader w:val="on"/>
        </w:trPr>
        <w:tc>
          <w:tcPr/>
          <w:p>
            <w:pPr>
              <w:pStyle w:val="Compact"/>
              <w:jc w:val="left"/>
            </w:pPr>
            <w:r>
              <w:rPr>
                <w:b/>
                <w:bCs/>
              </w:rPr>
              <w:t xml:space="preserve">Business Case</w:t>
            </w:r>
          </w:p>
        </w:tc>
        <w:tc>
          <w:tcPr/>
          <w:p>
            <w:pPr>
              <w:pStyle w:val="Compact"/>
              <w:jc w:val="left"/>
            </w:pPr>
            <w:r>
              <w:rPr>
                <w:b/>
                <w:bCs/>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
                <w:bCs/>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
                <w:bCs/>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
                <w:bCs/>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
                <w:bCs/>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
                <w:bCs/>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8"/>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9"/>
    <w:bookmarkStart w:id="35"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tbl>
      <w:tblPr>
        <w:tblStyle w:val="Table"/>
        <w:tblW w:type="pct" w:w="5000"/>
        <w:tblLayout w:type="fixed"/>
        <w:tblLook w:firstRow="0" w:lastRow="0" w:firstColumn="0" w:lastColumn="0" w:noHBand="0" w:noVBand="0" w:val="0000"/>
      </w:tblPr>
      <w:tblGrid>
        <w:gridCol w:w="7920"/>
      </w:tblGrid>
      <w:tr>
        <w:tc>
          <w:tcPr/>
          <w:bookmarkStart w:id="33" w:name="fig-onderwijs"/>
          <w:p>
            <w:pPr>
              <w:pStyle w:val="Compact"/>
              <w:jc w:val="left"/>
            </w:pPr>
            <w:r>
              <w:drawing>
                <wp:inline>
                  <wp:extent cx="5334000" cy="3246042"/>
                  <wp:effectExtent b="0" l="0" r="0" t="0"/>
                  <wp:docPr descr="" title="" id="31" name="Picture"/>
                  <a:graphic>
                    <a:graphicData uri="http://schemas.openxmlformats.org/drawingml/2006/picture">
                      <pic:pic>
                        <pic:nvPicPr>
                          <pic:cNvPr descr="./static/onderwijs_geven.jpg" id="32" name="Picture"/>
                          <pic:cNvPicPr>
                            <a:picLocks noChangeArrowheads="1" noChangeAspect="1"/>
                          </pic:cNvPicPr>
                        </pic:nvPicPr>
                        <pic:blipFill>
                          <a:blip r:embed="rId30"/>
                          <a:stretch>
                            <a:fillRect/>
                          </a:stretch>
                        </pic:blipFill>
                        <pic:spPr bwMode="auto">
                          <a:xfrm>
                            <a:off x="0" y="0"/>
                            <a:ext cx="5334000" cy="3246042"/>
                          </a:xfrm>
                          <a:prstGeom prst="rect">
                            <a:avLst/>
                          </a:prstGeom>
                          <a:noFill/>
                          <a:ln w="9525">
                            <a:noFill/>
                            <a:headEnd/>
                            <a:tailEnd/>
                          </a:ln>
                        </pic:spPr>
                      </pic:pic>
                    </a:graphicData>
                  </a:graphic>
                </wp:inline>
              </w:drawing>
            </w:r>
          </w:p>
          <w:p>
            <w:pPr>
              <w:jc w:val="left"/>
            </w:pPr>
            <w:pPr>
              <w:jc w:val="start"/>
              <w:spacing w:before="200"/>
              <w:pStyle w:val="ImageCaption"/>
            </w:pPr>
            <w:r>
              <w:t xml:space="preserve">Figure 2: Onderwijsuitvoering</w:t>
            </w:r>
          </w:p>
          <w:bookmarkEnd w:id="33"/>
        </w:tc>
      </w:tr>
    </w:tbl>
    <w:p>
      <w:pPr>
        <w:pStyle w:val="BodyText"/>
      </w:pPr>
      <w:r>
        <w:t xml:space="preserve">Ter algemene toelichting:</w:t>
      </w:r>
    </w:p>
    <w:p>
      <w:pPr>
        <w:pStyle w:val="Compact"/>
        <w:numPr>
          <w:ilvl w:val="0"/>
          <w:numId w:val="1001"/>
        </w:numPr>
      </w:pPr>
      <w:r>
        <w:t xml:space="preserve">Het coördinatieteam zorgt ondermeer voor het samenstellen van het rooster.</w:t>
      </w:r>
    </w:p>
    <w:p>
      <w:pPr>
        <w:pStyle w:val="Compact"/>
        <w:numPr>
          <w:ilvl w:val="0"/>
          <w:numId w:val="1001"/>
        </w:numPr>
      </w:pPr>
      <w:r>
        <w:t xml:space="preserve">Onderwijs &amp; onderzoek ondersteunt o.a. bij de inrichting en het gebruik van het LMS</w:t>
      </w:r>
      <w:r>
        <w:rPr>
          <w:rStyle w:val="FootnoteReference"/>
        </w:rPr>
        <w:footnoteReference w:id="34"/>
      </w:r>
      <w:r>
        <w:t xml:space="preserve">.</w:t>
      </w:r>
    </w:p>
    <w:p>
      <w:pPr>
        <w:pStyle w:val="Compact"/>
        <w:numPr>
          <w:ilvl w:val="0"/>
          <w:numId w:val="1001"/>
        </w:numPr>
      </w:pPr>
      <w:r>
        <w:t xml:space="preserve">De externe dienstverlener is in dit geval Skoledo waar de studenten de e-learnings volgen.</w:t>
      </w:r>
    </w:p>
    <w:p>
      <w:pPr>
        <w:pStyle w:val="Compact"/>
        <w:numPr>
          <w:ilvl w:val="0"/>
          <w:numId w:val="1001"/>
        </w:numPr>
      </w:pPr>
      <w:r>
        <w:t xml:space="preserve">Het examenburo verzorgt de logistiek rondom de afname van examens.</w:t>
      </w:r>
    </w:p>
    <w:p>
      <w:pPr>
        <w:pStyle w:val="Compact"/>
        <w:numPr>
          <w:ilvl w:val="0"/>
          <w:numId w:val="1001"/>
        </w:numPr>
      </w:pPr>
      <w:r>
        <w:t xml:space="preserve">Onder management wordt hier verstaan het hoofd van de opleiding Finance &amp; Control.</w:t>
      </w:r>
    </w:p>
    <w:bookmarkEnd w:id="35"/>
    <w:bookmarkStart w:id="40"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39" w:name="fig-voc-ctq"/>
          <w:p>
            <w:pPr>
              <w:jc w:val="center"/>
            </w:pPr>
            <w:r>
              <w:drawing>
                <wp:inline>
                  <wp:extent cx="5334000" cy="3423683"/>
                  <wp:effectExtent b="0" l="0" r="0" t="0"/>
                  <wp:docPr descr="" title="" id="37" name="Picture"/>
                  <a:graphic>
                    <a:graphicData uri="http://schemas.openxmlformats.org/drawingml/2006/picture">
                      <pic:pic>
                        <pic:nvPicPr>
                          <pic:cNvPr descr="1_definitie_fase_files/figure-docx/mermaid-figure-2.png" id="38" name="Picture"/>
                          <pic:cNvPicPr>
                            <a:picLocks noChangeArrowheads="1" noChangeAspect="1"/>
                          </pic:cNvPicPr>
                        </pic:nvPicPr>
                        <pic:blipFill>
                          <a:blip r:embed="rId36"/>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Voice of the Business</w:t>
            </w:r>
          </w:p>
          <w:bookmarkEnd w:id="39"/>
        </w:tc>
      </w:tr>
    </w:tbl>
    <w:p>
      <w:pPr>
        <w:pStyle w:val="BodyText"/>
      </w:pPr>
      <w:r>
        <w:t xml:space="preserve">Waarschijnlijke toekomstige verbeteringen:</w:t>
      </w:r>
    </w:p>
    <w:p>
      <w:pPr>
        <w:pStyle w:val="Compact"/>
        <w:numPr>
          <w:ilvl w:val="0"/>
          <w:numId w:val="1002"/>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2"/>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2"/>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40"/>
    <w:bookmarkStart w:id="45"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pStyle w:val="Compact"/>
        <w:numPr>
          <w:ilvl w:val="0"/>
          <w:numId w:val="1003"/>
        </w:numPr>
      </w:pPr>
      <w:r>
        <w:t xml:space="preserve">de ideale doorlooptijd van de e-learnings is</w:t>
      </w:r>
    </w:p>
    <w:p>
      <w:pPr>
        <w:pStyle w:val="Compact"/>
        <w:numPr>
          <w:ilvl w:val="0"/>
          <w:numId w:val="1003"/>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4" w:name="fig-lineplot"/>
          <w:p>
            <w:pPr>
              <w:pStyle w:val="Compact"/>
              <w:jc w:val="center"/>
            </w:pPr>
            <w:r>
              <w:drawing>
                <wp:inline>
                  <wp:extent cx="5334000" cy="2908868"/>
                  <wp:effectExtent b="0" l="0" r="0" t="0"/>
                  <wp:docPr descr="" title="" id="42" name="Picture"/>
                  <a:graphic>
                    <a:graphicData uri="http://schemas.openxmlformats.org/drawingml/2006/picture">
                      <pic:pic>
                        <pic:nvPicPr>
                          <pic:cNvPr descr="1_definitie_fase_files/figure-docx/fig-lineplot-output-1.png" id="43" name="Picture"/>
                          <pic:cNvPicPr>
                            <a:picLocks noChangeArrowheads="1" noChangeAspect="1"/>
                          </pic:cNvPicPr>
                        </pic:nvPicPr>
                        <pic:blipFill>
                          <a:blip r:embed="rId41"/>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line plot showing progress on the e-learnings</w:t>
            </w:r>
          </w:p>
          <w:bookmarkEnd w:id="44"/>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4"/>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4"/>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5"/>
    <w:bookmarkEnd w:id="46"/>
    <w:bookmarkStart w:id="63" w:name="measure-fase"/>
    <w:p>
      <w:pPr>
        <w:pStyle w:val="Heading1"/>
      </w:pPr>
      <w:r>
        <w:rPr>
          <w:rStyle w:val="SectionNumber"/>
        </w:rPr>
        <w:t xml:space="preserve">2</w:t>
      </w:r>
      <w:r>
        <w:tab/>
      </w:r>
      <w:r>
        <w:t xml:space="preserve">2. 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51" w:name="gegevens---verzamelen"/>
    <w:p>
      <w:pPr>
        <w:pStyle w:val="Heading2"/>
      </w:pPr>
      <w:r>
        <w:rPr>
          <w:rStyle w:val="SectionNumber"/>
        </w:rPr>
        <w:t xml:space="preserve">2.1</w:t>
      </w:r>
      <w:r>
        <w:tab/>
      </w:r>
      <w:r>
        <w:t xml:space="preserve">2.1 Gegevens - verzamelen</w:t>
      </w:r>
    </w:p>
    <w:p>
      <w:pPr>
        <w:pStyle w:val="FirstParagraph"/>
      </w:pPr>
      <w:r>
        <w:t xml:space="preserve">In de grafiek hieronder staat een vereenvoudigde grafische weergave van een vijftal gegevensbronnen waarmee men tijdens het proces</w:t>
      </w:r>
      <w:r>
        <w:t xml:space="preserve"> </w:t>
      </w:r>
      <w:r>
        <w:t xml:space="preserve">“</w:t>
      </w:r>
      <w:r>
        <w:t xml:space="preserve">onderwijsuitvoering</w:t>
      </w:r>
      <w:r>
        <w:t xml:space="preserve">”</w:t>
      </w:r>
      <w:r>
        <w:t xml:space="preserve"> </w:t>
      </w:r>
      <w:r>
        <w:t xml:space="preserve">te maken heeft.</w:t>
      </w:r>
    </w:p>
    <w:tbl>
      <w:tblPr>
        <w:tblStyle w:val="Table"/>
        <w:tblW w:type="pct" w:w="5000"/>
        <w:tblLayout w:type="fixed"/>
        <w:tblLook w:firstRow="0" w:lastRow="0" w:firstColumn="0" w:lastColumn="0" w:noHBand="0" w:noVBand="0" w:val="0000"/>
      </w:tblPr>
      <w:tblGrid>
        <w:gridCol w:w="7920"/>
      </w:tblGrid>
      <w:tr>
        <w:tc>
          <w:tcPr/>
          <w:bookmarkStart w:id="50" w:name="fig-gegevensbronnen"/>
          <w:p>
            <w:pPr>
              <w:pStyle w:val="Compact"/>
              <w:jc w:val="left"/>
            </w:pPr>
            <w:r>
              <w:drawing>
                <wp:inline>
                  <wp:extent cx="5334000" cy="2002252"/>
                  <wp:effectExtent b="0" l="0" r="0" t="0"/>
                  <wp:docPr descr="" title="" id="48" name="Picture"/>
                  <a:graphic>
                    <a:graphicData uri="http://schemas.openxmlformats.org/drawingml/2006/picture">
                      <pic:pic>
                        <pic:nvPicPr>
                          <pic:cNvPr descr="./static/gegevensbronnen2.jpg" id="49" name="Picture"/>
                          <pic:cNvPicPr>
                            <a:picLocks noChangeArrowheads="1" noChangeAspect="1"/>
                          </pic:cNvPicPr>
                        </pic:nvPicPr>
                        <pic:blipFill>
                          <a:blip r:embed="rId47"/>
                          <a:stretch>
                            <a:fillRect/>
                          </a:stretch>
                        </pic:blipFill>
                        <pic:spPr bwMode="auto">
                          <a:xfrm>
                            <a:off x="0" y="0"/>
                            <a:ext cx="5334000" cy="2002252"/>
                          </a:xfrm>
                          <a:prstGeom prst="rect">
                            <a:avLst/>
                          </a:prstGeom>
                          <a:noFill/>
                          <a:ln w="9525">
                            <a:noFill/>
                            <a:headEnd/>
                            <a:tailEnd/>
                          </a:ln>
                        </pic:spPr>
                      </pic:pic>
                    </a:graphicData>
                  </a:graphic>
                </wp:inline>
              </w:drawing>
            </w:r>
          </w:p>
          <w:p>
            <w:pPr>
              <w:jc w:val="left"/>
            </w:pPr>
            <w:pPr>
              <w:jc w:val="start"/>
              <w:spacing w:before="200"/>
              <w:pStyle w:val="ImageCaption"/>
            </w:pPr>
            <w:r>
              <w:t xml:space="preserve">Figure 5: Gegevensbronnen</w:t>
            </w:r>
          </w:p>
          <w:bookmarkEnd w:id="50"/>
        </w:tc>
      </w:tr>
    </w:tbl>
    <w:p>
      <w:pPr>
        <w:pStyle w:val="Compact"/>
        <w:numPr>
          <w:ilvl w:val="0"/>
          <w:numId w:val="1005"/>
        </w:numPr>
      </w:pPr>
      <w:r>
        <w:t xml:space="preserve">SIS, het studenten informaties systeem, bevat de klassenlijst. SIS is ook het systeem waar, op het eind van het blok, de cijfers van de studenten worden ingevoerd.</w:t>
      </w:r>
    </w:p>
    <w:p>
      <w:pPr>
        <w:pStyle w:val="Compact"/>
        <w:numPr>
          <w:ilvl w:val="0"/>
          <w:numId w:val="1005"/>
        </w:numPr>
      </w:pPr>
      <w:r>
        <w:t xml:space="preserve">Skoledo is de leverancier van de e-learnings. Skoledo levert wekelijks de voortgang van de studenten aan alsook tussentijdse resultaten.</w:t>
      </w:r>
    </w:p>
    <w:p>
      <w:pPr>
        <w:pStyle w:val="Compact"/>
        <w:numPr>
          <w:ilvl w:val="0"/>
          <w:numId w:val="1005"/>
        </w:numPr>
      </w:pPr>
      <w:r>
        <w:t xml:space="preserve">Brightspace bevat de studiehandleiding en de lesstof. Brightspace is ook het systeem waar de praktijkopdrachten worden ingeleverd en beoordeeld.</w:t>
      </w:r>
    </w:p>
    <w:p>
      <w:pPr>
        <w:pStyle w:val="Compact"/>
        <w:numPr>
          <w:ilvl w:val="0"/>
          <w:numId w:val="1005"/>
        </w:numPr>
      </w:pPr>
      <w:r>
        <w:t xml:space="preserve">Het rooster geeft aan waar en wanneer de lessen plaatsvinden. Aanwezigheid wordt bijgehouden in een excel sheet.</w:t>
      </w:r>
    </w:p>
    <w:p>
      <w:pPr>
        <w:pStyle w:val="Compact"/>
        <w:numPr>
          <w:ilvl w:val="0"/>
          <w:numId w:val="1005"/>
        </w:numPr>
      </w:pPr>
      <w:r>
        <w:t xml:space="preserve">Tenslotte worden de cijfers, zodra deze bepaald zijn, ingevoerd in SIS. SIS staat ook als input getekend omdat aan het begin van het blok wordt gechecked dat alle studenten die in SIS bij het vak geregistreerd staan, ook in Brightspace geregistreerd staan.</w:t>
      </w:r>
    </w:p>
    <w:p>
      <w:pPr>
        <w:pStyle w:val="FirstParagraph"/>
      </w:pPr>
      <w:r>
        <w:t xml:space="preserve">Indachtig de doelstelling, het verlagen van de doorlooptijd van de e-learnings, beschouwen we in dit rapport uitsluitend CTQ1. Het idee is om</w:t>
      </w:r>
    </w:p>
    <w:bookmarkEnd w:id="51"/>
    <w:bookmarkStart w:id="56" w:name="meetplan"/>
    <w:p>
      <w:pPr>
        <w:pStyle w:val="Heading2"/>
      </w:pPr>
      <w:r>
        <w:rPr>
          <w:rStyle w:val="SectionNumber"/>
        </w:rPr>
        <w:t xml:space="preserve">2.2</w:t>
      </w:r>
      <w:r>
        <w:tab/>
      </w:r>
      <w:r>
        <w:t xml:space="preserve">2.2 Meetplan</w:t>
      </w:r>
    </w:p>
    <w:p>
      <w:pPr>
        <w:pStyle w:val="FirstParagraph"/>
      </w:pPr>
      <w:r>
        <w:t xml:space="preserve">In de SIPOC staan de processtappen onder elkaar. Daarmee is niet duidelijk dat sommige processtappen herhaald worden. In onderstaand schema wordt dat verduidelijkt.</w:t>
      </w:r>
    </w:p>
    <w:tbl>
      <w:tblPr>
        <w:tblStyle w:val="Table"/>
        <w:tblW w:type="pct" w:w="5000"/>
        <w:tblLayout w:type="fixed"/>
        <w:tblLook w:firstRow="0" w:lastRow="0" w:firstColumn="0" w:lastColumn="0" w:noHBand="0" w:noVBand="0" w:val="0000"/>
      </w:tblPr>
      <w:tblGrid>
        <w:gridCol w:w="7920"/>
      </w:tblGrid>
      <w:tr>
        <w:tc>
          <w:tcPr/>
          <w:bookmarkStart w:id="55" w:name="fig-module-detail"/>
          <w:p>
            <w:pPr>
              <w:pStyle w:val="Compact"/>
              <w:jc w:val="left"/>
            </w:pPr>
            <w:r>
              <w:drawing>
                <wp:inline>
                  <wp:extent cx="5334000" cy="1958050"/>
                  <wp:effectExtent b="0" l="0" r="0" t="0"/>
                  <wp:docPr descr="" title="" id="53" name="Picture"/>
                  <a:graphic>
                    <a:graphicData uri="http://schemas.openxmlformats.org/drawingml/2006/picture">
                      <pic:pic>
                        <pic:nvPicPr>
                          <pic:cNvPr descr="./static/module_detail.jpg" id="54" name="Picture"/>
                          <pic:cNvPicPr>
                            <a:picLocks noChangeArrowheads="1" noChangeAspect="1"/>
                          </pic:cNvPicPr>
                        </pic:nvPicPr>
                        <pic:blipFill>
                          <a:blip r:embed="rId52"/>
                          <a:stretch>
                            <a:fillRect/>
                          </a:stretch>
                        </pic:blipFill>
                        <pic:spPr bwMode="auto">
                          <a:xfrm>
                            <a:off x="0" y="0"/>
                            <a:ext cx="5334000" cy="1958050"/>
                          </a:xfrm>
                          <a:prstGeom prst="rect">
                            <a:avLst/>
                          </a:prstGeom>
                          <a:noFill/>
                          <a:ln w="9525">
                            <a:noFill/>
                            <a:headEnd/>
                            <a:tailEnd/>
                          </a:ln>
                        </pic:spPr>
                      </pic:pic>
                    </a:graphicData>
                  </a:graphic>
                </wp:inline>
              </w:drawing>
            </w:r>
          </w:p>
          <w:p>
            <w:pPr>
              <w:jc w:val="left"/>
            </w:pPr>
            <w:pPr>
              <w:jc w:val="start"/>
              <w:spacing w:before="200"/>
              <w:pStyle w:val="ImageCaption"/>
            </w:pPr>
            <w:r>
              <w:t xml:space="preserve">Figure 6: Module detail</w:t>
            </w:r>
          </w:p>
          <w:bookmarkEnd w:id="55"/>
        </w:tc>
      </w:tr>
    </w:tbl>
    <w:p>
      <w:pPr>
        <w:pStyle w:val="BodyText"/>
      </w:pPr>
      <w:r>
        <w:t xml:space="preserve">De duur van de module is 1 blok, ofwel 10 weken. De voorbereiding voor het blok, waaronder het maken van het lessenplan wordt voor de aanvang van de module gedaan. Er zijn 8 lesweken, 1 assessment en examenweek, en 1 week voor herkansingen (en voorbereiding volgend blok). In het schema worden stap 3.2 t/m 3.4 in het totaal 8 keer uitgevoerd.</w:t>
      </w:r>
    </w:p>
    <w:p>
      <w:pPr>
        <w:pStyle w:val="TableCaption"/>
      </w:pPr>
      <w:r>
        <w:t xml:space="preserve">Meetplan</w:t>
      </w:r>
    </w:p>
    <w:tbl>
      <w:tblPr>
        <w:tblStyle w:val="Table"/>
        <w:tblW w:type="pct" w:w="5000"/>
        <w:tblLayout w:type="fixed"/>
        <w:tblLook w:firstRow="1" w:lastRow="0" w:firstColumn="0" w:lastColumn="0" w:noHBand="0" w:noVBand="0" w:val="0020"/>
        <w:tblCaption w:val="Meetplan"/>
      </w:tblPr>
      <w:tblGrid>
        <w:gridCol w:w="905"/>
        <w:gridCol w:w="1131"/>
        <w:gridCol w:w="1885"/>
        <w:gridCol w:w="1357"/>
        <w:gridCol w:w="1433"/>
        <w:gridCol w:w="1206"/>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data</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datum&amp;cijfer</w:t>
            </w:r>
          </w:p>
        </w:tc>
        <w:tc>
          <w:tcPr/>
          <w:p>
            <w:pPr>
              <w:pStyle w:val="Compact"/>
              <w:jc w:val="left"/>
            </w:pPr>
            <w:r>
              <w:t xml:space="preserve">CTQ1</w:t>
            </w:r>
          </w:p>
        </w:tc>
        <w:tc>
          <w:tcPr/>
          <w:p>
            <w:pPr>
              <w:pStyle w:val="Compact"/>
              <w:jc w:val="left"/>
            </w:pPr>
            <w:r>
              <w:t xml:space="preserve">Automatisch door het volgen van de e-learnings</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Skoledo</w:t>
            </w:r>
          </w:p>
        </w:tc>
      </w:tr>
      <w:tr>
        <w:tc>
          <w:tcPr/>
          <w:p>
            <w:pPr>
              <w:pStyle w:val="Compact"/>
              <w:jc w:val="left"/>
            </w:pPr>
            <w:r>
              <w:t xml:space="preserve">datum&amp;cijfer</w:t>
            </w:r>
          </w:p>
        </w:tc>
        <w:tc>
          <w:tcPr/>
          <w:p>
            <w:pPr>
              <w:pStyle w:val="Compact"/>
              <w:jc w:val="left"/>
            </w:pPr>
            <w:r>
              <w:t xml:space="preserve">CTQ2</w:t>
            </w:r>
          </w:p>
        </w:tc>
        <w:tc>
          <w:tcPr/>
          <w:p>
            <w:pPr>
              <w:pStyle w:val="Compact"/>
              <w:jc w:val="left"/>
            </w:pPr>
            <w:r>
              <w:t xml:space="preserve">Handmatig door beoordeling praktijkopddracht</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Vakdocent</w:t>
            </w:r>
          </w:p>
        </w:tc>
      </w:tr>
      <w:tr>
        <w:tc>
          <w:tcPr/>
          <w:p>
            <w:pPr>
              <w:pStyle w:val="Compact"/>
              <w:jc w:val="left"/>
            </w:pPr>
            <w:r>
              <w:t xml:space="preserve">datum&amp;cijfer</w:t>
            </w:r>
          </w:p>
        </w:tc>
        <w:tc>
          <w:tcPr/>
          <w:p>
            <w:pPr>
              <w:pStyle w:val="Compact"/>
              <w:jc w:val="left"/>
            </w:pPr>
            <w:r>
              <w:t xml:space="preserve">CTQ3</w:t>
            </w:r>
          </w:p>
        </w:tc>
        <w:tc>
          <w:tcPr/>
          <w:p>
            <w:pPr>
              <w:pStyle w:val="Compact"/>
              <w:jc w:val="left"/>
            </w:pPr>
            <w:r>
              <w:t xml:space="preserve">Semi-automatisch door maken examen en de beoordeling daarvan</w:t>
            </w:r>
          </w:p>
        </w:tc>
        <w:tc>
          <w:tcPr/>
          <w:p>
            <w:pPr>
              <w:pStyle w:val="Compact"/>
              <w:jc w:val="left"/>
            </w:pPr>
            <w:r>
              <w:t xml:space="preserve">in week 9</w:t>
            </w:r>
          </w:p>
        </w:tc>
        <w:tc>
          <w:tcPr/>
          <w:p>
            <w:pPr>
              <w:pStyle w:val="Compact"/>
              <w:jc w:val="left"/>
            </w:pPr>
            <w:r>
              <w:t xml:space="preserve">voor processtap 3.5</w:t>
            </w:r>
          </w:p>
        </w:tc>
        <w:tc>
          <w:tcPr/>
          <w:p>
            <w:pPr>
              <w:pStyle w:val="Compact"/>
              <w:jc w:val="left"/>
            </w:pPr>
            <w:r>
              <w:t xml:space="preserve">Vakdocent</w:t>
            </w:r>
          </w:p>
        </w:tc>
      </w:tr>
    </w:tbl>
    <w:p>
      <w:pPr>
        <w:pStyle w:val="BodyText"/>
      </w:pPr>
      <w:r>
        <w:t xml:space="preserve">De doelstelling, het verlagen van de doorlooptijd van de e-learnings betreft slechts één, albeit belangrijk, onderdeel van het vak operations.</w:t>
      </w:r>
    </w:p>
    <w:p>
      <w:pPr>
        <w:pStyle w:val="BodyText"/>
      </w:pPr>
      <w:r>
        <w:t xml:space="preserve">Ten behoeve van dit rapport worden de volgende definities gehanteerd:</w:t>
      </w:r>
    </w:p>
    <w:p>
      <w:pPr>
        <w:pStyle w:val="Compact"/>
        <w:numPr>
          <w:ilvl w:val="0"/>
          <w:numId w:val="1006"/>
        </w:numPr>
      </w:pPr>
      <w:r>
        <w:t xml:space="preserve">Cyclustijd: de tijd tussen twee opeenvolgende modules, is 10 weken.</w:t>
      </w:r>
    </w:p>
    <w:p>
      <w:pPr>
        <w:pStyle w:val="Compact"/>
        <w:numPr>
          <w:ilvl w:val="0"/>
          <w:numId w:val="1006"/>
        </w:numPr>
      </w:pPr>
      <w:r>
        <w:t xml:space="preserve">Doorlooptijd: de totale tijd om het vak af te ronden is 9 weken, gerekend vanaf de start van het blok.</w:t>
      </w:r>
    </w:p>
    <w:p>
      <w:pPr>
        <w:pStyle w:val="Compact"/>
        <w:numPr>
          <w:ilvl w:val="0"/>
          <w:numId w:val="1006"/>
        </w:numPr>
      </w:pPr>
      <w:r>
        <w:t xml:space="preserve">Taktijd: de maximale tijd om de e-learnings af te ronden is 8 weken, gerekend vanaf de start van het blok.</w:t>
      </w:r>
    </w:p>
    <w:p>
      <w:pPr>
        <w:pStyle w:val="FirstParagraph"/>
      </w:pPr>
      <w:r>
        <w:t xml:space="preserve">De redenatie is dat de e-learning nodig is om de praktijkopdracht te kunnenn maken, en ook nodig is om de kennistoets te kunnen maken. De waardes voor de doorlooptijd en taktijd zijn afgerond op hele weken.</w:t>
      </w:r>
    </w:p>
    <w:bookmarkEnd w:id="56"/>
    <w:bookmarkStart w:id="57" w:name="gegevens---betrouwbaarheid"/>
    <w:p>
      <w:pPr>
        <w:pStyle w:val="Heading2"/>
      </w:pPr>
      <w:r>
        <w:rPr>
          <w:rStyle w:val="SectionNumber"/>
        </w:rPr>
        <w:t xml:space="preserve">2.3</w:t>
      </w:r>
      <w:r>
        <w:tab/>
      </w:r>
      <w:r>
        <w:t xml:space="preserve">2.3 Gegevens - betrouwbaarheid</w:t>
      </w:r>
    </w:p>
    <w:p>
      <w:pPr>
        <w:pStyle w:val="FirstParagraph"/>
      </w:pPr>
      <w:r>
        <w:t xml:space="preserve">De gegevens v.w.b. de voortgang van de e-learnings zijn afkomstig van Skoledo. De gegevens worden wekelijks samengesteld en opgestuurd. Er worden door de ontvanger een paar checks gedaan:</w:t>
      </w:r>
      <w:r>
        <w:t xml:space="preserve"> </w:t>
      </w:r>
      <w:r>
        <w:t xml:space="preserve">- Zijn de data oplopend</w:t>
      </w:r>
      <w:r>
        <w:t xml:space="preserve"> </w:t>
      </w:r>
      <w:r>
        <w:t xml:space="preserve">- Is de voortgang deze week niet lager dan vorige week</w:t>
      </w:r>
    </w:p>
    <w:p>
      <w:pPr>
        <w:pStyle w:val="BodyText"/>
      </w:pPr>
      <w:r>
        <w:t xml:space="preserve">Betrouwbaarheid op twee manieren uitlegbaar. Wordt gemeten wat we willen meten? Is het gegeven zelf betrouwbaar.</w:t>
      </w:r>
    </w:p>
    <w:p>
      <w:pPr>
        <w:pStyle w:val="BodyText"/>
      </w:pPr>
      <w:r>
        <w:t xml:space="preserve">De nauwkeurigheid van het meetsysteem.</w:t>
      </w:r>
    </w:p>
    <w:p>
      <w:pPr>
        <w:pStyle w:val="BodyText"/>
      </w:pPr>
      <w:r>
        <w:t xml:space="preserve">Absoluut of relatief?</w:t>
      </w:r>
    </w:p>
    <w:p>
      <w:pPr>
        <w:pStyle w:val="BodyText"/>
      </w:pPr>
      <w:r>
        <w:t xml:space="preserve">Unit of analysis.</w:t>
      </w:r>
      <w:r>
        <w:t xml:space="preserve"> </w:t>
      </w:r>
      <w:r>
        <w:t xml:space="preserve">Populatie</w:t>
      </w:r>
      <w:r>
        <w:t xml:space="preserve"> </w:t>
      </w:r>
      <w:r>
        <w:t xml:space="preserve">Steekproefomvang</w:t>
      </w:r>
      <w:r>
        <w:t xml:space="preserve"> </w:t>
      </w:r>
      <w:r>
        <w:t xml:space="preserve">Representatief</w:t>
      </w:r>
    </w:p>
    <w:bookmarkEnd w:id="57"/>
    <w:bookmarkStart w:id="62" w:name="gegevens---verwerken"/>
    <w:p>
      <w:pPr>
        <w:pStyle w:val="Heading2"/>
      </w:pPr>
      <w:r>
        <w:rPr>
          <w:rStyle w:val="SectionNumber"/>
        </w:rPr>
        <w:t xml:space="preserve">2.4</w:t>
      </w:r>
      <w:r>
        <w:tab/>
      </w:r>
      <w:r>
        <w:t xml:space="preserve">2.4 Gegevens - verwerken</w:t>
      </w:r>
    </w:p>
    <w:p>
      <w:pPr>
        <w:pStyle w:val="FirstParagraph"/>
      </w:pPr>
      <w:r>
        <w:t xml:space="preserve">In de analyse-fase wordt gebruik gemaakt van secundaire data. De data wordt aangeleverd door Skoledo. De gegevens zullen worden verwerkt met Excel. De overwegingen om de gegevens in excel te verwerken zijn:</w:t>
      </w:r>
    </w:p>
    <w:p>
      <w:pPr>
        <w:pStyle w:val="Compact"/>
        <w:numPr>
          <w:ilvl w:val="0"/>
          <w:numId w:val="1007"/>
        </w:numPr>
      </w:pPr>
      <w:r>
        <w:t xml:space="preserve">De gegevens worden aangeleverd in Excel</w:t>
      </w:r>
    </w:p>
    <w:p>
      <w:pPr>
        <w:pStyle w:val="Compact"/>
        <w:numPr>
          <w:ilvl w:val="0"/>
          <w:numId w:val="1007"/>
        </w:numPr>
      </w:pPr>
      <w:r>
        <w:t xml:space="preserve">Excel is voor iedereen (docenten en studenten) beschikbaar</w:t>
      </w:r>
    </w:p>
    <w:p>
      <w:pPr>
        <w:pStyle w:val="Compact"/>
        <w:numPr>
          <w:ilvl w:val="0"/>
          <w:numId w:val="1007"/>
        </w:numPr>
      </w:pPr>
      <w:r>
        <w:t xml:space="preserve">Brede bekendheid met Excel onder de docenten</w:t>
      </w:r>
    </w:p>
    <w:p>
      <w:pPr>
        <w:pStyle w:val="Compact"/>
        <w:numPr>
          <w:ilvl w:val="0"/>
          <w:numId w:val="1007"/>
        </w:numPr>
      </w:pPr>
      <w:r>
        <w:t xml:space="preserve">Voldoende statistische functies om een analyse te kunnen doen</w:t>
      </w:r>
    </w:p>
    <w:p>
      <w:pPr>
        <w:pStyle w:val="Compact"/>
        <w:numPr>
          <w:ilvl w:val="0"/>
          <w:numId w:val="1007"/>
        </w:numPr>
      </w:pPr>
      <w:r>
        <w:t xml:space="preserve">Voldoende grafische mogelijkheden om een control-chart te kunnen maken</w:t>
      </w:r>
    </w:p>
    <w:p>
      <w:pPr>
        <w:pStyle w:val="Compact"/>
        <w:numPr>
          <w:ilvl w:val="0"/>
          <w:numId w:val="1007"/>
        </w:numPr>
      </w:pPr>
      <w:r>
        <w:t xml:space="preserve">En, last but not least, goede kennis van Excel bij de auteur van dit rapport</w:t>
      </w:r>
    </w:p>
    <w:tbl>
      <w:tblPr>
        <w:tblStyle w:val="Table"/>
        <w:tblW w:type="pct" w:w="5000"/>
        <w:tblLayout w:type="fixed"/>
        <w:tblLook w:firstRow="0" w:lastRow="0" w:firstColumn="0" w:lastColumn="0" w:noHBand="0" w:noVBand="0" w:val="0000"/>
      </w:tblPr>
      <w:tblGrid>
        <w:gridCol w:w="7920"/>
      </w:tblGrid>
      <w:tr>
        <w:tc>
          <w:tcPr/>
          <w:bookmarkStart w:id="61" w:name="fig-linkedin-excel"/>
          <w:p>
            <w:pPr>
              <w:pStyle w:val="Compact"/>
              <w:jc w:val="left"/>
            </w:pPr>
            <w:r>
              <w:drawing>
                <wp:inline>
                  <wp:extent cx="5334000" cy="2596319"/>
                  <wp:effectExtent b="0" l="0" r="0" t="0"/>
                  <wp:docPr descr="" title="" id="59" name="Picture"/>
                  <a:graphic>
                    <a:graphicData uri="http://schemas.openxmlformats.org/drawingml/2006/picture">
                      <pic:pic>
                        <pic:nvPicPr>
                          <pic:cNvPr descr="./static/20210815_LinkedIn_Excel.pdf" id="60" name="Picture"/>
                          <pic:cNvPicPr>
                            <a:picLocks noChangeArrowheads="1" noChangeAspect="1"/>
                          </pic:cNvPicPr>
                        </pic:nvPicPr>
                        <pic:blipFill>
                          <a:blip r:embed="rId58"/>
                          <a:stretch>
                            <a:fillRect/>
                          </a:stretch>
                        </pic:blipFill>
                        <pic:spPr bwMode="auto">
                          <a:xfrm>
                            <a:off x="0" y="0"/>
                            <a:ext cx="5334000" cy="2596319"/>
                          </a:xfrm>
                          <a:prstGeom prst="rect">
                            <a:avLst/>
                          </a:prstGeom>
                          <a:noFill/>
                          <a:ln w="9525">
                            <a:noFill/>
                            <a:headEnd/>
                            <a:tailEnd/>
                          </a:ln>
                        </pic:spPr>
                      </pic:pic>
                    </a:graphicData>
                  </a:graphic>
                </wp:inline>
              </w:drawing>
            </w:r>
          </w:p>
          <w:p>
            <w:pPr>
              <w:jc w:val="left"/>
            </w:pPr>
            <w:pPr>
              <w:jc w:val="start"/>
              <w:spacing w:before="200"/>
              <w:pStyle w:val="ImageCaption"/>
            </w:pPr>
            <w:r>
              <w:t xml:space="preserve">Figure 7: Excel score op LinkedIn (2021)</w:t>
            </w:r>
          </w:p>
          <w:bookmarkEnd w:id="61"/>
        </w:tc>
      </w:tr>
    </w:tbl>
    <w:p>
      <w:pPr>
        <w:pStyle w:val="BodyText"/>
      </w:pPr>
      <w:r>
        <w:t xml:space="preserve">Een voorbeeld van een geanonimisseerd gegevensbestand is opgenomen als bijlage C.</w:t>
      </w:r>
    </w:p>
    <w:bookmarkEnd w:id="62"/>
    <w:bookmarkEnd w:id="63"/>
    <w:bookmarkStart w:id="68" w:name="analyse-fase"/>
    <w:p>
      <w:pPr>
        <w:pStyle w:val="Heading1"/>
      </w:pPr>
      <w:r>
        <w:rPr>
          <w:rStyle w:val="SectionNumber"/>
        </w:rPr>
        <w:t xml:space="preserve">3</w:t>
      </w:r>
      <w:r>
        <w:tab/>
      </w:r>
      <w:r>
        <w:t xml:space="preserve">3. Analyse-fase</w:t>
      </w:r>
    </w:p>
    <w:p>
      <w:pPr>
        <w:pStyle w:val="FirstParagraph"/>
      </w:pPr>
      <w:r>
        <w:t xml:space="preserve">aan bod komen:</w:t>
      </w:r>
    </w:p>
    <w:bookmarkStart w:id="64" w:name="analyse-technieken"/>
    <w:p>
      <w:pPr>
        <w:pStyle w:val="Heading2"/>
      </w:pPr>
      <w:r>
        <w:rPr>
          <w:rStyle w:val="SectionNumber"/>
        </w:rPr>
        <w:t xml:space="preserve">3.1</w:t>
      </w:r>
      <w:r>
        <w:tab/>
      </w:r>
      <w:r>
        <w:t xml:space="preserve">3.1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64"/>
    <w:bookmarkStart w:id="65" w:name="prestaties-van-het-proces"/>
    <w:p>
      <w:pPr>
        <w:pStyle w:val="Heading2"/>
      </w:pPr>
      <w:r>
        <w:rPr>
          <w:rStyle w:val="SectionNumber"/>
        </w:rPr>
        <w:t xml:space="preserve">3.2</w:t>
      </w:r>
      <w:r>
        <w:tab/>
      </w:r>
      <w:r>
        <w:t xml:space="preserve">3.2 Prestaties van het proces</w:t>
      </w:r>
    </w:p>
    <w:bookmarkEnd w:id="65"/>
    <w:bookmarkStart w:id="66" w:name="inventarisatie-invloedsfactoren"/>
    <w:p>
      <w:pPr>
        <w:pStyle w:val="Heading2"/>
      </w:pPr>
      <w:r>
        <w:rPr>
          <w:rStyle w:val="SectionNumber"/>
        </w:rPr>
        <w:t xml:space="preserve">3.3</w:t>
      </w:r>
      <w:r>
        <w:tab/>
      </w:r>
      <w:r>
        <w:t xml:space="preserve">3.3 Inventarisatie invloedsfactoren</w:t>
      </w:r>
    </w:p>
    <w:p>
      <w:pPr>
        <w:pStyle w:val="FirstParagraph"/>
      </w:pPr>
      <w:r>
        <w:t xml:space="preserve">Visgraat</w:t>
      </w:r>
    </w:p>
    <w:bookmarkEnd w:id="66"/>
    <w:bookmarkStart w:id="67" w:name="meeste-impact"/>
    <w:p>
      <w:pPr>
        <w:pStyle w:val="Heading2"/>
      </w:pPr>
      <w:r>
        <w:rPr>
          <w:rStyle w:val="SectionNumber"/>
        </w:rPr>
        <w:t xml:space="preserve">3.4</w:t>
      </w:r>
      <w:r>
        <w:tab/>
      </w:r>
      <w:r>
        <w:t xml:space="preserve">3.4 Meeste Impact</w:t>
      </w:r>
    </w:p>
    <w:p>
      <w:pPr>
        <w:pStyle w:val="Compact"/>
        <w:numPr>
          <w:ilvl w:val="0"/>
          <w:numId w:val="1008"/>
        </w:numPr>
      </w:pPr>
      <w:r>
        <w:t xml:space="preserve">aanwezigheid</w:t>
      </w:r>
    </w:p>
    <w:p>
      <w:pPr>
        <w:pStyle w:val="Compact"/>
        <w:numPr>
          <w:ilvl w:val="0"/>
          <w:numId w:val="1008"/>
        </w:numPr>
      </w:pPr>
      <w:r>
        <w:t xml:space="preserve">e-learning op tijd maken</w:t>
      </w:r>
    </w:p>
    <w:p>
      <w:pPr>
        <w:pStyle w:val="Compact"/>
        <w:numPr>
          <w:ilvl w:val="0"/>
          <w:numId w:val="1008"/>
        </w:numPr>
      </w:pPr>
      <w:r>
        <w:t xml:space="preserve">groepsgenoten</w:t>
      </w:r>
    </w:p>
    <w:p>
      <w:pPr>
        <w:pStyle w:val="Compact"/>
        <w:numPr>
          <w:ilvl w:val="0"/>
          <w:numId w:val="1008"/>
        </w:numPr>
      </w:pPr>
      <w:r>
        <w:t xml:space="preserve">vakdocent</w:t>
      </w:r>
    </w:p>
    <w:p>
      <w:pPr>
        <w:pStyle w:val="Compact"/>
        <w:numPr>
          <w:ilvl w:val="0"/>
          <w:numId w:val="1008"/>
        </w:numPr>
      </w:pPr>
      <w:r>
        <w:t xml:space="preserve">procesdocent</w:t>
      </w:r>
    </w:p>
    <w:bookmarkEnd w:id="67"/>
    <w:bookmarkEnd w:id="68"/>
    <w:bookmarkStart w:id="73" w:name="improve-fase"/>
    <w:p>
      <w:pPr>
        <w:pStyle w:val="Heading1"/>
      </w:pPr>
      <w:r>
        <w:rPr>
          <w:rStyle w:val="SectionNumber"/>
        </w:rPr>
        <w:t xml:space="preserve">4</w:t>
      </w:r>
      <w:r>
        <w:tab/>
      </w:r>
      <w:r>
        <w:t xml:space="preserve">4. Improve-fase</w:t>
      </w:r>
    </w:p>
    <w:bookmarkStart w:id="69" w:name="mogelijke-oplossingen"/>
    <w:p>
      <w:pPr>
        <w:pStyle w:val="Heading2"/>
      </w:pPr>
      <w:r>
        <w:rPr>
          <w:rStyle w:val="SectionNumber"/>
        </w:rPr>
        <w:t xml:space="preserve">4.1</w:t>
      </w:r>
      <w:r>
        <w:tab/>
      </w:r>
      <w:r>
        <w:t xml:space="preserve">4.1 Mogelijke oplossingen</w:t>
      </w:r>
    </w:p>
    <w:bookmarkEnd w:id="69"/>
    <w:bookmarkStart w:id="70" w:name="generatie-van-oplossingen"/>
    <w:p>
      <w:pPr>
        <w:pStyle w:val="Heading2"/>
      </w:pPr>
      <w:r>
        <w:rPr>
          <w:rStyle w:val="SectionNumber"/>
        </w:rPr>
        <w:t xml:space="preserve">4.2</w:t>
      </w:r>
      <w:r>
        <w:tab/>
      </w:r>
      <w:r>
        <w:t xml:space="preserve">4.2 Generatie van oplossingen</w:t>
      </w:r>
    </w:p>
    <w:bookmarkEnd w:id="70"/>
    <w:bookmarkStart w:id="71" w:name="korte-termijn-oplossing"/>
    <w:p>
      <w:pPr>
        <w:pStyle w:val="Heading2"/>
      </w:pPr>
      <w:r>
        <w:rPr>
          <w:rStyle w:val="SectionNumber"/>
        </w:rPr>
        <w:t xml:space="preserve">4.3</w:t>
      </w:r>
      <w:r>
        <w:tab/>
      </w:r>
      <w:r>
        <w:t xml:space="preserve">4.3 Korte termijn oplossing</w:t>
      </w:r>
    </w:p>
    <w:bookmarkEnd w:id="71"/>
    <w:bookmarkStart w:id="72" w:name="implementatieplan"/>
    <w:p>
      <w:pPr>
        <w:pStyle w:val="Heading2"/>
      </w:pPr>
      <w:r>
        <w:rPr>
          <w:rStyle w:val="SectionNumber"/>
        </w:rPr>
        <w:t xml:space="preserve">4.4</w:t>
      </w:r>
      <w:r>
        <w:tab/>
      </w:r>
      <w:r>
        <w:t xml:space="preserve">4.4 Implementatieplan</w:t>
      </w:r>
    </w:p>
    <w:bookmarkEnd w:id="72"/>
    <w:bookmarkEnd w:id="73"/>
    <w:bookmarkStart w:id="77" w:name="control-fase"/>
    <w:p>
      <w:pPr>
        <w:pStyle w:val="Heading1"/>
      </w:pPr>
      <w:r>
        <w:rPr>
          <w:rStyle w:val="SectionNumber"/>
        </w:rPr>
        <w:t xml:space="preserve">5</w:t>
      </w:r>
      <w:r>
        <w:tab/>
      </w:r>
      <w:r>
        <w:t xml:space="preserve">5. Control-fase</w:t>
      </w:r>
    </w:p>
    <w:p>
      <w:pPr>
        <w:pStyle w:val="FirstParagraph"/>
      </w:pPr>
      <w:r>
        <w:t xml:space="preserve">Inleiding</w:t>
      </w:r>
    </w:p>
    <w:bookmarkStart w:id="74" w:name="borgingsinstrumenten"/>
    <w:p>
      <w:pPr>
        <w:pStyle w:val="Heading2"/>
      </w:pPr>
      <w:r>
        <w:rPr>
          <w:rStyle w:val="SectionNumber"/>
        </w:rPr>
        <w:t xml:space="preserve">5.1</w:t>
      </w:r>
      <w:r>
        <w:tab/>
      </w:r>
      <w:r>
        <w:t xml:space="preserve">5.1 Borgingsinstrumenten</w:t>
      </w:r>
    </w:p>
    <w:p>
      <w:pPr>
        <w:pStyle w:val="FirstParagraph"/>
      </w:pPr>
      <w:r>
        <w:t xml:space="preserve">Aan het eind van de module vind met het docententeam een evaluatie plaats aan de hand van een</w:t>
      </w:r>
      <w:r>
        <w:t xml:space="preserve"> </w:t>
      </w:r>
      <w:r>
        <w:t xml:space="preserve">“</w:t>
      </w:r>
      <w:r>
        <w:t xml:space="preserve">PDCA</w:t>
      </w:r>
      <w:r>
        <w:t xml:space="preserve">”</w:t>
      </w:r>
      <w:r>
        <w:t xml:space="preserve"> </w:t>
      </w:r>
      <w:r>
        <w:t xml:space="preserve">formulier.</w:t>
      </w:r>
    </w:p>
    <w:bookmarkEnd w:id="74"/>
    <w:bookmarkStart w:id="75" w:name="control-instrument-1"/>
    <w:p>
      <w:pPr>
        <w:pStyle w:val="Heading2"/>
      </w:pPr>
      <w:r>
        <w:rPr>
          <w:rStyle w:val="SectionNumber"/>
        </w:rPr>
        <w:t xml:space="preserve">5.2</w:t>
      </w:r>
      <w:r>
        <w:tab/>
      </w:r>
      <w:r>
        <w:t xml:space="preserve">5.2 Control instrument 1</w:t>
      </w:r>
    </w:p>
    <w:bookmarkEnd w:id="75"/>
    <w:bookmarkStart w:id="76" w:name="control-instrument-2"/>
    <w:p>
      <w:pPr>
        <w:pStyle w:val="Heading2"/>
      </w:pPr>
      <w:r>
        <w:rPr>
          <w:rStyle w:val="SectionNumber"/>
        </w:rPr>
        <w:t xml:space="preserve">5.3</w:t>
      </w:r>
      <w:r>
        <w:tab/>
      </w:r>
      <w:r>
        <w:t xml:space="preserve">5.3 Control instrument 2</w:t>
      </w:r>
    </w:p>
    <w:bookmarkEnd w:id="76"/>
    <w:bookmarkEnd w:id="77"/>
    <w:bookmarkStart w:id="82"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78">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80" name="Picture"/>
            <a:graphic>
              <a:graphicData uri="http://schemas.openxmlformats.org/drawingml/2006/picture">
                <pic:pic>
                  <pic:nvPicPr>
                    <pic:cNvPr descr="./static/beoordeling.jpg" id="81" name="Picture"/>
                    <pic:cNvPicPr>
                      <a:picLocks noChangeArrowheads="1" noChangeAspect="1"/>
                    </pic:cNvPicPr>
                  </pic:nvPicPr>
                  <pic:blipFill>
                    <a:blip r:embed="rId79"/>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82"/>
    <w:bookmarkStart w:id="83"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ayout w:type="fixed"/>
        <w:tblLook w:firstRow="1" w:lastRow="0" w:firstColumn="0" w:lastColumn="0" w:noHBand="0" w:noVBand="0" w:val="0020"/>
        <w:tblCaption w:val="Studiebelasting"/>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83"/>
    <w:bookmarkStart w:id="84" w:name="partiële-dataset"/>
    <w:p>
      <w:pPr>
        <w:pStyle w:val="Heading1"/>
      </w:pPr>
      <w:r>
        <w:rPr>
          <w:rStyle w:val="SectionNumber"/>
        </w:rPr>
        <w:t xml:space="preserve">C</w:t>
      </w:r>
      <w:r>
        <w:tab/>
      </w:r>
      <w:r>
        <w:t xml:space="preserve">Appendix C — Partiële dataset</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4">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df" /><Relationship Type="http://schemas.openxmlformats.org/officeDocument/2006/relationships/image" Id="rId79" Target="media/rId79.jpg" /><Relationship Type="http://schemas.openxmlformats.org/officeDocument/2006/relationships/image" Id="rId47" Target="media/rId47.jpg" /><Relationship Type="http://schemas.openxmlformats.org/officeDocument/2006/relationships/image" Id="rId52" Target="media/rId52.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78"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78"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2024-05-03T13:07:46Z</dcterms:created>
  <dcterms:modified xsi:type="dcterms:W3CDTF">2024-05-03T13:07:46Z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delim">
    <vt:lpwstr>:</vt:lpwstr>
  </property>
  <property fmtid="{D5CDD505-2E9C-101B-9397-08002B2CF9AE}" pid="4" name="appendix-title">
    <vt:lpwstr>App.</vt:lpwstr>
  </property>
  <property fmtid="{D5CDD505-2E9C-101B-9397-08002B2CF9AE}" pid="5" name="authors">
    <vt:lpwstr/>
  </property>
  <property fmtid="{D5CDD505-2E9C-101B-9397-08002B2CF9AE}" pid="6" name="biblio-config">
    <vt:lpwstr>True</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False</vt:lpwstr>
  </property>
  <property fmtid="{D5CDD505-2E9C-101B-9397-08002B2CF9AE}" pid="11" name="date">
    <vt:lpwstr>11/04/2024</vt:lpwstr>
  </property>
  <property fmtid="{D5CDD505-2E9C-101B-9397-08002B2CF9AE}" pid="12" name="date-format">
    <vt:lpwstr>DD/MM/YYYY</vt:lpwstr>
  </property>
  <property fmtid="{D5CDD505-2E9C-101B-9397-08002B2CF9AE}" pid="13" name="fig-prefix">
    <vt:lpwstr>figure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Lean / Six Sigma</vt:lpwstr>
  </property>
  <property fmtid="{D5CDD505-2E9C-101B-9397-08002B2CF9AE}" pid="19" name="tbl-prefix">
    <vt:lpwstr>table</vt:lpwstr>
  </property>
  <property fmtid="{D5CDD505-2E9C-101B-9397-08002B2CF9AE}" pid="20" name="template-partials">
    <vt:lpwstr/>
  </property>
  <property fmtid="{D5CDD505-2E9C-101B-9397-08002B2CF9AE}" pid="21" name="toc-title">
    <vt:lpwstr>Table of contents</vt:lpwstr>
  </property>
</Properties>
</file>