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8.jpg" ContentType="image/jpeg"/>
  <Override PartName="/word/media/rId33.jpg" ContentType="image/jpeg"/>
  <Override PartName="/word/media/rId50.jpg" ContentType="image/jpeg"/>
  <Override PartName="/word/media/rId55.jpg" ContentType="image/jpeg"/>
  <Override PartName="/word/media/rId60.jpg" ContentType="image/jpeg"/>
  <Override PartName="/word/media/rId82.jpg" ContentType="image/jpeg"/>
  <Override PartName="/word/media/rId44.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w:t>
      </w:r>
      <w:r>
        <w:t xml:space="preserve"> </w:t>
      </w:r>
      <w:r>
        <w:t xml:space="preserve">Belt</w:t>
      </w:r>
    </w:p>
    <w:p>
      <w:pPr>
        <w:pStyle w:val="Subtitle"/>
      </w:pPr>
      <w:r>
        <w:t xml:space="preserve">Lean</w:t>
      </w:r>
      <w:r>
        <w:t xml:space="preserve"> </w:t>
      </w:r>
      <w:r>
        <w:t xml:space="preserve">/</w:t>
      </w:r>
      <w:r>
        <w:t xml:space="preserve"> </w:t>
      </w:r>
      <w:r>
        <w:t xml:space="preserve">Six</w:t>
      </w:r>
      <w:r>
        <w:t xml:space="preserve"> </w:t>
      </w:r>
      <w:r>
        <w:t xml:space="preserve">Sigma</w:t>
      </w:r>
    </w:p>
    <w:p>
      <w:pPr>
        <w:pStyle w:val="Author"/>
      </w:pPr>
      <w:r>
        <w:t xml:space="preserve">Jan-Ru</w:t>
      </w:r>
      <w:r>
        <w:t xml:space="preserve"> </w:t>
      </w:r>
      <w:r>
        <w:t xml:space="preserve">Muller</w:t>
      </w:r>
    </w:p>
    <w:p>
      <w:pPr>
        <w:pStyle w:val="Date"/>
      </w:pPr>
      <w:r>
        <w:t xml:space="preserve">11/04/2024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Behalve als html is dit rapport ook beschikbaar als:</w:t>
      </w:r>
    </w:p>
    <w:p>
      <w:pPr>
        <w:pStyle w:val="Compact"/>
        <w:numPr>
          <w:ilvl w:val="0"/>
          <w:numId w:val="1001"/>
        </w:numPr>
      </w:pPr>
      <w:hyperlink r:id="rId20">
        <w:r>
          <w:rPr>
            <w:rStyle w:val="Hyperlink"/>
          </w:rPr>
          <w:t xml:space="preserve">pdf document</w:t>
        </w:r>
      </w:hyperlink>
      <w:r>
        <w:t xml:space="preserve"> </w:t>
      </w:r>
      <w:r>
        <w:t xml:space="preserve">en als</w:t>
      </w:r>
    </w:p>
    <w:p>
      <w:pPr>
        <w:pStyle w:val="Compact"/>
        <w:numPr>
          <w:ilvl w:val="0"/>
          <w:numId w:val="1001"/>
        </w:numPr>
      </w:pPr>
      <w:hyperlink r:id="rId21">
        <w:r>
          <w:rPr>
            <w:rStyle w:val="Hyperlink"/>
          </w:rPr>
          <w:t xml:space="preserve">docx document</w:t>
        </w:r>
      </w:hyperlink>
      <w:r>
        <w:t xml:space="preserve">.</w:t>
      </w:r>
    </w:p>
    <w:p>
      <w:pPr>
        <w:pStyle w:val="FirstParagraph"/>
      </w:pPr>
      <w:r>
        <w:t xml:space="preserve">Ten behoeve van dit rapport worden de volgende definities gehanteerd:</w:t>
      </w:r>
    </w:p>
    <w:p>
      <w:pPr>
        <w:pStyle w:val="Compact"/>
        <w:numPr>
          <w:ilvl w:val="0"/>
          <w:numId w:val="1002"/>
        </w:numPr>
      </w:pPr>
      <w:r>
        <w:t xml:space="preserve">Cyclustijd: de tijd tussen twee opeenvolgende modules, is 10 weken.</w:t>
      </w:r>
    </w:p>
    <w:p>
      <w:pPr>
        <w:pStyle w:val="Compact"/>
        <w:numPr>
          <w:ilvl w:val="0"/>
          <w:numId w:val="1002"/>
        </w:numPr>
      </w:pPr>
      <w:r>
        <w:t xml:space="preserve">Doorlooptijd: de totale tijd om het vak af te ronden is 9 weken, gerekend vanaf de start van het blok.</w:t>
      </w:r>
    </w:p>
    <w:p>
      <w:pPr>
        <w:pStyle w:val="Compact"/>
        <w:numPr>
          <w:ilvl w:val="0"/>
          <w:numId w:val="1002"/>
        </w:numPr>
      </w:pPr>
      <w:r>
        <w:t xml:space="preserve">Taktijd: de maximale tijd om de e-learnings af te ronden is 8 weken, gerekend vanaf de start van het blok.</w:t>
      </w:r>
    </w:p>
    <w:p>
      <w:pPr>
        <w:pStyle w:val="FirstParagraph"/>
      </w:pPr>
      <w:r>
        <w:t xml:space="preserve">De redenatie is dat de e-learning nodig is om de praktijkopdracht te kunnenn maken, en ook nodig is om de kennistoets te kunnen maken. De waardes voor de doorlooptijd en taktijd zijn afgerond op hele weken.</w:t>
      </w:r>
    </w:p>
    <w:p>
      <w:pPr>
        <w:pStyle w:val="Compact"/>
        <w:numPr>
          <w:ilvl w:val="0"/>
          <w:numId w:val="1003"/>
        </w:numPr>
      </w:pPr>
      <w:r>
        <w:t xml:space="preserve">Unit of analysis.</w:t>
      </w:r>
    </w:p>
    <w:p>
      <w:pPr>
        <w:pStyle w:val="Compact"/>
        <w:numPr>
          <w:ilvl w:val="0"/>
          <w:numId w:val="1003"/>
        </w:numPr>
      </w:pPr>
      <w:r>
        <w:t xml:space="preserve">Populatie</w:t>
      </w:r>
    </w:p>
    <w:p>
      <w:pPr>
        <w:pStyle w:val="Compact"/>
        <w:numPr>
          <w:ilvl w:val="0"/>
          <w:numId w:val="1003"/>
        </w:numPr>
      </w:pPr>
      <w:r>
        <w:t xml:space="preserve">Steekproefomvang</w:t>
      </w:r>
    </w:p>
    <w:p>
      <w:pPr>
        <w:pStyle w:val="Compact"/>
        <w:numPr>
          <w:ilvl w:val="0"/>
          <w:numId w:val="1003"/>
        </w:numPr>
      </w:pPr>
      <w:r>
        <w:t xml:space="preserve">Representatief</w:t>
      </w:r>
    </w:p>
    <w:bookmarkEnd w:id="22"/>
    <w:bookmarkStart w:id="49" w:name="definitie-fase"/>
    <w:p>
      <w:pPr>
        <w:pStyle w:val="Heading1"/>
      </w:pPr>
      <w:r>
        <w:rPr>
          <w:rStyle w:val="SectionNumber"/>
        </w:rPr>
        <w:t xml:space="preserve">1</w:t>
      </w:r>
      <w:r>
        <w:tab/>
      </w:r>
      <w:r>
        <w:t xml:space="preserve">1. Definitie-fase</w:t>
      </w:r>
    </w:p>
    <w:p>
      <w:pPr>
        <w:pStyle w:val="FirstParagraph"/>
      </w:pPr>
      <w:r>
        <w:t xml:space="preserve">Sinds 2,5 jaar geef ik les op de Hogeschool van Amsterdam (HvA) op de Faculteit Business en Economie (FBE) binnen het cluster Finance &amp; Control (F&amp;C). In dit hoofdstuk, de</w:t>
      </w:r>
      <w:r>
        <w:t xml:space="preserve"> </w:t>
      </w:r>
      <w:r>
        <w:t xml:space="preserve">“</w:t>
      </w:r>
      <w:r>
        <w:t xml:space="preserve">Define Fase</w:t>
      </w:r>
      <w:r>
        <w:t xml:space="preserve">”</w:t>
      </w:r>
      <w:r>
        <w:t xml:space="preserve">, ligt ik hieronder eerst toe hoe ik gekomen ben tot het procesverbeter voorstel.</w:t>
      </w:r>
    </w:p>
    <w:bookmarkStart w:id="27" w:name="proces-selectie"/>
    <w:p>
      <w:pPr>
        <w:pStyle w:val="Heading2"/>
      </w:pPr>
      <w:r>
        <w:rPr>
          <w:rStyle w:val="SectionNumber"/>
        </w:rPr>
        <w:t xml:space="preserve">1.1</w:t>
      </w:r>
      <w:r>
        <w:tab/>
      </w:r>
      <w:r>
        <w:t xml:space="preserve">1.1 Proces-selectie</w:t>
      </w:r>
    </w:p>
    <w:p>
      <w:pPr>
        <w:pStyle w:val="FirstParagraph"/>
      </w:pPr>
      <w:r>
        <w:t xml:space="preserve">Mijn verzoek om de opdracht t.b.v. het Green Belt Certificaat te kunnen doen is goedgekeurd door de Finance &amp; Control coördinator Nadine Steverink. Met de goedkeuring kwam de vraag om een onderwerp te kiezen dat te maken heeft met de opleiding. Ik had toen het idee om het project te doen over een onderdeel van de opleiding waarin ik zelf actief ben. Hierna heb ik mondeling overleg gehad met mijn collega’s Gert de Jong en Paul te Riele. De collega’s stonden niet afwijzend tegenover het idee. Ons regulier periodiek overleg geeft mij de gelegenheid om terugkoppeling te vragen op de deelproducten van het project.</w:t>
      </w:r>
    </w:p>
    <w:p>
      <w:pPr>
        <w:pStyle w:val="BodyText"/>
      </w:pPr>
      <w:r>
        <w:t xml:space="preserve">Hieronder is staat een generiek proces van een onderwijs module weergegeven. Dit LSS project situeert zich in de processtap</w:t>
      </w:r>
      <w:r>
        <w:t xml:space="preserve"> </w:t>
      </w:r>
      <w:r>
        <w:t xml:space="preserve">“</w:t>
      </w:r>
      <w:r>
        <w:t xml:space="preserve">Het uitvoeren van onderwijs</w:t>
      </w:r>
      <w:r>
        <w:t xml:space="preserve">”</w:t>
      </w:r>
      <w:r>
        <w:t xml:space="preserve">. Hieronder wordt verstaan het geven van lessen, het begeleiden van studenten en het beoordelen van leerresultaten.</w:t>
      </w:r>
    </w:p>
    <w:tbl>
      <w:tblPr>
        <w:tblStyle w:val="Table"/>
        <w:tblW w:type="pct" w:w="5000"/>
        <w:tblLayout w:type="fixed"/>
        <w:tblLook w:firstRow="0" w:lastRow="0" w:firstColumn="0" w:lastColumn="0" w:noHBand="0" w:noVBand="0" w:val="0000"/>
      </w:tblPr>
      <w:tblGrid>
        <w:gridCol w:w="7920"/>
      </w:tblGrid>
      <w:tr>
        <w:tc>
          <w:tcPr/>
          <w:bookmarkStart w:id="26" w:name="fig-module-proces"/>
          <w:p>
            <w:pPr>
              <w:pStyle w:val="Compact"/>
              <w:jc w:val="left"/>
            </w:pPr>
            <w:r>
              <w:drawing>
                <wp:inline>
                  <wp:extent cx="5334000" cy="1598443"/>
                  <wp:effectExtent b="0" l="0" r="0" t="0"/>
                  <wp:docPr descr="" title="" id="24" name="Picture"/>
                  <a:graphic>
                    <a:graphicData uri="http://schemas.openxmlformats.org/drawingml/2006/picture">
                      <pic:pic>
                        <pic:nvPicPr>
                          <pic:cNvPr descr="./static/11_module_generiek.jpg" id="25" name="Picture"/>
                          <pic:cNvPicPr>
                            <a:picLocks noChangeArrowheads="1" noChangeAspect="1"/>
                          </pic:cNvPicPr>
                        </pic:nvPicPr>
                        <pic:blipFill>
                          <a:blip r:embed="rId23"/>
                          <a:stretch>
                            <a:fillRect/>
                          </a:stretch>
                        </pic:blipFill>
                        <pic:spPr bwMode="auto">
                          <a:xfrm>
                            <a:off x="0" y="0"/>
                            <a:ext cx="5334000" cy="1598443"/>
                          </a:xfrm>
                          <a:prstGeom prst="rect">
                            <a:avLst/>
                          </a:prstGeom>
                          <a:noFill/>
                          <a:ln w="9525">
                            <a:noFill/>
                            <a:headEnd/>
                            <a:tailEnd/>
                          </a:ln>
                        </pic:spPr>
                      </pic:pic>
                    </a:graphicData>
                  </a:graphic>
                </wp:inline>
              </w:drawing>
            </w:r>
          </w:p>
          <w:p>
            <w:pPr>
              <w:jc w:val="left"/>
            </w:pPr>
            <w:pPr>
              <w:jc w:val="start"/>
              <w:spacing w:before="200"/>
              <w:pStyle w:val="ImageCaption"/>
            </w:pPr>
            <w:r>
              <w:t xml:space="preserve">Figure 1: Generiek Module Proces</w:t>
            </w:r>
          </w:p>
          <w:bookmarkEnd w:id="26"/>
        </w:tc>
      </w:tr>
    </w:tbl>
    <w:bookmarkEnd w:id="27"/>
    <w:bookmarkStart w:id="32" w:name="project-charter"/>
    <w:p>
      <w:pPr>
        <w:pStyle w:val="Heading2"/>
      </w:pPr>
      <w:r>
        <w:rPr>
          <w:rStyle w:val="SectionNumber"/>
        </w:rPr>
        <w:t xml:space="preserve">1.2</w:t>
      </w:r>
      <w:r>
        <w:tab/>
      </w:r>
      <w:r>
        <w:t xml:space="preserve">1.2 Project Charter</w:t>
      </w:r>
    </w:p>
    <w:p>
      <w:pPr>
        <w:pStyle w:val="FirstParagraph"/>
      </w:pPr>
      <w:r>
        <w:t xml:space="preserve">Het project charter heeft als doel een éénduidige beschrijving van het project te geven zodat betrokkenen het doel, de rijkwijdte en de planning kennen. De werktitel van het project is</w:t>
      </w:r>
      <w:r>
        <w:t xml:space="preserve"> </w:t>
      </w:r>
      <w:r>
        <w:t xml:space="preserve">“</w:t>
      </w:r>
      <w:r>
        <w:t xml:space="preserve">verbeteren door versnellen</w:t>
      </w:r>
      <w:r>
        <w:t xml:space="preserve">”</w:t>
      </w:r>
      <w:r>
        <w:t xml:space="preserve"> </w:t>
      </w:r>
      <w:r>
        <w:t xml:space="preserve">(van de e-learnings).</w:t>
      </w:r>
    </w:p>
    <w:tbl>
      <w:tblPr>
        <w:tblStyle w:val="Table"/>
        <w:tblW w:type="pct" w:w="5000"/>
        <w:tblLayout w:type="fixed"/>
        <w:tblLook w:firstRow="0" w:lastRow="0" w:firstColumn="0" w:lastColumn="0" w:noHBand="0" w:noVBand="0" w:val="0000"/>
      </w:tblPr>
      <w:tblGrid>
        <w:gridCol w:w="7920"/>
      </w:tblGrid>
      <w:tr>
        <w:tc>
          <w:tcPr/>
          <w:bookmarkStart w:id="31" w:name="fig-project-charter"/>
          <w:p>
            <w:pPr>
              <w:pStyle w:val="Compact"/>
              <w:jc w:val="left"/>
            </w:pPr>
            <w:r>
              <w:drawing>
                <wp:inline>
                  <wp:extent cx="5334000" cy="5148423"/>
                  <wp:effectExtent b="0" l="0" r="0" t="0"/>
                  <wp:docPr descr="" title="" id="29" name="Picture"/>
                  <a:graphic>
                    <a:graphicData uri="http://schemas.openxmlformats.org/drawingml/2006/picture">
                      <pic:pic>
                        <pic:nvPicPr>
                          <pic:cNvPr descr="./static/12_project_charter.jpg" id="30" name="Picture"/>
                          <pic:cNvPicPr>
                            <a:picLocks noChangeArrowheads="1" noChangeAspect="1"/>
                          </pic:cNvPicPr>
                        </pic:nvPicPr>
                        <pic:blipFill>
                          <a:blip r:embed="rId28"/>
                          <a:stretch>
                            <a:fillRect/>
                          </a:stretch>
                        </pic:blipFill>
                        <pic:spPr bwMode="auto">
                          <a:xfrm>
                            <a:off x="0" y="0"/>
                            <a:ext cx="5334000" cy="5148423"/>
                          </a:xfrm>
                          <a:prstGeom prst="rect">
                            <a:avLst/>
                          </a:prstGeom>
                          <a:noFill/>
                          <a:ln w="9525">
                            <a:noFill/>
                            <a:headEnd/>
                            <a:tailEnd/>
                          </a:ln>
                        </pic:spPr>
                      </pic:pic>
                    </a:graphicData>
                  </a:graphic>
                </wp:inline>
              </w:drawing>
            </w:r>
          </w:p>
          <w:p>
            <w:pPr>
              <w:jc w:val="left"/>
            </w:pPr>
            <w:pPr>
              <w:jc w:val="start"/>
              <w:spacing w:before="200"/>
              <w:pStyle w:val="ImageCaption"/>
            </w:pPr>
            <w:r>
              <w:t xml:space="preserve">Figure 2: Project Charter</w:t>
            </w:r>
          </w:p>
          <w:bookmarkEnd w:id="31"/>
        </w:tc>
      </w:tr>
    </w:tbl>
    <w:p>
      <w:pPr>
        <w:pStyle w:val="BodyText"/>
      </w:pPr>
      <w:r>
        <w:t xml:space="preserve">Ik vind sterk van de charter dat ik mij in de business case een voorstelling heb geprobeerd te maken een ordegrootte van de</w:t>
      </w:r>
      <w:r>
        <w:t xml:space="preserve"> </w:t>
      </w:r>
      <w:r>
        <w:t xml:space="preserve">“</w:t>
      </w:r>
      <w:r>
        <w:t xml:space="preserve">kosten &amp; baten</w:t>
      </w:r>
      <w:r>
        <w:t xml:space="preserve">”</w:t>
      </w:r>
      <w:r>
        <w:t xml:space="preserve">. We spreken over een mogelijke</w:t>
      </w:r>
      <w:r>
        <w:t xml:space="preserve"> </w:t>
      </w:r>
      <w:r>
        <w:t xml:space="preserve">“</w:t>
      </w:r>
      <w:r>
        <w:t xml:space="preserve">verbetering</w:t>
      </w:r>
      <w:r>
        <w:t xml:space="preserve">”</w:t>
      </w:r>
      <w:r>
        <w:t xml:space="preserve"> </w:t>
      </w:r>
      <w:r>
        <w:t xml:space="preserve">ad. €3.000 per blok. Op dit moment heb ik over de charter geen vragen.</w:t>
      </w:r>
    </w:p>
    <w:bookmarkEnd w:id="32"/>
    <w:bookmarkStart w:id="38" w:name="sipoc"/>
    <w:p>
      <w:pPr>
        <w:pStyle w:val="Heading2"/>
      </w:pPr>
      <w:r>
        <w:rPr>
          <w:rStyle w:val="SectionNumber"/>
        </w:rPr>
        <w:t xml:space="preserve">1.3</w:t>
      </w:r>
      <w:r>
        <w:tab/>
      </w:r>
      <w:r>
        <w:t xml:space="preserve">1.3 SIPOC</w:t>
      </w:r>
    </w:p>
    <w:p>
      <w:pPr>
        <w:pStyle w:val="FirstParagraph"/>
      </w:pPr>
      <w:r>
        <w:t xml:space="preserve">Met een SIPOC wordt ingezoomt op het subproces</w:t>
      </w:r>
      <w:r>
        <w:t xml:space="preserve"> </w:t>
      </w:r>
      <w:r>
        <w:t xml:space="preserve">“</w:t>
      </w:r>
      <w:r>
        <w:t xml:space="preserve">Uitvoeren van onderwijs</w:t>
      </w:r>
      <w:r>
        <w:t xml:space="preserve">”</w:t>
      </w:r>
      <w:r>
        <w:t xml:space="preserve"> </w:t>
      </w:r>
      <w:r>
        <w:t xml:space="preserve">en worden daarbinnen 5 processtappen onderscheiden (3.1 t/m 3.5). Daarnaast staan in de SIPOC de belangrijkste Suppliers, Inputs, Outputs en Customers weergegeven.</w:t>
      </w:r>
    </w:p>
    <w:tbl>
      <w:tblPr>
        <w:tblStyle w:val="Table"/>
        <w:tblW w:type="pct" w:w="5000"/>
        <w:tblLayout w:type="fixed"/>
        <w:tblLook w:firstRow="0" w:lastRow="0" w:firstColumn="0" w:lastColumn="0" w:noHBand="0" w:noVBand="0" w:val="0000"/>
      </w:tblPr>
      <w:tblGrid>
        <w:gridCol w:w="7920"/>
      </w:tblGrid>
      <w:tr>
        <w:tc>
          <w:tcPr/>
          <w:bookmarkStart w:id="36" w:name="fig-onderwijs"/>
          <w:p>
            <w:pPr>
              <w:pStyle w:val="Compact"/>
              <w:jc w:val="left"/>
            </w:pPr>
            <w:r>
              <w:drawing>
                <wp:inline>
                  <wp:extent cx="5334000" cy="3246042"/>
                  <wp:effectExtent b="0" l="0" r="0" t="0"/>
                  <wp:docPr descr="" title="" id="34" name="Picture"/>
                  <a:graphic>
                    <a:graphicData uri="http://schemas.openxmlformats.org/drawingml/2006/picture">
                      <pic:pic>
                        <pic:nvPicPr>
                          <pic:cNvPr descr="./static/13_onderwijs_geven.jpg" id="35" name="Picture"/>
                          <pic:cNvPicPr>
                            <a:picLocks noChangeArrowheads="1" noChangeAspect="1"/>
                          </pic:cNvPicPr>
                        </pic:nvPicPr>
                        <pic:blipFill>
                          <a:blip r:embed="rId33"/>
                          <a:stretch>
                            <a:fillRect/>
                          </a:stretch>
                        </pic:blipFill>
                        <pic:spPr bwMode="auto">
                          <a:xfrm>
                            <a:off x="0" y="0"/>
                            <a:ext cx="5334000" cy="3246042"/>
                          </a:xfrm>
                          <a:prstGeom prst="rect">
                            <a:avLst/>
                          </a:prstGeom>
                          <a:noFill/>
                          <a:ln w="9525">
                            <a:noFill/>
                            <a:headEnd/>
                            <a:tailEnd/>
                          </a:ln>
                        </pic:spPr>
                      </pic:pic>
                    </a:graphicData>
                  </a:graphic>
                </wp:inline>
              </w:drawing>
            </w:r>
          </w:p>
          <w:p>
            <w:pPr>
              <w:jc w:val="left"/>
            </w:pPr>
            <w:pPr>
              <w:jc w:val="start"/>
              <w:spacing w:before="200"/>
              <w:pStyle w:val="ImageCaption"/>
            </w:pPr>
            <w:r>
              <w:t xml:space="preserve">Figure 3: Onderwijsuitvoering</w:t>
            </w:r>
          </w:p>
          <w:bookmarkEnd w:id="36"/>
        </w:tc>
      </w:tr>
    </w:tbl>
    <w:p>
      <w:pPr>
        <w:pStyle w:val="BodyText"/>
      </w:pPr>
      <w:r>
        <w:t xml:space="preserve">Ter algemene toelichting:</w:t>
      </w:r>
    </w:p>
    <w:p>
      <w:pPr>
        <w:pStyle w:val="Compact"/>
        <w:numPr>
          <w:ilvl w:val="0"/>
          <w:numId w:val="1004"/>
        </w:numPr>
      </w:pPr>
      <w:r>
        <w:t xml:space="preserve">Het coördinatieteam zorgt ondermeer voor het samenstellen van het rooster.</w:t>
      </w:r>
    </w:p>
    <w:p>
      <w:pPr>
        <w:pStyle w:val="Compact"/>
        <w:numPr>
          <w:ilvl w:val="0"/>
          <w:numId w:val="1004"/>
        </w:numPr>
      </w:pPr>
      <w:r>
        <w:t xml:space="preserve">Onderwijs &amp; onderzoek ondersteunt o.a. bij de inrichting en het gebruik van het LMS</w:t>
      </w:r>
      <w:r>
        <w:rPr>
          <w:rStyle w:val="FootnoteReference"/>
        </w:rPr>
        <w:footnoteReference w:id="37"/>
      </w:r>
      <w:r>
        <w:t xml:space="preserve">.</w:t>
      </w:r>
    </w:p>
    <w:p>
      <w:pPr>
        <w:pStyle w:val="Compact"/>
        <w:numPr>
          <w:ilvl w:val="0"/>
          <w:numId w:val="1004"/>
        </w:numPr>
      </w:pPr>
      <w:r>
        <w:t xml:space="preserve">De externe dienstverlener is in dit geval Skoledo waar de studenten de e-learnings volgen.</w:t>
      </w:r>
    </w:p>
    <w:p>
      <w:pPr>
        <w:pStyle w:val="Compact"/>
        <w:numPr>
          <w:ilvl w:val="0"/>
          <w:numId w:val="1004"/>
        </w:numPr>
      </w:pPr>
      <w:r>
        <w:t xml:space="preserve">Het examenburo verzorgt de logistiek rondom de afname van examens.</w:t>
      </w:r>
    </w:p>
    <w:p>
      <w:pPr>
        <w:pStyle w:val="Compact"/>
        <w:numPr>
          <w:ilvl w:val="0"/>
          <w:numId w:val="1004"/>
        </w:numPr>
      </w:pPr>
      <w:r>
        <w:t xml:space="preserve">Onder management wordt hier verstaan het hoofd van de opleiding Finance &amp; Control.</w:t>
      </w:r>
    </w:p>
    <w:bookmarkEnd w:id="38"/>
    <w:bookmarkStart w:id="43" w:name="voc-ctq"/>
    <w:p>
      <w:pPr>
        <w:pStyle w:val="Heading2"/>
      </w:pPr>
      <w:r>
        <w:rPr>
          <w:rStyle w:val="SectionNumber"/>
        </w:rPr>
        <w:t xml:space="preserve">1.4</w:t>
      </w:r>
      <w:r>
        <w:tab/>
      </w:r>
      <w:r>
        <w:t xml:space="preserve">1.4 VOC-CTQ</w:t>
      </w:r>
    </w:p>
    <w:p>
      <w:pPr>
        <w:pStyle w:val="FirstParagraph"/>
      </w:pPr>
      <w:r>
        <w:t xml:space="preserve">De Voice of the Customer, is de klantenvraag waardoor het project geïnitieerd is. In dit project is het de Voice of the Business aangezien de vraag (of opdracht) afkomstig is van de HvA academy, het interne opleidingsinstituut van de HvA.</w:t>
      </w:r>
      <w:r>
        <w:br/>
      </w:r>
      <w:r>
        <w:t xml:space="preserve">In de VOB-CTQ hieronder wordt verwezen naar drie termen uit de taxonomie van Bloom: onthouden, toepassen en reproduceren. De taxonomie van Bloom is een referentie waarnaar, binnen de HvA, regelmatig wordt verwezen. In de taxonomie worden zes nivo’s van leren onderscheiden. Omdat het onderwerp van dit project een module is uit jaar 2, worden alleen de onderste drie nivo’s van de taxonomie benoemd.</w:t>
      </w:r>
    </w:p>
    <w:tbl>
      <w:tblPr>
        <w:tblStyle w:val="Table"/>
        <w:tblW w:type="pct" w:w="5000"/>
        <w:tblLayout w:type="fixed"/>
        <w:tblLook w:firstRow="0" w:lastRow="0" w:firstColumn="0" w:lastColumn="0" w:noHBand="0" w:noVBand="0" w:val="0000"/>
      </w:tblPr>
      <w:tblGrid>
        <w:gridCol w:w="7920"/>
      </w:tblGrid>
      <w:tr>
        <w:tc>
          <w:tcPr/>
          <w:bookmarkStart w:id="42" w:name="fig-voc-ctq"/>
          <w:p>
            <w:pPr>
              <w:jc w:val="center"/>
            </w:pPr>
            <w:r>
              <w:drawing>
                <wp:inline>
                  <wp:extent cx="5334000" cy="3423683"/>
                  <wp:effectExtent b="0" l="0" r="0" t="0"/>
                  <wp:docPr descr="" title="" id="40" name="Picture"/>
                  <a:graphic>
                    <a:graphicData uri="http://schemas.openxmlformats.org/drawingml/2006/picture">
                      <pic:pic>
                        <pic:nvPicPr>
                          <pic:cNvPr descr="1_definitie_fase_files/figure-docx/mermaid-figure-2.png" id="41" name="Picture"/>
                          <pic:cNvPicPr>
                            <a:picLocks noChangeArrowheads="1" noChangeAspect="1"/>
                          </pic:cNvPicPr>
                        </pic:nvPicPr>
                        <pic:blipFill>
                          <a:blip r:embed="rId39"/>
                          <a:stretch>
                            <a:fillRect/>
                          </a:stretch>
                        </pic:blipFill>
                        <pic:spPr bwMode="auto">
                          <a:xfrm>
                            <a:off x="0" y="0"/>
                            <a:ext cx="5334000" cy="34236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Voice of the Business</w:t>
            </w:r>
          </w:p>
          <w:bookmarkEnd w:id="42"/>
        </w:tc>
      </w:tr>
    </w:tbl>
    <w:p>
      <w:pPr>
        <w:pStyle w:val="BodyText"/>
      </w:pPr>
      <w:r>
        <w:t xml:space="preserve">Waarschijnlijke toekomstige verbeteringen:</w:t>
      </w:r>
    </w:p>
    <w:p>
      <w:pPr>
        <w:pStyle w:val="Compact"/>
        <w:numPr>
          <w:ilvl w:val="0"/>
          <w:numId w:val="1005"/>
        </w:numPr>
      </w:pPr>
      <w:r>
        <w:t xml:space="preserve">In deze versie van de VOB-CTQ staan drie meetinstrumenten (quiz, praktijkopdracht, kennistoets) genoemd. In een latere versie wordt het instrument</w:t>
      </w:r>
      <w:r>
        <w:t xml:space="preserve"> </w:t>
      </w:r>
      <w:r>
        <w:t xml:space="preserve">“</w:t>
      </w:r>
      <w:r>
        <w:t xml:space="preserve">assessment</w:t>
      </w:r>
      <w:r>
        <w:t xml:space="preserve">”</w:t>
      </w:r>
      <w:r>
        <w:t xml:space="preserve"> </w:t>
      </w:r>
      <w:r>
        <w:t xml:space="preserve">daaraan toegevoegd en zullen de instrumenten (dan vier) verplaatst worden naar de meetfase.</w:t>
      </w:r>
    </w:p>
    <w:p>
      <w:pPr>
        <w:pStyle w:val="Compact"/>
        <w:numPr>
          <w:ilvl w:val="0"/>
          <w:numId w:val="1005"/>
        </w:numPr>
      </w:pPr>
      <w:r>
        <w:t xml:space="preserve">In deze versie van de VOB-CTQ staan de meetbare eenheden (ME) appart genoemd per CTQ. In een latere versie kunnen alle drie de CTQ’s verwijzen naar twee meetbare eenheden: datum en cijfer.</w:t>
      </w:r>
    </w:p>
    <w:p>
      <w:pPr>
        <w:pStyle w:val="Compact"/>
        <w:numPr>
          <w:ilvl w:val="0"/>
          <w:numId w:val="1005"/>
        </w:numPr>
      </w:pPr>
      <w:r>
        <w:t xml:space="preserve">Er dient nog een CTQ over</w:t>
      </w:r>
      <w:r>
        <w:t xml:space="preserve"> </w:t>
      </w:r>
      <w:r>
        <w:t xml:space="preserve">“</w:t>
      </w:r>
      <w:r>
        <w:t xml:space="preserve">volgordelijkheid</w:t>
      </w:r>
      <w:r>
        <w:t xml:space="preserve">”</w:t>
      </w:r>
      <w:r>
        <w:t xml:space="preserve"> </w:t>
      </w:r>
      <w:r>
        <w:t xml:space="preserve">te worden toegevoegd. Hiervoor dient de VOB nog te worden aangepast (met een statement over effectiviteit).</w:t>
      </w:r>
    </w:p>
    <w:bookmarkEnd w:id="43"/>
    <w:bookmarkStart w:id="48" w:name="prestatie-indicator"/>
    <w:p>
      <w:pPr>
        <w:pStyle w:val="Heading2"/>
      </w:pPr>
      <w:r>
        <w:rPr>
          <w:rStyle w:val="SectionNumber"/>
        </w:rPr>
        <w:t xml:space="preserve">1.5</w:t>
      </w:r>
      <w:r>
        <w:tab/>
      </w:r>
      <w:r>
        <w:t xml:space="preserve">1.5 Prestatie indicator</w:t>
      </w:r>
    </w:p>
    <w:p>
      <w:pPr>
        <w:pStyle w:val="FirstParagraph"/>
      </w:pPr>
      <w:r>
        <w:t xml:space="preserve">De grafische prestatie indicator dient weer te geven wat:</w:t>
      </w:r>
    </w:p>
    <w:p>
      <w:pPr>
        <w:pStyle w:val="Compact"/>
        <w:numPr>
          <w:ilvl w:val="0"/>
          <w:numId w:val="1006"/>
        </w:numPr>
      </w:pPr>
      <w:r>
        <w:t xml:space="preserve">de ideale doorlooptijd van de e-learnings is</w:t>
      </w:r>
    </w:p>
    <w:p>
      <w:pPr>
        <w:pStyle w:val="Compact"/>
        <w:numPr>
          <w:ilvl w:val="0"/>
          <w:numId w:val="1006"/>
        </w:numPr>
      </w:pPr>
      <w:r>
        <w:t xml:space="preserve">wat de feitelijke doorlooptijd van de e-learnings is.</w:t>
      </w:r>
    </w:p>
    <w:p>
      <w:pPr>
        <w:pStyle w:val="FirstParagraph"/>
      </w:pPr>
      <w:r>
        <w:t xml:space="preserve">Voor de ideale doorlooptijd van de e-learnings is de studiegids leidend in combinatie met de daadwerkelijke opdrachten op Brightspace. Voorwat betreft de feitelijke doorlooptijd van de e-learnings is de rapportage van Skoledo leidend.</w:t>
      </w:r>
    </w:p>
    <w:tbl>
      <w:tblPr>
        <w:tblStyle w:val="Table"/>
        <w:tblW w:type="pct" w:w="5000"/>
        <w:tblLayout w:type="fixed"/>
        <w:tblLook w:firstRow="0" w:lastRow="0" w:firstColumn="0" w:lastColumn="0" w:noHBand="0" w:noVBand="0" w:val="0000"/>
      </w:tblPr>
      <w:tblGrid>
        <w:gridCol w:w="7920"/>
      </w:tblGrid>
      <w:tr>
        <w:tc>
          <w:tcPr/>
          <w:bookmarkStart w:id="47" w:name="fig-lineplot"/>
          <w:p>
            <w:pPr>
              <w:pStyle w:val="Compact"/>
              <w:jc w:val="center"/>
            </w:pPr>
            <w:r>
              <w:drawing>
                <wp:inline>
                  <wp:extent cx="5334000" cy="2908868"/>
                  <wp:effectExtent b="0" l="0" r="0" t="0"/>
                  <wp:docPr descr="" title="" id="45" name="Picture"/>
                  <a:graphic>
                    <a:graphicData uri="http://schemas.openxmlformats.org/drawingml/2006/picture">
                      <pic:pic>
                        <pic:nvPicPr>
                          <pic:cNvPr descr="1_definitie_fase_files/figure-docx/fig-lineplot-output-1.png" id="46" name="Picture"/>
                          <pic:cNvPicPr>
                            <a:picLocks noChangeArrowheads="1" noChangeAspect="1"/>
                          </pic:cNvPicPr>
                        </pic:nvPicPr>
                        <pic:blipFill>
                          <a:blip r:embed="rId44"/>
                          <a:stretch>
                            <a:fillRect/>
                          </a:stretch>
                        </pic:blipFill>
                        <pic:spPr bwMode="auto">
                          <a:xfrm>
                            <a:off x="0" y="0"/>
                            <a:ext cx="5334000" cy="2908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 line plot showing progress on the e-learnings</w:t>
            </w:r>
          </w:p>
          <w:bookmarkEnd w:id="47"/>
        </w:tc>
      </w:tr>
    </w:tbl>
    <w:p>
      <w:pPr>
        <w:pStyle w:val="BodyText"/>
      </w:pPr>
      <w:r>
        <w:t xml:space="preserve">De totale studiebelasting voor de e-learnings is circa 25 uur (zie bijlage B). De duur van een blok is 10 weken.</w:t>
      </w:r>
    </w:p>
    <w:p>
      <w:pPr>
        <w:pStyle w:val="BodyText"/>
      </w:pPr>
      <w:r>
        <w:t xml:space="preserve">Vooralsnog bestaat de grafische prestatie indicator uit twee fictieve lijnen.</w:t>
      </w:r>
    </w:p>
    <w:p>
      <w:pPr>
        <w:pStyle w:val="Compact"/>
        <w:numPr>
          <w:ilvl w:val="0"/>
          <w:numId w:val="1007"/>
        </w:numPr>
      </w:pPr>
      <w:r>
        <w:t xml:space="preserve">De</w:t>
      </w:r>
      <w:r>
        <w:t xml:space="preserve"> </w:t>
      </w:r>
      <w:r>
        <w:t xml:space="preserve">blauwe</w:t>
      </w:r>
      <w:r>
        <w:t xml:space="preserve"> </w:t>
      </w:r>
      <w:r>
        <w:t xml:space="preserve">lijn geeft de huidige doorlooptijd van de e-learnings weer.</w:t>
      </w:r>
    </w:p>
    <w:p>
      <w:pPr>
        <w:pStyle w:val="Compact"/>
        <w:numPr>
          <w:ilvl w:val="0"/>
          <w:numId w:val="1007"/>
        </w:numPr>
      </w:pPr>
      <w:r>
        <w:t xml:space="preserve">De</w:t>
      </w:r>
      <w:r>
        <w:t xml:space="preserve"> </w:t>
      </w:r>
      <w:r>
        <w:t xml:space="preserve">rode</w:t>
      </w:r>
      <w:r>
        <w:t xml:space="preserve"> </w:t>
      </w:r>
      <w:r>
        <w:t xml:space="preserve">lijn geeft de nieuwe beoogde doorlooptijd van de e-learnings weer (10% korter).</w:t>
      </w:r>
    </w:p>
    <w:p>
      <w:pPr>
        <w:pStyle w:val="FirstParagraph"/>
      </w:pPr>
      <w:r>
        <w:t xml:space="preserve">De twee lijnen zullen worden aangepast zodra de studiegids en het programma in detail gelezen zijn. Naast de oude en nieuwe ideale doorlooptijd wordt in het resultaten hoofdstuk ook de feitelijke doorlooptijd getoond.</w:t>
      </w:r>
    </w:p>
    <w:bookmarkEnd w:id="48"/>
    <w:bookmarkEnd w:id="49"/>
    <w:bookmarkStart w:id="66" w:name="measure-fase"/>
    <w:p>
      <w:pPr>
        <w:pStyle w:val="Heading1"/>
      </w:pPr>
      <w:r>
        <w:rPr>
          <w:rStyle w:val="SectionNumber"/>
        </w:rPr>
        <w:t xml:space="preserve">2</w:t>
      </w:r>
      <w:r>
        <w:tab/>
      </w:r>
      <w:r>
        <w:t xml:space="preserve">2. Measure-fase</w:t>
      </w:r>
    </w:p>
    <w:p>
      <w:pPr>
        <w:pStyle w:val="FirstParagraph"/>
      </w:pPr>
      <w:r>
        <w:t xml:space="preserve">Het doel van de measure-fase is om te komen tot een meetplan. In dit hoofdstuk komen aan de orde: welke gegevens er beschikbaar zijn, welke gegevens er gebruikt gaan worden, wat de betrouwbaarheid is van de gevens en tenslotte hoe de gegevens verwerkt gaan worden.</w:t>
      </w:r>
    </w:p>
    <w:bookmarkStart w:id="54" w:name="gegevens---verzamelen"/>
    <w:p>
      <w:pPr>
        <w:pStyle w:val="Heading2"/>
      </w:pPr>
      <w:r>
        <w:rPr>
          <w:rStyle w:val="SectionNumber"/>
        </w:rPr>
        <w:t xml:space="preserve">2.1</w:t>
      </w:r>
      <w:r>
        <w:tab/>
      </w:r>
      <w:r>
        <w:t xml:space="preserve">2.1 Gegevens - verzamelen</w:t>
      </w:r>
    </w:p>
    <w:p>
      <w:pPr>
        <w:pStyle w:val="FirstParagraph"/>
      </w:pPr>
      <w:r>
        <w:t xml:space="preserve">In de grafiek hieronder staat een vereenvoudigde grafische weergave van een vijftal gegevensbronnen waarmee men tijdens het proces</w:t>
      </w:r>
      <w:r>
        <w:t xml:space="preserve"> </w:t>
      </w:r>
      <w:r>
        <w:t xml:space="preserve">“</w:t>
      </w:r>
      <w:r>
        <w:t xml:space="preserve">onderwijsuitvoering</w:t>
      </w:r>
      <w:r>
        <w:t xml:space="preserve">”</w:t>
      </w:r>
      <w:r>
        <w:t xml:space="preserve"> </w:t>
      </w:r>
      <w:r>
        <w:t xml:space="preserve">te maken heeft.</w:t>
      </w:r>
    </w:p>
    <w:tbl>
      <w:tblPr>
        <w:tblStyle w:val="Table"/>
        <w:tblW w:type="pct" w:w="5000"/>
        <w:tblLayout w:type="fixed"/>
        <w:tblLook w:firstRow="0" w:lastRow="0" w:firstColumn="0" w:lastColumn="0" w:noHBand="0" w:noVBand="0" w:val="0000"/>
      </w:tblPr>
      <w:tblGrid>
        <w:gridCol w:w="7920"/>
      </w:tblGrid>
      <w:tr>
        <w:tc>
          <w:tcPr/>
          <w:bookmarkStart w:id="53" w:name="fig-gegevensbronnen"/>
          <w:p>
            <w:pPr>
              <w:pStyle w:val="Compact"/>
              <w:jc w:val="left"/>
            </w:pPr>
            <w:r>
              <w:drawing>
                <wp:inline>
                  <wp:extent cx="5334000" cy="2098360"/>
                  <wp:effectExtent b="0" l="0" r="0" t="0"/>
                  <wp:docPr descr="" title="" id="51" name="Picture"/>
                  <a:graphic>
                    <a:graphicData uri="http://schemas.openxmlformats.org/drawingml/2006/picture">
                      <pic:pic>
                        <pic:nvPicPr>
                          <pic:cNvPr descr="./static/21_gegevensbronnen.jpg" id="52" name="Picture"/>
                          <pic:cNvPicPr>
                            <a:picLocks noChangeArrowheads="1" noChangeAspect="1"/>
                          </pic:cNvPicPr>
                        </pic:nvPicPr>
                        <pic:blipFill>
                          <a:blip r:embed="rId50"/>
                          <a:stretch>
                            <a:fillRect/>
                          </a:stretch>
                        </pic:blipFill>
                        <pic:spPr bwMode="auto">
                          <a:xfrm>
                            <a:off x="0" y="0"/>
                            <a:ext cx="5334000" cy="2098360"/>
                          </a:xfrm>
                          <a:prstGeom prst="rect">
                            <a:avLst/>
                          </a:prstGeom>
                          <a:noFill/>
                          <a:ln w="9525">
                            <a:noFill/>
                            <a:headEnd/>
                            <a:tailEnd/>
                          </a:ln>
                        </pic:spPr>
                      </pic:pic>
                    </a:graphicData>
                  </a:graphic>
                </wp:inline>
              </w:drawing>
            </w:r>
          </w:p>
          <w:p>
            <w:pPr>
              <w:jc w:val="left"/>
            </w:pPr>
            <w:pPr>
              <w:jc w:val="start"/>
              <w:spacing w:before="200"/>
              <w:pStyle w:val="ImageCaption"/>
            </w:pPr>
            <w:r>
              <w:t xml:space="preserve">Figure 6: Gegevensbronnen</w:t>
            </w:r>
          </w:p>
          <w:bookmarkEnd w:id="53"/>
        </w:tc>
      </w:tr>
    </w:tbl>
    <w:p>
      <w:pPr>
        <w:pStyle w:val="Compact"/>
        <w:numPr>
          <w:ilvl w:val="0"/>
          <w:numId w:val="1008"/>
        </w:numPr>
      </w:pPr>
      <w:r>
        <w:t xml:space="preserve">SIS, het studenten informaties systeem, bevat de klassenlijst. SIS is ook het systeem waar, op het eind van het blok, de cijfers van de studenten worden ingevoerd.</w:t>
      </w:r>
    </w:p>
    <w:p>
      <w:pPr>
        <w:pStyle w:val="Compact"/>
        <w:numPr>
          <w:ilvl w:val="0"/>
          <w:numId w:val="1008"/>
        </w:numPr>
      </w:pPr>
      <w:r>
        <w:t xml:space="preserve">Skoledo is de leverancier van de e-learnings. Skoledo levert wekelijks de voortgang van de studenten aan alsook tussentijdse resultaten.</w:t>
      </w:r>
    </w:p>
    <w:p>
      <w:pPr>
        <w:pStyle w:val="Compact"/>
        <w:numPr>
          <w:ilvl w:val="0"/>
          <w:numId w:val="1008"/>
        </w:numPr>
      </w:pPr>
      <w:r>
        <w:t xml:space="preserve">Brightspace bevat de studiehandleiding en de lesstof. Brightspace is ook het systeem waar de praktijkopdrachten worden ingeleverd en beoordeeld.</w:t>
      </w:r>
    </w:p>
    <w:p>
      <w:pPr>
        <w:pStyle w:val="Compact"/>
        <w:numPr>
          <w:ilvl w:val="0"/>
          <w:numId w:val="1008"/>
        </w:numPr>
      </w:pPr>
      <w:r>
        <w:t xml:space="preserve">Testvision is het programma waarin de kennistoets wordt samengesteld en waarin de studenten de toets maken.</w:t>
      </w:r>
    </w:p>
    <w:p>
      <w:pPr>
        <w:pStyle w:val="Compact"/>
        <w:numPr>
          <w:ilvl w:val="0"/>
          <w:numId w:val="1008"/>
        </w:numPr>
      </w:pPr>
      <w:r>
        <w:t xml:space="preserve">Rooster geeft aan waar en wanneer de lessen plaatsvinden. Aanwezigheid wordt bijgehouden in een excel sheet.</w:t>
      </w:r>
    </w:p>
    <w:p>
      <w:pPr>
        <w:pStyle w:val="FirstParagraph"/>
      </w:pPr>
      <w:r>
        <w:t xml:space="preserve">Indachtig de doelstelling, het verlagen van de doorlooptijd van de e-learnings, beschouwen we in dit rapport uitsluitend de gegevensbron Skoledo.</w:t>
      </w:r>
    </w:p>
    <w:bookmarkEnd w:id="54"/>
    <w:bookmarkStart w:id="59" w:name="meetplan"/>
    <w:p>
      <w:pPr>
        <w:pStyle w:val="Heading2"/>
      </w:pPr>
      <w:r>
        <w:rPr>
          <w:rStyle w:val="SectionNumber"/>
        </w:rPr>
        <w:t xml:space="preserve">2.2</w:t>
      </w:r>
      <w:r>
        <w:tab/>
      </w:r>
      <w:r>
        <w:t xml:space="preserve">2.2 Meetplan</w:t>
      </w:r>
    </w:p>
    <w:p>
      <w:pPr>
        <w:pStyle w:val="FirstParagraph"/>
      </w:pPr>
      <w:r>
        <w:t xml:space="preserve">In de SIPOC staan de processtappen onder elkaar. Daarmee is niet duidelijk dat sommige processtappen herhaald worden. In onderstaand schema wordt dat verduidelijkt.</w:t>
      </w:r>
    </w:p>
    <w:tbl>
      <w:tblPr>
        <w:tblStyle w:val="Table"/>
        <w:tblW w:type="pct" w:w="5000"/>
        <w:tblLayout w:type="fixed"/>
        <w:tblLook w:firstRow="0" w:lastRow="0" w:firstColumn="0" w:lastColumn="0" w:noHBand="0" w:noVBand="0" w:val="0000"/>
      </w:tblPr>
      <w:tblGrid>
        <w:gridCol w:w="7920"/>
      </w:tblGrid>
      <w:tr>
        <w:tc>
          <w:tcPr/>
          <w:bookmarkStart w:id="58" w:name="fig-module-detail"/>
          <w:p>
            <w:pPr>
              <w:pStyle w:val="Compact"/>
              <w:jc w:val="left"/>
            </w:pPr>
            <w:r>
              <w:drawing>
                <wp:inline>
                  <wp:extent cx="5334000" cy="1893174"/>
                  <wp:effectExtent b="0" l="0" r="0" t="0"/>
                  <wp:docPr descr="" title="" id="56" name="Picture"/>
                  <a:graphic>
                    <a:graphicData uri="http://schemas.openxmlformats.org/drawingml/2006/picture">
                      <pic:pic>
                        <pic:nvPicPr>
                          <pic:cNvPr descr="./static/22_module_detail.jpg" id="57" name="Picture"/>
                          <pic:cNvPicPr>
                            <a:picLocks noChangeArrowheads="1" noChangeAspect="1"/>
                          </pic:cNvPicPr>
                        </pic:nvPicPr>
                        <pic:blipFill>
                          <a:blip r:embed="rId55"/>
                          <a:stretch>
                            <a:fillRect/>
                          </a:stretch>
                        </pic:blipFill>
                        <pic:spPr bwMode="auto">
                          <a:xfrm>
                            <a:off x="0" y="0"/>
                            <a:ext cx="5334000" cy="1893174"/>
                          </a:xfrm>
                          <a:prstGeom prst="rect">
                            <a:avLst/>
                          </a:prstGeom>
                          <a:noFill/>
                          <a:ln w="9525">
                            <a:noFill/>
                            <a:headEnd/>
                            <a:tailEnd/>
                          </a:ln>
                        </pic:spPr>
                      </pic:pic>
                    </a:graphicData>
                  </a:graphic>
                </wp:inline>
              </w:drawing>
            </w:r>
          </w:p>
          <w:p>
            <w:pPr>
              <w:jc w:val="left"/>
            </w:pPr>
            <w:pPr>
              <w:jc w:val="start"/>
              <w:spacing w:before="200"/>
              <w:pStyle w:val="ImageCaption"/>
            </w:pPr>
            <w:r>
              <w:t xml:space="preserve">Figure 7: Module detail</w:t>
            </w:r>
          </w:p>
          <w:bookmarkEnd w:id="58"/>
        </w:tc>
      </w:tr>
    </w:tbl>
    <w:p>
      <w:pPr>
        <w:pStyle w:val="BodyText"/>
      </w:pPr>
      <w:r>
        <w:t xml:space="preserve">De duur van de module is 1 blok, ofwel 10 weken. De voorbereiding voor het blok, waaronder het maken van het lessenplan wordt voor de aanvang van de module gedaan. Er zijn 8 lesweken, 1 assessment en examenweek, en 1 week voor herkansingen (en voorbereiding volgend blok). In het schema worden stap 3.2 t/m 3.4 in het totaal 8 keer uitgevoerd.</w:t>
      </w:r>
    </w:p>
    <w:p>
      <w:pPr>
        <w:pStyle w:val="TableCaption"/>
      </w:pPr>
      <w:r>
        <w:t xml:space="preserve">Meetplan</w:t>
      </w:r>
    </w:p>
    <w:tbl>
      <w:tblPr>
        <w:tblStyle w:val="Table"/>
        <w:tblW w:type="pct" w:w="5000"/>
        <w:tblLayout w:type="fixed"/>
        <w:tblLook w:firstRow="1" w:lastRow="0" w:firstColumn="0" w:lastColumn="0" w:noHBand="0" w:noVBand="0" w:val="0020"/>
        <w:tblCaption w:val="Meetplan"/>
      </w:tblPr>
      <w:tblGrid>
        <w:gridCol w:w="905"/>
        <w:gridCol w:w="1131"/>
        <w:gridCol w:w="1885"/>
        <w:gridCol w:w="1357"/>
        <w:gridCol w:w="1433"/>
        <w:gridCol w:w="1206"/>
      </w:tblGrid>
      <w:tr>
        <w:trPr>
          <w:tblHeader w:val="on"/>
        </w:trPr>
        <w:tc>
          <w:tcPr/>
          <w:p>
            <w:pPr>
              <w:pStyle w:val="Compact"/>
              <w:jc w:val="left"/>
            </w:pPr>
            <w:r>
              <w:t xml:space="preserve">Wat meten we</w:t>
            </w:r>
          </w:p>
        </w:tc>
        <w:tc>
          <w:tcPr/>
          <w:p>
            <w:pPr>
              <w:pStyle w:val="Compact"/>
              <w:jc w:val="left"/>
            </w:pPr>
            <w:r>
              <w:t xml:space="preserve">Waarom meten we</w:t>
            </w:r>
          </w:p>
        </w:tc>
        <w:tc>
          <w:tcPr/>
          <w:p>
            <w:pPr>
              <w:pStyle w:val="Compact"/>
              <w:jc w:val="left"/>
            </w:pPr>
            <w:r>
              <w:t xml:space="preserve">Hoe verzamelen we de data</w:t>
            </w:r>
          </w:p>
        </w:tc>
        <w:tc>
          <w:tcPr/>
          <w:p>
            <w:pPr>
              <w:pStyle w:val="Compact"/>
              <w:jc w:val="left"/>
            </w:pPr>
            <w:r>
              <w:t xml:space="preserve">Wanneer verzamelen</w:t>
            </w:r>
          </w:p>
        </w:tc>
        <w:tc>
          <w:tcPr/>
          <w:p>
            <w:pPr>
              <w:pStyle w:val="Compact"/>
              <w:jc w:val="left"/>
            </w:pPr>
            <w:r>
              <w:t xml:space="preserve">Waar in het proces</w:t>
            </w:r>
          </w:p>
        </w:tc>
        <w:tc>
          <w:tcPr/>
          <w:p>
            <w:pPr>
              <w:pStyle w:val="Compact"/>
              <w:jc w:val="left"/>
            </w:pPr>
            <w:r>
              <w:t xml:space="preserve">Wie verzamelt ze</w:t>
            </w:r>
          </w:p>
        </w:tc>
      </w:tr>
      <w:tr>
        <w:tc>
          <w:tcPr/>
          <w:p>
            <w:pPr>
              <w:pStyle w:val="Compact"/>
              <w:jc w:val="left"/>
            </w:pPr>
            <w:r>
              <w:t xml:space="preserve">datum &amp; cijfer</w:t>
            </w:r>
          </w:p>
        </w:tc>
        <w:tc>
          <w:tcPr/>
          <w:p>
            <w:pPr>
              <w:pStyle w:val="Compact"/>
              <w:jc w:val="left"/>
            </w:pPr>
            <w:r>
              <w:t xml:space="preserve">CTQ1</w:t>
            </w:r>
          </w:p>
        </w:tc>
        <w:tc>
          <w:tcPr/>
          <w:p>
            <w:pPr>
              <w:pStyle w:val="Compact"/>
              <w:jc w:val="left"/>
            </w:pPr>
            <w:r>
              <w:t xml:space="preserve">Automatisch door het volgen van de e-learnings</w:t>
            </w:r>
          </w:p>
        </w:tc>
        <w:tc>
          <w:tcPr/>
          <w:p>
            <w:pPr>
              <w:pStyle w:val="Compact"/>
              <w:jc w:val="left"/>
            </w:pPr>
            <w:r>
              <w:t xml:space="preserve">iedere week</w:t>
            </w:r>
          </w:p>
        </w:tc>
        <w:tc>
          <w:tcPr/>
          <w:p>
            <w:pPr>
              <w:pStyle w:val="Compact"/>
              <w:jc w:val="left"/>
            </w:pPr>
            <w:r>
              <w:t xml:space="preserve">voor processtap 3.4</w:t>
            </w:r>
          </w:p>
        </w:tc>
        <w:tc>
          <w:tcPr/>
          <w:p>
            <w:pPr>
              <w:pStyle w:val="Compact"/>
              <w:jc w:val="left"/>
            </w:pPr>
            <w:r>
              <w:t xml:space="preserve">Skoledo</w:t>
            </w:r>
          </w:p>
        </w:tc>
      </w:tr>
      <w:tr>
        <w:tc>
          <w:tcPr/>
          <w:p>
            <w:pPr>
              <w:pStyle w:val="Compact"/>
              <w:jc w:val="left"/>
            </w:pPr>
            <w:r>
              <w:t xml:space="preserve">datum &amp; cijfer</w:t>
            </w:r>
          </w:p>
        </w:tc>
        <w:tc>
          <w:tcPr/>
          <w:p>
            <w:pPr>
              <w:pStyle w:val="Compact"/>
              <w:jc w:val="left"/>
            </w:pPr>
            <w:r>
              <w:t xml:space="preserve">CTQ2</w:t>
            </w:r>
          </w:p>
        </w:tc>
        <w:tc>
          <w:tcPr/>
          <w:p>
            <w:pPr>
              <w:pStyle w:val="Compact"/>
              <w:jc w:val="left"/>
            </w:pPr>
            <w:r>
              <w:t xml:space="preserve">Handmatig door beoordeling praktijkopddracht</w:t>
            </w:r>
          </w:p>
        </w:tc>
        <w:tc>
          <w:tcPr/>
          <w:p>
            <w:pPr>
              <w:pStyle w:val="Compact"/>
              <w:jc w:val="left"/>
            </w:pPr>
            <w:r>
              <w:t xml:space="preserve">iedere week</w:t>
            </w:r>
          </w:p>
        </w:tc>
        <w:tc>
          <w:tcPr/>
          <w:p>
            <w:pPr>
              <w:pStyle w:val="Compact"/>
              <w:jc w:val="left"/>
            </w:pPr>
            <w:r>
              <w:t xml:space="preserve">voor processtap 3.4</w:t>
            </w:r>
          </w:p>
        </w:tc>
        <w:tc>
          <w:tcPr/>
          <w:p>
            <w:pPr>
              <w:pStyle w:val="Compact"/>
              <w:jc w:val="left"/>
            </w:pPr>
            <w:r>
              <w:t xml:space="preserve">Vakdocent</w:t>
            </w:r>
          </w:p>
        </w:tc>
      </w:tr>
      <w:tr>
        <w:tc>
          <w:tcPr/>
          <w:p>
            <w:pPr>
              <w:pStyle w:val="Compact"/>
              <w:jc w:val="left"/>
            </w:pPr>
            <w:r>
              <w:t xml:space="preserve">datum &amp; cijfer</w:t>
            </w:r>
          </w:p>
        </w:tc>
        <w:tc>
          <w:tcPr/>
          <w:p>
            <w:pPr>
              <w:pStyle w:val="Compact"/>
              <w:jc w:val="left"/>
            </w:pPr>
            <w:r>
              <w:t xml:space="preserve">CTQ3</w:t>
            </w:r>
          </w:p>
        </w:tc>
        <w:tc>
          <w:tcPr/>
          <w:p>
            <w:pPr>
              <w:pStyle w:val="Compact"/>
              <w:jc w:val="left"/>
            </w:pPr>
            <w:r>
              <w:t xml:space="preserve">Semi-automatisch door maken examen en de beoordeling daarvan</w:t>
            </w:r>
          </w:p>
        </w:tc>
        <w:tc>
          <w:tcPr/>
          <w:p>
            <w:pPr>
              <w:pStyle w:val="Compact"/>
              <w:jc w:val="left"/>
            </w:pPr>
            <w:r>
              <w:t xml:space="preserve">in week 9</w:t>
            </w:r>
          </w:p>
        </w:tc>
        <w:tc>
          <w:tcPr/>
          <w:p>
            <w:pPr>
              <w:pStyle w:val="Compact"/>
              <w:jc w:val="left"/>
            </w:pPr>
            <w:r>
              <w:t xml:space="preserve">voor processtap 3.5</w:t>
            </w:r>
          </w:p>
        </w:tc>
        <w:tc>
          <w:tcPr/>
          <w:p>
            <w:pPr>
              <w:pStyle w:val="Compact"/>
              <w:jc w:val="left"/>
            </w:pPr>
            <w:r>
              <w:t xml:space="preserve">Vakdocent</w:t>
            </w:r>
          </w:p>
        </w:tc>
      </w:tr>
    </w:tbl>
    <w:p>
      <w:pPr>
        <w:pStyle w:val="BodyText"/>
      </w:pPr>
      <w:r>
        <w:t xml:space="preserve">Indachtig de doelstelling, het verlagen van de doorlooptijd van de e-learnings, beschouwen we in dit rapport uitsluitend CTQ1.</w:t>
      </w:r>
    </w:p>
    <w:bookmarkEnd w:id="59"/>
    <w:bookmarkStart w:id="64" w:name="gegevens---betrouwbaarheid"/>
    <w:p>
      <w:pPr>
        <w:pStyle w:val="Heading2"/>
      </w:pPr>
      <w:r>
        <w:rPr>
          <w:rStyle w:val="SectionNumber"/>
        </w:rPr>
        <w:t xml:space="preserve">2.3</w:t>
      </w:r>
      <w:r>
        <w:tab/>
      </w:r>
      <w:r>
        <w:t xml:space="preserve">2.3 Gegevens - betrouwbaarheid</w:t>
      </w:r>
    </w:p>
    <w:p>
      <w:pPr>
        <w:pStyle w:val="FirstParagraph"/>
      </w:pPr>
      <w:r>
        <w:t xml:space="preserve">V.w.b. de gegevens aangaande de e-learnings wordt gewerkt met secundaire data. Deze gegevens zijn afkomstig van Skoledo. De gegevens worden uit de Skoledo database geexporteerd. Wekelijk wordt er een rapportage samengesteld en opgestuurd naar de docenten van het vak Operations. Er worden door de ontvanger een paar checks gedaan:</w:t>
      </w:r>
    </w:p>
    <w:p>
      <w:pPr>
        <w:pStyle w:val="Compact"/>
        <w:numPr>
          <w:ilvl w:val="0"/>
          <w:numId w:val="1009"/>
        </w:numPr>
      </w:pPr>
      <w:r>
        <w:t xml:space="preserve">Zijn de data oplopend</w:t>
      </w:r>
    </w:p>
    <w:p>
      <w:pPr>
        <w:pStyle w:val="Compact"/>
        <w:numPr>
          <w:ilvl w:val="0"/>
          <w:numId w:val="1009"/>
        </w:numPr>
      </w:pPr>
      <w:r>
        <w:t xml:space="preserve">Is de voortgang deze week hoger dan vorige week</w:t>
      </w:r>
    </w:p>
    <w:p>
      <w:pPr>
        <w:pStyle w:val="Compact"/>
        <w:numPr>
          <w:ilvl w:val="0"/>
          <w:numId w:val="1009"/>
        </w:numPr>
      </w:pPr>
      <w:r>
        <w:t xml:space="preserve">Zijn alle studenten begonnen met de e-learnings</w:t>
      </w:r>
    </w:p>
    <w:p>
      <w:pPr>
        <w:pStyle w:val="Compact"/>
        <w:numPr>
          <w:ilvl w:val="0"/>
          <w:numId w:val="1009"/>
        </w:numPr>
      </w:pPr>
      <w:r>
        <w:t xml:space="preserve">Welke studenten hebben de e-learnings afgerond</w:t>
      </w:r>
    </w:p>
    <w:p>
      <w:pPr>
        <w:pStyle w:val="FirstParagraph"/>
      </w:pPr>
      <w:r>
        <w:t xml:space="preserve">De docent meldt de (tussentijdse) resultaten terug aan de klas. Hierdoor kunnen de studenten zelf ook checken of de gerapporteerde voortgang en (tussentijdse) resultaten overeenkomt met de gerealiseerde voortgang en (tussentijdse) resultaten.</w:t>
      </w:r>
    </w:p>
    <w:tbl>
      <w:tblPr>
        <w:tblStyle w:val="Table"/>
        <w:tblW w:type="pct" w:w="5000"/>
        <w:tblLayout w:type="fixed"/>
        <w:tblLook w:firstRow="0" w:lastRow="0" w:firstColumn="0" w:lastColumn="0" w:noHBand="0" w:noVBand="0" w:val="0000"/>
      </w:tblPr>
      <w:tblGrid>
        <w:gridCol w:w="7920"/>
      </w:tblGrid>
      <w:tr>
        <w:tc>
          <w:tcPr/>
          <w:bookmarkStart w:id="63" w:name="fig-checks"/>
          <w:p>
            <w:pPr>
              <w:pStyle w:val="Compact"/>
              <w:jc w:val="left"/>
            </w:pPr>
            <w:r>
              <w:drawing>
                <wp:inline>
                  <wp:extent cx="5334000" cy="2587977"/>
                  <wp:effectExtent b="0" l="0" r="0" t="0"/>
                  <wp:docPr descr="" title="" id="61" name="Picture"/>
                  <a:graphic>
                    <a:graphicData uri="http://schemas.openxmlformats.org/drawingml/2006/picture">
                      <pic:pic>
                        <pic:nvPicPr>
                          <pic:cNvPr descr="./static/24_betrouwbaarheid.jpg" id="62" name="Picture"/>
                          <pic:cNvPicPr>
                            <a:picLocks noChangeArrowheads="1" noChangeAspect="1"/>
                          </pic:cNvPicPr>
                        </pic:nvPicPr>
                        <pic:blipFill>
                          <a:blip r:embed="rId60"/>
                          <a:stretch>
                            <a:fillRect/>
                          </a:stretch>
                        </pic:blipFill>
                        <pic:spPr bwMode="auto">
                          <a:xfrm>
                            <a:off x="0" y="0"/>
                            <a:ext cx="5334000" cy="2587977"/>
                          </a:xfrm>
                          <a:prstGeom prst="rect">
                            <a:avLst/>
                          </a:prstGeom>
                          <a:noFill/>
                          <a:ln w="9525">
                            <a:noFill/>
                            <a:headEnd/>
                            <a:tailEnd/>
                          </a:ln>
                        </pic:spPr>
                      </pic:pic>
                    </a:graphicData>
                  </a:graphic>
                </wp:inline>
              </w:drawing>
            </w:r>
          </w:p>
          <w:p>
            <w:pPr>
              <w:jc w:val="left"/>
            </w:pPr>
            <w:pPr>
              <w:jc w:val="start"/>
              <w:spacing w:before="200"/>
              <w:pStyle w:val="ImageCaption"/>
            </w:pPr>
            <w:r>
              <w:t xml:space="preserve">Figure 8: Vakdocent en student checks</w:t>
            </w:r>
          </w:p>
          <w:bookmarkEnd w:id="63"/>
        </w:tc>
      </w:tr>
    </w:tbl>
    <w:p>
      <w:pPr>
        <w:pStyle w:val="BodyText"/>
      </w:pPr>
      <w:r>
        <w:t xml:space="preserve">Hoewel er dus de nodige checks en balances zijn kan niet gegarandeerd worden dat de gegevens betrouwbaar zijn. Studenten kunnen frauderen en de e-learnings door een ander laten maken. Er is geen aanleiding om te denken dat dit gebeurd. Voorzover het de student zou helpen de e-learnings te behalen helpt het de student niet om andere toetsen, zoals de praktijkopdrachten, de assessment en de kennistoets te halen.</w:t>
      </w:r>
    </w:p>
    <w:bookmarkEnd w:id="64"/>
    <w:bookmarkStart w:id="65" w:name="gegevens---verwerken"/>
    <w:p>
      <w:pPr>
        <w:pStyle w:val="Heading2"/>
      </w:pPr>
      <w:r>
        <w:rPr>
          <w:rStyle w:val="SectionNumber"/>
        </w:rPr>
        <w:t xml:space="preserve">2.4</w:t>
      </w:r>
      <w:r>
        <w:tab/>
      </w:r>
      <w:r>
        <w:t xml:space="preserve">2.4 Gegevens - verwerken</w:t>
      </w:r>
    </w:p>
    <w:p>
      <w:pPr>
        <w:pStyle w:val="FirstParagraph"/>
      </w:pPr>
      <w:r>
        <w:t xml:space="preserve">In de analyse-fase wordt gebruik gemaakt van secundaire data. De data wordt aangeleverd door Skoledo. De gegevens zullen worden verwerkt met Excel. De overwegingen om de gegevens in excel te verwerken zijn:</w:t>
      </w:r>
    </w:p>
    <w:p>
      <w:pPr>
        <w:pStyle w:val="Compact"/>
        <w:numPr>
          <w:ilvl w:val="0"/>
          <w:numId w:val="1010"/>
        </w:numPr>
      </w:pPr>
      <w:r>
        <w:t xml:space="preserve">De gegevens worden aangeleverd in Excel</w:t>
      </w:r>
    </w:p>
    <w:p>
      <w:pPr>
        <w:pStyle w:val="Compact"/>
        <w:numPr>
          <w:ilvl w:val="0"/>
          <w:numId w:val="1010"/>
        </w:numPr>
      </w:pPr>
      <w:r>
        <w:t xml:space="preserve">Excel is voor iedereen (docenten en studenten) beschikbaar</w:t>
      </w:r>
    </w:p>
    <w:p>
      <w:pPr>
        <w:pStyle w:val="Compact"/>
        <w:numPr>
          <w:ilvl w:val="0"/>
          <w:numId w:val="1010"/>
        </w:numPr>
      </w:pPr>
      <w:r>
        <w:t xml:space="preserve">Brede bekendheid met Excel onder de docenten</w:t>
      </w:r>
    </w:p>
    <w:p>
      <w:pPr>
        <w:pStyle w:val="Compact"/>
        <w:numPr>
          <w:ilvl w:val="0"/>
          <w:numId w:val="1010"/>
        </w:numPr>
      </w:pPr>
      <w:r>
        <w:t xml:space="preserve">Voldoende statistische functies om een analyse te kunnen doen</w:t>
      </w:r>
    </w:p>
    <w:p>
      <w:pPr>
        <w:pStyle w:val="Compact"/>
        <w:numPr>
          <w:ilvl w:val="0"/>
          <w:numId w:val="1010"/>
        </w:numPr>
      </w:pPr>
      <w:r>
        <w:t xml:space="preserve">Voldoende grafische mogelijkheden om een control-chart te kunnen maken</w:t>
      </w:r>
    </w:p>
    <w:p>
      <w:pPr>
        <w:pStyle w:val="Compact"/>
        <w:numPr>
          <w:ilvl w:val="0"/>
          <w:numId w:val="1010"/>
        </w:numPr>
      </w:pPr>
      <w:r>
        <w:t xml:space="preserve">En, last but not least, goede kennis van Excel bij de auteur van dit rapport</w:t>
      </w:r>
    </w:p>
    <w:bookmarkEnd w:id="65"/>
    <w:bookmarkEnd w:id="66"/>
    <w:bookmarkStart w:id="71" w:name="analyse-fase"/>
    <w:p>
      <w:pPr>
        <w:pStyle w:val="Heading1"/>
      </w:pPr>
      <w:r>
        <w:rPr>
          <w:rStyle w:val="SectionNumber"/>
        </w:rPr>
        <w:t xml:space="preserve">3</w:t>
      </w:r>
      <w:r>
        <w:tab/>
      </w:r>
      <w:r>
        <w:t xml:space="preserve">3. Analyse-fase</w:t>
      </w:r>
    </w:p>
    <w:p>
      <w:pPr>
        <w:pStyle w:val="FirstParagraph"/>
      </w:pPr>
      <w:r>
        <w:t xml:space="preserve">aan bod komen:</w:t>
      </w:r>
    </w:p>
    <w:bookmarkStart w:id="67" w:name="analyse-technieken"/>
    <w:p>
      <w:pPr>
        <w:pStyle w:val="Heading2"/>
      </w:pPr>
      <w:r>
        <w:rPr>
          <w:rStyle w:val="SectionNumber"/>
        </w:rPr>
        <w:t xml:space="preserve">3.1</w:t>
      </w:r>
      <w:r>
        <w:tab/>
      </w:r>
      <w:r>
        <w:t xml:space="preserve">3.1 Analyse technieken</w:t>
      </w:r>
    </w:p>
    <w:p>
      <w:pPr>
        <w:pStyle w:val="FirstParagraph"/>
      </w:pPr>
      <w:r>
        <w:t xml:space="preserve">Benoemen dat er momenteel meerdere interpretaties zijn:</w:t>
      </w:r>
      <w:r>
        <w:br/>
      </w:r>
      <w:r>
        <w:t xml:space="preserve">- De e-learnings moeten af voor het einde van het blok</w:t>
      </w:r>
      <w:r>
        <w:t xml:space="preserve"> </w:t>
      </w:r>
      <w:r>
        <w:t xml:space="preserve">- De e-learnings moeten af voor het examen</w:t>
      </w:r>
      <w:r>
        <w:t xml:space="preserve"> </w:t>
      </w:r>
      <w:r>
        <w:t xml:space="preserve">- De e-learnings …</w:t>
      </w:r>
    </w:p>
    <w:bookmarkEnd w:id="67"/>
    <w:bookmarkStart w:id="68" w:name="prestaties-van-het-proces"/>
    <w:p>
      <w:pPr>
        <w:pStyle w:val="Heading2"/>
      </w:pPr>
      <w:r>
        <w:rPr>
          <w:rStyle w:val="SectionNumber"/>
        </w:rPr>
        <w:t xml:space="preserve">3.2</w:t>
      </w:r>
      <w:r>
        <w:tab/>
      </w:r>
      <w:r>
        <w:t xml:space="preserve">3.2 Prestaties van het proces</w:t>
      </w:r>
    </w:p>
    <w:bookmarkEnd w:id="68"/>
    <w:bookmarkStart w:id="69" w:name="inventarisatie-invloedsfactoren"/>
    <w:p>
      <w:pPr>
        <w:pStyle w:val="Heading2"/>
      </w:pPr>
      <w:r>
        <w:rPr>
          <w:rStyle w:val="SectionNumber"/>
        </w:rPr>
        <w:t xml:space="preserve">3.3</w:t>
      </w:r>
      <w:r>
        <w:tab/>
      </w:r>
      <w:r>
        <w:t xml:space="preserve">3.3 Inventarisatie invloedsfactoren</w:t>
      </w:r>
    </w:p>
    <w:p>
      <w:pPr>
        <w:pStyle w:val="FirstParagraph"/>
      </w:pPr>
      <w:r>
        <w:t xml:space="preserve">Visgraat</w:t>
      </w:r>
    </w:p>
    <w:bookmarkEnd w:id="69"/>
    <w:bookmarkStart w:id="70" w:name="meeste-impact"/>
    <w:p>
      <w:pPr>
        <w:pStyle w:val="Heading2"/>
      </w:pPr>
      <w:r>
        <w:rPr>
          <w:rStyle w:val="SectionNumber"/>
        </w:rPr>
        <w:t xml:space="preserve">3.4</w:t>
      </w:r>
      <w:r>
        <w:tab/>
      </w:r>
      <w:r>
        <w:t xml:space="preserve">3.4 Meeste Impact</w:t>
      </w:r>
    </w:p>
    <w:p>
      <w:pPr>
        <w:pStyle w:val="Compact"/>
        <w:numPr>
          <w:ilvl w:val="0"/>
          <w:numId w:val="1011"/>
        </w:numPr>
      </w:pPr>
      <w:r>
        <w:t xml:space="preserve">aanwezigheid</w:t>
      </w:r>
    </w:p>
    <w:p>
      <w:pPr>
        <w:pStyle w:val="Compact"/>
        <w:numPr>
          <w:ilvl w:val="0"/>
          <w:numId w:val="1011"/>
        </w:numPr>
      </w:pPr>
      <w:r>
        <w:t xml:space="preserve">e-learning op tijd maken</w:t>
      </w:r>
    </w:p>
    <w:p>
      <w:pPr>
        <w:pStyle w:val="Compact"/>
        <w:numPr>
          <w:ilvl w:val="0"/>
          <w:numId w:val="1011"/>
        </w:numPr>
      </w:pPr>
      <w:r>
        <w:t xml:space="preserve">groepsgenoten</w:t>
      </w:r>
    </w:p>
    <w:p>
      <w:pPr>
        <w:pStyle w:val="Compact"/>
        <w:numPr>
          <w:ilvl w:val="0"/>
          <w:numId w:val="1011"/>
        </w:numPr>
      </w:pPr>
      <w:r>
        <w:t xml:space="preserve">vakdocent</w:t>
      </w:r>
    </w:p>
    <w:p>
      <w:pPr>
        <w:pStyle w:val="Compact"/>
        <w:numPr>
          <w:ilvl w:val="0"/>
          <w:numId w:val="1011"/>
        </w:numPr>
      </w:pPr>
      <w:r>
        <w:t xml:space="preserve">procesdocent</w:t>
      </w:r>
    </w:p>
    <w:bookmarkEnd w:id="70"/>
    <w:bookmarkEnd w:id="71"/>
    <w:bookmarkStart w:id="76" w:name="improve-fase"/>
    <w:p>
      <w:pPr>
        <w:pStyle w:val="Heading1"/>
      </w:pPr>
      <w:r>
        <w:rPr>
          <w:rStyle w:val="SectionNumber"/>
        </w:rPr>
        <w:t xml:space="preserve">4</w:t>
      </w:r>
      <w:r>
        <w:tab/>
      </w:r>
      <w:r>
        <w:t xml:space="preserve">4. Improve-fase</w:t>
      </w:r>
    </w:p>
    <w:bookmarkStart w:id="72" w:name="mogelijke-oplossingen"/>
    <w:p>
      <w:pPr>
        <w:pStyle w:val="Heading2"/>
      </w:pPr>
      <w:r>
        <w:rPr>
          <w:rStyle w:val="SectionNumber"/>
        </w:rPr>
        <w:t xml:space="preserve">4.1</w:t>
      </w:r>
      <w:r>
        <w:tab/>
      </w:r>
      <w:r>
        <w:t xml:space="preserve">4.1 Mogelijke oplossingen</w:t>
      </w:r>
    </w:p>
    <w:bookmarkEnd w:id="72"/>
    <w:bookmarkStart w:id="73" w:name="generatie-van-oplossingen"/>
    <w:p>
      <w:pPr>
        <w:pStyle w:val="Heading2"/>
      </w:pPr>
      <w:r>
        <w:rPr>
          <w:rStyle w:val="SectionNumber"/>
        </w:rPr>
        <w:t xml:space="preserve">4.2</w:t>
      </w:r>
      <w:r>
        <w:tab/>
      </w:r>
      <w:r>
        <w:t xml:space="preserve">4.2 Generatie van oplossingen</w:t>
      </w:r>
    </w:p>
    <w:bookmarkEnd w:id="73"/>
    <w:bookmarkStart w:id="74" w:name="korte-termijn-oplossing"/>
    <w:p>
      <w:pPr>
        <w:pStyle w:val="Heading2"/>
      </w:pPr>
      <w:r>
        <w:rPr>
          <w:rStyle w:val="SectionNumber"/>
        </w:rPr>
        <w:t xml:space="preserve">4.3</w:t>
      </w:r>
      <w:r>
        <w:tab/>
      </w:r>
      <w:r>
        <w:t xml:space="preserve">4.3 Korte termijn oplossing</w:t>
      </w:r>
    </w:p>
    <w:bookmarkEnd w:id="74"/>
    <w:bookmarkStart w:id="75" w:name="implementatieplan"/>
    <w:p>
      <w:pPr>
        <w:pStyle w:val="Heading2"/>
      </w:pPr>
      <w:r>
        <w:rPr>
          <w:rStyle w:val="SectionNumber"/>
        </w:rPr>
        <w:t xml:space="preserve">4.4</w:t>
      </w:r>
      <w:r>
        <w:tab/>
      </w:r>
      <w:r>
        <w:t xml:space="preserve">4.4 Implementatieplan</w:t>
      </w:r>
    </w:p>
    <w:bookmarkEnd w:id="75"/>
    <w:bookmarkEnd w:id="76"/>
    <w:bookmarkStart w:id="80" w:name="control-fase"/>
    <w:p>
      <w:pPr>
        <w:pStyle w:val="Heading1"/>
      </w:pPr>
      <w:r>
        <w:rPr>
          <w:rStyle w:val="SectionNumber"/>
        </w:rPr>
        <w:t xml:space="preserve">5</w:t>
      </w:r>
      <w:r>
        <w:tab/>
      </w:r>
      <w:r>
        <w:t xml:space="preserve">5. Control-fase</w:t>
      </w:r>
    </w:p>
    <w:p>
      <w:pPr>
        <w:pStyle w:val="FirstParagraph"/>
      </w:pPr>
      <w:r>
        <w:t xml:space="preserve">Inleiding</w:t>
      </w:r>
    </w:p>
    <w:bookmarkStart w:id="77" w:name="borgingsinstrumenten"/>
    <w:p>
      <w:pPr>
        <w:pStyle w:val="Heading2"/>
      </w:pPr>
      <w:r>
        <w:rPr>
          <w:rStyle w:val="SectionNumber"/>
        </w:rPr>
        <w:t xml:space="preserve">5.1</w:t>
      </w:r>
      <w:r>
        <w:tab/>
      </w:r>
      <w:r>
        <w:t xml:space="preserve">5.1 Borgingsinstrumenten</w:t>
      </w:r>
    </w:p>
    <w:p>
      <w:pPr>
        <w:pStyle w:val="FirstParagraph"/>
      </w:pPr>
      <w:r>
        <w:t xml:space="preserve">Aan het eind van de module vind met het docententeam een evaluatie plaats aan de hand van een</w:t>
      </w:r>
      <w:r>
        <w:t xml:space="preserve"> </w:t>
      </w:r>
      <w:r>
        <w:t xml:space="preserve">“</w:t>
      </w:r>
      <w:r>
        <w:t xml:space="preserve">PDCA</w:t>
      </w:r>
      <w:r>
        <w:t xml:space="preserve">”</w:t>
      </w:r>
      <w:r>
        <w:t xml:space="preserve"> </w:t>
      </w:r>
      <w:r>
        <w:t xml:space="preserve">formulier.</w:t>
      </w:r>
    </w:p>
    <w:bookmarkEnd w:id="77"/>
    <w:bookmarkStart w:id="78" w:name="control-instrument-1"/>
    <w:p>
      <w:pPr>
        <w:pStyle w:val="Heading2"/>
      </w:pPr>
      <w:r>
        <w:rPr>
          <w:rStyle w:val="SectionNumber"/>
        </w:rPr>
        <w:t xml:space="preserve">5.2</w:t>
      </w:r>
      <w:r>
        <w:tab/>
      </w:r>
      <w:r>
        <w:t xml:space="preserve">5.2 Control instrument 1</w:t>
      </w:r>
    </w:p>
    <w:bookmarkEnd w:id="78"/>
    <w:bookmarkStart w:id="79" w:name="control-instrument-2"/>
    <w:p>
      <w:pPr>
        <w:pStyle w:val="Heading2"/>
      </w:pPr>
      <w:r>
        <w:rPr>
          <w:rStyle w:val="SectionNumber"/>
        </w:rPr>
        <w:t xml:space="preserve">5.3</w:t>
      </w:r>
      <w:r>
        <w:tab/>
      </w:r>
      <w:r>
        <w:t xml:space="preserve">5.3 Control instrument 2</w:t>
      </w:r>
    </w:p>
    <w:bookmarkEnd w:id="79"/>
    <w:bookmarkEnd w:id="80"/>
    <w:bookmarkStart w:id="85" w:name="kosten"/>
    <w:p>
      <w:pPr>
        <w:pStyle w:val="Heading1"/>
      </w:pPr>
      <w:r>
        <w:rPr>
          <w:rStyle w:val="SectionNumber"/>
        </w:rPr>
        <w:t xml:space="preserve">A</w:t>
      </w:r>
      <w:r>
        <w:tab/>
      </w:r>
      <w:r>
        <w:t xml:space="preserve">Appendix A — Kosten</w:t>
      </w:r>
    </w:p>
    <w:p>
      <w:pPr>
        <w:pStyle w:val="FirstParagraph"/>
      </w:pPr>
      <w:r>
        <w:t xml:space="preserve">Aanname 1: De kosten van de module zijn als volgt berekend:</w:t>
      </w:r>
    </w:p>
    <w:p>
      <w:pPr>
        <w:pStyle w:val="BodyText"/>
      </w:pPr>
      <w:r>
        <w:t xml:space="preserve">In 2022 realiseerde de HvA een omzet van €513,5 miljoen en een netto resultaat van €13,2 miljoen (bron:</w:t>
      </w:r>
      <w:hyperlink r:id="rId81">
        <w:r>
          <w:rPr>
            <w:rStyle w:val="Hyperlink"/>
          </w:rPr>
          <w:t xml:space="preserve">jaarverslag 2022</w:t>
        </w:r>
      </w:hyperlink>
      <w:r>
        <w:t xml:space="preserve">). De kostenbasis van de HvA is daarmee €500,3 miljoen. In 2022 studeerden er 46.928 studenten aan de HvA. De kosten per student zijn daarmee €10.661 per jaar. Een regulier studiejaar bestaat uit 4 blokken. De koster per student zijn €2.665 per blok.</w:t>
      </w:r>
    </w:p>
    <w:p>
      <w:pPr>
        <w:pStyle w:val="BodyText"/>
      </w:pPr>
      <w:r>
        <w:t xml:space="preserve">Aanname 2: Een klas bestaat uit 25 studenten. De kosten van een klas/blok zijn daarmee 25*€2.665 = €66.625</w:t>
      </w:r>
    </w:p>
    <w:p>
      <w:pPr>
        <w:pStyle w:val="BodyText"/>
      </w:pPr>
      <w:r>
        <w:t xml:space="preserve">Aanname 3: aangenomen is dat 45% van de kosten van 1 blok/klas toe te wijzen zijn aan het vak Operations. Deze aanname is gebasseerd op het feit dat Operations 45% meetelt in het eindcijfer. De 45% bestaat uit 30% beroepsproduct en 15% kennistoets. 45% van €66.625 is €29.881, afgerond €30.000</w:t>
      </w:r>
    </w:p>
    <w:p>
      <w:pPr>
        <w:pStyle w:val="CaptionedFigure"/>
      </w:pPr>
      <w:r>
        <w:drawing>
          <wp:inline>
            <wp:extent cx="5334000" cy="1842976"/>
            <wp:effectExtent b="0" l="0" r="0" t="0"/>
            <wp:docPr descr="Beoordeling Module" title="" id="83" name="Picture"/>
            <a:graphic>
              <a:graphicData uri="http://schemas.openxmlformats.org/drawingml/2006/picture">
                <pic:pic>
                  <pic:nvPicPr>
                    <pic:cNvPr descr="./static/beoordeling.jpg" id="84" name="Picture"/>
                    <pic:cNvPicPr>
                      <a:picLocks noChangeArrowheads="1" noChangeAspect="1"/>
                    </pic:cNvPicPr>
                  </pic:nvPicPr>
                  <pic:blipFill>
                    <a:blip r:embed="rId82"/>
                    <a:stretch>
                      <a:fillRect/>
                    </a:stretch>
                  </pic:blipFill>
                  <pic:spPr bwMode="auto">
                    <a:xfrm>
                      <a:off x="0" y="0"/>
                      <a:ext cx="5334000" cy="1842976"/>
                    </a:xfrm>
                    <a:prstGeom prst="rect">
                      <a:avLst/>
                    </a:prstGeom>
                    <a:noFill/>
                    <a:ln w="9525">
                      <a:noFill/>
                      <a:headEnd/>
                      <a:tailEnd/>
                    </a:ln>
                  </pic:spPr>
                </pic:pic>
              </a:graphicData>
            </a:graphic>
          </wp:inline>
        </w:drawing>
      </w:r>
    </w:p>
    <w:p>
      <w:pPr>
        <w:pStyle w:val="ImageCaption"/>
      </w:pPr>
      <w:r>
        <w:t xml:space="preserve">Beoordeling Module</w:t>
      </w:r>
    </w:p>
    <w:bookmarkEnd w:id="85"/>
    <w:bookmarkStart w:id="86" w:name="studiebelasting"/>
    <w:p>
      <w:pPr>
        <w:pStyle w:val="Heading1"/>
      </w:pPr>
      <w:r>
        <w:rPr>
          <w:rStyle w:val="SectionNumber"/>
        </w:rPr>
        <w:t xml:space="preserve">B</w:t>
      </w:r>
      <w:r>
        <w:tab/>
      </w:r>
      <w:r>
        <w:t xml:space="preserve">Appendix B — Studiebelasting</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p>
      <w:pPr>
        <w:pStyle w:val="TableCaption"/>
      </w:pPr>
      <w:r>
        <w:t xml:space="preserve">Studiebelasting</w:t>
      </w:r>
    </w:p>
    <w:tbl>
      <w:tblPr>
        <w:tblStyle w:val="Table"/>
        <w:tblW w:type="pct" w:w="5000"/>
        <w:tblLayout w:type="fixed"/>
        <w:tblLook w:firstRow="1" w:lastRow="0" w:firstColumn="0" w:lastColumn="0" w:noHBand="0" w:noVBand="0" w:val="0020"/>
        <w:tblCaption w:val="Studiebelasting"/>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Wat is Lean Six Sigma?</w:t>
            </w:r>
          </w:p>
        </w:tc>
        <w:tc>
          <w:tcPr/>
          <w:p>
            <w:pPr>
              <w:pStyle w:val="Compact"/>
              <w:jc w:val="left"/>
            </w:pPr>
            <w:r>
              <w:t xml:space="preserve">Wat is Lean?</w:t>
            </w:r>
          </w:p>
        </w:tc>
        <w:tc>
          <w:tcPr/>
          <w:p>
            <w:pPr>
              <w:pStyle w:val="Compact"/>
              <w:jc w:val="right"/>
            </w:pPr>
            <w:r>
              <w:t xml:space="preserve">2,5 uur</w:t>
            </w:r>
          </w:p>
        </w:tc>
      </w:tr>
      <w:tr>
        <w:tc>
          <w:tcPr/>
          <w:p>
            <w:pPr>
              <w:pStyle w:val="Compact"/>
            </w:pPr>
          </w:p>
        </w:tc>
        <w:tc>
          <w:tcPr/>
          <w:p>
            <w:pPr>
              <w:pStyle w:val="Compact"/>
              <w:jc w:val="left"/>
            </w:pPr>
            <w:r>
              <w:t xml:space="preserve">Wat is Six Sigma?</w:t>
            </w:r>
          </w:p>
        </w:tc>
        <w:tc>
          <w:tcPr/>
          <w:p>
            <w:pPr>
              <w:pStyle w:val="Compact"/>
            </w:pPr>
          </w:p>
        </w:tc>
      </w:tr>
      <w:tr>
        <w:tc>
          <w:tcPr/>
          <w:p>
            <w:pPr>
              <w:pStyle w:val="Compact"/>
            </w:pPr>
          </w:p>
        </w:tc>
        <w:tc>
          <w:tcPr/>
          <w:p>
            <w:pPr>
              <w:pStyle w:val="Compact"/>
              <w:jc w:val="left"/>
            </w:pPr>
            <w:r>
              <w:t xml:space="preserve">Wat is Lean Six Sigma?</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Define-fase</w:t>
            </w:r>
          </w:p>
        </w:tc>
        <w:tc>
          <w:tcPr/>
          <w:p>
            <w:pPr>
              <w:pStyle w:val="Compact"/>
              <w:jc w:val="left"/>
            </w:pPr>
            <w:r>
              <w:t xml:space="preserve">Selecteren verbeterproject</w:t>
            </w:r>
          </w:p>
        </w:tc>
        <w:tc>
          <w:tcPr/>
          <w:p>
            <w:pPr>
              <w:pStyle w:val="Compact"/>
              <w:jc w:val="right"/>
            </w:pPr>
            <w:r>
              <w:t xml:space="preserve">2,5 uur</w:t>
            </w:r>
          </w:p>
        </w:tc>
      </w:tr>
      <w:tr>
        <w:tc>
          <w:tcPr/>
          <w:p>
            <w:pPr>
              <w:pStyle w:val="Compact"/>
            </w:pPr>
          </w:p>
        </w:tc>
        <w:tc>
          <w:tcPr/>
          <w:p>
            <w:pPr>
              <w:pStyle w:val="Compact"/>
              <w:jc w:val="left"/>
            </w:pPr>
            <w:r>
              <w:t xml:space="preserve">Het proces definiëren</w:t>
            </w:r>
          </w:p>
        </w:tc>
        <w:tc>
          <w:tcPr/>
          <w:p>
            <w:pPr>
              <w:pStyle w:val="Compact"/>
            </w:pPr>
          </w:p>
        </w:tc>
      </w:tr>
      <w:tr>
        <w:tc>
          <w:tcPr/>
          <w:p>
            <w:pPr>
              <w:pStyle w:val="Compact"/>
            </w:pPr>
          </w:p>
        </w:tc>
        <w:tc>
          <w:tcPr/>
          <w:p>
            <w:pPr>
              <w:pStyle w:val="Compact"/>
              <w:jc w:val="left"/>
            </w:pPr>
            <w:r>
              <w:t xml:space="preserve">Wat wil je bereiken?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Measure-fase</w:t>
            </w:r>
          </w:p>
        </w:tc>
        <w:tc>
          <w:tcPr/>
          <w:p>
            <w:pPr>
              <w:pStyle w:val="Compact"/>
              <w:jc w:val="left"/>
            </w:pPr>
            <w:r>
              <w:t xml:space="preserve">Waarom welke data verzamelen?</w:t>
            </w:r>
          </w:p>
        </w:tc>
        <w:tc>
          <w:tcPr/>
          <w:p>
            <w:pPr>
              <w:pStyle w:val="Compact"/>
              <w:jc w:val="right"/>
            </w:pPr>
            <w:r>
              <w:t xml:space="preserve">4,0 uur</w:t>
            </w:r>
          </w:p>
        </w:tc>
      </w:tr>
      <w:tr>
        <w:tc>
          <w:tcPr/>
          <w:p>
            <w:pPr>
              <w:pStyle w:val="Compact"/>
            </w:pPr>
          </w:p>
        </w:tc>
        <w:tc>
          <w:tcPr/>
          <w:p>
            <w:pPr>
              <w:pStyle w:val="Compact"/>
              <w:jc w:val="left"/>
            </w:pPr>
            <w:r>
              <w:t xml:space="preserve">Hoe data verzamelen?</w:t>
            </w:r>
          </w:p>
        </w:tc>
        <w:tc>
          <w:tcPr/>
          <w:p>
            <w:pPr>
              <w:pStyle w:val="Compact"/>
            </w:pPr>
          </w:p>
        </w:tc>
      </w:tr>
      <w:tr>
        <w:tc>
          <w:tcPr/>
          <w:p>
            <w:pPr>
              <w:pStyle w:val="Compact"/>
            </w:pPr>
          </w:p>
        </w:tc>
        <w:tc>
          <w:tcPr/>
          <w:p>
            <w:pPr>
              <w:pStyle w:val="Compact"/>
              <w:jc w:val="left"/>
            </w:pPr>
            <w:r>
              <w:t xml:space="preserve">Zorg voor goede data.</w:t>
            </w:r>
          </w:p>
        </w:tc>
        <w:tc>
          <w:tcPr/>
          <w:p>
            <w:pPr>
              <w:pStyle w:val="Compact"/>
            </w:pPr>
          </w:p>
        </w:tc>
      </w:tr>
      <w:tr>
        <w:tc>
          <w:tcPr/>
          <w:p>
            <w:pPr>
              <w:pStyle w:val="Compact"/>
            </w:pPr>
          </w:p>
        </w:tc>
        <w:tc>
          <w:tcPr/>
          <w:p>
            <w:pPr>
              <w:pStyle w:val="Compact"/>
              <w:jc w:val="left"/>
            </w:pPr>
            <w:r>
              <w:t xml:space="preserve">Lean Six Sigma maatstaven.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Analyse-fase</w:t>
            </w:r>
          </w:p>
        </w:tc>
        <w:tc>
          <w:tcPr/>
          <w:p>
            <w:pPr>
              <w:pStyle w:val="Compact"/>
              <w:jc w:val="left"/>
            </w:pPr>
            <w:r>
              <w:t xml:space="preserve">Wat zijn de prestaties van het proces?</w:t>
            </w:r>
          </w:p>
        </w:tc>
        <w:tc>
          <w:tcPr/>
          <w:p>
            <w:pPr>
              <w:pStyle w:val="Compact"/>
              <w:jc w:val="right"/>
            </w:pPr>
            <w:r>
              <w:t xml:space="preserve">3,5 uur</w:t>
            </w:r>
          </w:p>
        </w:tc>
      </w:tr>
      <w:tr>
        <w:tc>
          <w:tcPr/>
          <w:p>
            <w:pPr>
              <w:pStyle w:val="Compact"/>
            </w:pPr>
          </w:p>
        </w:tc>
        <w:tc>
          <w:tcPr/>
          <w:p>
            <w:pPr>
              <w:pStyle w:val="Compact"/>
              <w:jc w:val="left"/>
            </w:pPr>
            <w:r>
              <w:t xml:space="preserve">Wat zijn de invloedsfactoren?</w:t>
            </w:r>
          </w:p>
        </w:tc>
        <w:tc>
          <w:tcPr/>
          <w:p>
            <w:pPr>
              <w:pStyle w:val="Compact"/>
            </w:pPr>
          </w:p>
        </w:tc>
      </w:tr>
      <w:tr>
        <w:tc>
          <w:tcPr/>
          <w:p>
            <w:pPr>
              <w:pStyle w:val="Compact"/>
            </w:pPr>
          </w:p>
        </w:tc>
        <w:tc>
          <w:tcPr/>
          <w:p>
            <w:pPr>
              <w:pStyle w:val="Compact"/>
              <w:jc w:val="left"/>
            </w:pPr>
            <w:r>
              <w:t xml:space="preserve">Toetsen invloedsfactoren: is het</w:t>
            </w:r>
          </w:p>
        </w:tc>
        <w:tc>
          <w:tcPr/>
          <w:p>
            <w:pPr>
              <w:pStyle w:val="Compact"/>
            </w:pPr>
          </w:p>
        </w:tc>
      </w:tr>
      <w:tr>
        <w:tc>
          <w:tcPr/>
          <w:p>
            <w:pPr>
              <w:pStyle w:val="Compact"/>
            </w:pPr>
          </w:p>
        </w:tc>
        <w:tc>
          <w:tcPr/>
          <w:p>
            <w:pPr>
              <w:pStyle w:val="Compact"/>
              <w:jc w:val="left"/>
            </w:pPr>
            <w:r>
              <w:t xml:space="preserve">echt een knelpunt?</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Improve-fase</w:t>
            </w:r>
          </w:p>
        </w:tc>
        <w:tc>
          <w:tcPr/>
          <w:p>
            <w:pPr>
              <w:pStyle w:val="Compact"/>
              <w:jc w:val="left"/>
            </w:pPr>
            <w:r>
              <w:t xml:space="preserve">Genereer oplossingen</w:t>
            </w:r>
          </w:p>
        </w:tc>
        <w:tc>
          <w:tcPr/>
          <w:p>
            <w:pPr>
              <w:pStyle w:val="Compact"/>
              <w:jc w:val="right"/>
            </w:pPr>
            <w:r>
              <w:t xml:space="preserve">2,0 uur</w:t>
            </w:r>
          </w:p>
        </w:tc>
      </w:tr>
      <w:tr>
        <w:tc>
          <w:tcPr/>
          <w:p>
            <w:pPr>
              <w:pStyle w:val="Compact"/>
            </w:pPr>
          </w:p>
        </w:tc>
        <w:tc>
          <w:tcPr/>
          <w:p>
            <w:pPr>
              <w:pStyle w:val="Compact"/>
              <w:jc w:val="left"/>
            </w:pPr>
            <w:r>
              <w:t xml:space="preserve">Selecteer oplossingen</w:t>
            </w:r>
          </w:p>
        </w:tc>
        <w:tc>
          <w:tcPr/>
          <w:p>
            <w:pPr>
              <w:pStyle w:val="Compact"/>
            </w:pPr>
          </w:p>
        </w:tc>
      </w:tr>
      <w:tr>
        <w:tc>
          <w:tcPr/>
          <w:p>
            <w:pPr>
              <w:pStyle w:val="Compact"/>
            </w:pPr>
          </w:p>
        </w:tc>
        <w:tc>
          <w:tcPr/>
          <w:p>
            <w:pPr>
              <w:pStyle w:val="Compact"/>
              <w:jc w:val="left"/>
            </w:pPr>
            <w:r>
              <w:t xml:space="preserve">Implementeer oplossingen</w:t>
            </w:r>
          </w:p>
        </w:tc>
        <w:tc>
          <w:tcPr/>
          <w:p>
            <w:pPr>
              <w:pStyle w:val="Compact"/>
            </w:pPr>
          </w:p>
        </w:tc>
      </w:tr>
      <w:tr>
        <w:tc>
          <w:tcPr/>
          <w:p>
            <w:pPr>
              <w:pStyle w:val="Compact"/>
            </w:pPr>
          </w:p>
        </w:tc>
        <w:tc>
          <w:tcPr/>
          <w:p>
            <w:pPr>
              <w:pStyle w:val="Compact"/>
              <w:jc w:val="left"/>
            </w:pPr>
            <w:r>
              <w:t xml:space="preserve">Lean6Sigma improve-tools</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Control-fase</w:t>
            </w:r>
          </w:p>
        </w:tc>
        <w:tc>
          <w:tcPr/>
          <w:p>
            <w:pPr>
              <w:pStyle w:val="Compact"/>
              <w:jc w:val="left"/>
            </w:pPr>
            <w:r>
              <w:t xml:space="preserve">Het proces borgen</w:t>
            </w:r>
          </w:p>
        </w:tc>
        <w:tc>
          <w:tcPr/>
          <w:p>
            <w:pPr>
              <w:pStyle w:val="Compact"/>
              <w:jc w:val="right"/>
            </w:pPr>
            <w:r>
              <w:t xml:space="preserve">2,5 uur</w:t>
            </w:r>
          </w:p>
        </w:tc>
      </w:tr>
      <w:tr>
        <w:tc>
          <w:tcPr/>
          <w:p>
            <w:pPr>
              <w:pStyle w:val="Compact"/>
            </w:pPr>
          </w:p>
        </w:tc>
        <w:tc>
          <w:tcPr/>
          <w:p>
            <w:pPr>
              <w:pStyle w:val="Compact"/>
              <w:jc w:val="left"/>
            </w:pPr>
            <w:r>
              <w:t xml:space="preserve">In control zijn en blijven</w:t>
            </w:r>
          </w:p>
        </w:tc>
        <w:tc>
          <w:tcPr/>
          <w:p>
            <w:pPr>
              <w:pStyle w:val="Compact"/>
            </w:pPr>
          </w:p>
        </w:tc>
      </w:tr>
      <w:tr>
        <w:tc>
          <w:tcPr/>
          <w:p>
            <w:pPr>
              <w:pStyle w:val="Compact"/>
            </w:pPr>
          </w:p>
        </w:tc>
        <w:tc>
          <w:tcPr/>
          <w:p>
            <w:pPr>
              <w:pStyle w:val="Compact"/>
              <w:jc w:val="left"/>
            </w:pPr>
            <w:r>
              <w:t xml:space="preserve">Verankering in het DNA</w:t>
            </w:r>
          </w:p>
        </w:tc>
        <w:tc>
          <w:tcPr/>
          <w:p>
            <w:pPr>
              <w:pStyle w:val="Compact"/>
            </w:pPr>
          </w:p>
        </w:tc>
      </w:tr>
      <w:tr>
        <w:tc>
          <w:tcPr/>
          <w:p>
            <w:pPr>
              <w:pStyle w:val="Compact"/>
            </w:pPr>
          </w:p>
        </w:tc>
        <w:tc>
          <w:tcPr/>
          <w:p>
            <w:pPr>
              <w:pStyle w:val="Compact"/>
              <w:jc w:val="left"/>
            </w:pPr>
            <w:r>
              <w:t xml:space="preserve">Project afsluiten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Subtotaal (circa)</w:t>
            </w:r>
          </w:p>
        </w:tc>
        <w:tc>
          <w:tcPr/>
          <w:p>
            <w:pPr>
              <w:pStyle w:val="Compact"/>
            </w:pPr>
          </w:p>
        </w:tc>
        <w:tc>
          <w:tcPr/>
          <w:p>
            <w:pPr>
              <w:pStyle w:val="Compact"/>
              <w:jc w:val="right"/>
            </w:pPr>
            <w:r>
              <w:t xml:space="preserve">16,0 uur</w:t>
            </w:r>
          </w:p>
        </w:tc>
      </w:tr>
      <w:tr>
        <w:tc>
          <w:tcPr/>
          <w:p>
            <w:pPr>
              <w:pStyle w:val="Compact"/>
              <w:jc w:val="left"/>
            </w:pPr>
            <w:r>
              <w:t xml:space="preserve">Proef examen</w:t>
            </w:r>
          </w:p>
        </w:tc>
        <w:tc>
          <w:tcPr/>
          <w:p>
            <w:pPr>
              <w:pStyle w:val="Compact"/>
            </w:pPr>
          </w:p>
        </w:tc>
        <w:tc>
          <w:tcPr/>
          <w:p>
            <w:pPr>
              <w:pStyle w:val="Compact"/>
              <w:jc w:val="right"/>
            </w:pPr>
            <w:r>
              <w:t xml:space="preserve">2,0 uur</w:t>
            </w:r>
          </w:p>
        </w:tc>
      </w:tr>
      <w:tr>
        <w:tc>
          <w:tcPr/>
          <w:p>
            <w:pPr>
              <w:pStyle w:val="Compact"/>
              <w:jc w:val="left"/>
            </w:pPr>
            <w:r>
              <w:t xml:space="preserve">Examen</w:t>
            </w:r>
          </w:p>
        </w:tc>
        <w:tc>
          <w:tcPr/>
          <w:p>
            <w:pPr>
              <w:pStyle w:val="Compact"/>
            </w:pPr>
          </w:p>
        </w:tc>
        <w:tc>
          <w:tcPr/>
          <w:p>
            <w:pPr>
              <w:pStyle w:val="Compact"/>
              <w:jc w:val="right"/>
            </w:pPr>
            <w:r>
              <w:t xml:space="preserve">2,0 uur</w:t>
            </w:r>
          </w:p>
        </w:tc>
      </w:tr>
      <w:tr>
        <w:tc>
          <w:tcPr/>
          <w:p>
            <w:pPr>
              <w:pStyle w:val="Compact"/>
              <w:jc w:val="left"/>
            </w:pPr>
            <w:r>
              <w:t xml:space="preserve">Totaal (circa)</w:t>
            </w:r>
          </w:p>
        </w:tc>
        <w:tc>
          <w:tcPr/>
          <w:p>
            <w:pPr>
              <w:pStyle w:val="Compact"/>
            </w:pPr>
          </w:p>
        </w:tc>
        <w:tc>
          <w:tcPr/>
          <w:p>
            <w:pPr>
              <w:pStyle w:val="Compact"/>
              <w:jc w:val="right"/>
            </w:pPr>
            <w:r>
              <w:t xml:space="preserve">20,0 uur</w:t>
            </w:r>
          </w:p>
        </w:tc>
      </w:tr>
    </w:tbl>
    <w:p>
      <w:pPr>
        <w:pStyle w:val="BodyText"/>
      </w:pPr>
      <w:r>
        <w:t xml:space="preserve"> </w:t>
      </w:r>
    </w:p>
    <w:tbl>
      <w:tblPr>
        <w:tblStyle w:val="Table"/>
        <w:tblW w:type="pct" w:w="5000"/>
        <w:tblLayout w:type="fixed"/>
        <w:tblLook w:firstRow="1" w:lastRow="0" w:firstColumn="0" w:lastColumn="0" w:noHBand="0" w:noVBand="0" w:val="0020"/>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Minitab: introductie</w:t>
            </w:r>
          </w:p>
        </w:tc>
        <w:tc>
          <w:tcPr/>
          <w:p>
            <w:pPr>
              <w:pStyle w:val="Compact"/>
              <w:jc w:val="right"/>
            </w:pPr>
            <w:r>
              <w:t xml:space="preserve">4,0 uur</w:t>
            </w:r>
          </w:p>
        </w:tc>
      </w:tr>
      <w:tr>
        <w:tc>
          <w:tcPr/>
          <w:p>
            <w:pPr>
              <w:pStyle w:val="Compact"/>
            </w:pPr>
          </w:p>
        </w:tc>
        <w:tc>
          <w:tcPr/>
          <w:p>
            <w:pPr>
              <w:pStyle w:val="Compact"/>
              <w:jc w:val="left"/>
            </w:pPr>
            <w:r>
              <w:t xml:space="preserve">Data verzamelen</w:t>
            </w:r>
          </w:p>
        </w:tc>
        <w:tc>
          <w:tcPr/>
          <w:p>
            <w:pPr>
              <w:pStyle w:val="Compact"/>
            </w:pPr>
          </w:p>
        </w:tc>
      </w:tr>
      <w:tr>
        <w:tc>
          <w:tcPr/>
          <w:p>
            <w:pPr>
              <w:pStyle w:val="Compact"/>
            </w:pPr>
          </w:p>
        </w:tc>
        <w:tc>
          <w:tcPr/>
          <w:p>
            <w:pPr>
              <w:pStyle w:val="Compact"/>
              <w:jc w:val="left"/>
            </w:pPr>
            <w:r>
              <w:t xml:space="preserve">Prestaties weergeven</w:t>
            </w:r>
          </w:p>
        </w:tc>
        <w:tc>
          <w:tcPr/>
          <w:p>
            <w:pPr>
              <w:pStyle w:val="Compact"/>
            </w:pPr>
          </w:p>
        </w:tc>
      </w:tr>
      <w:tr>
        <w:tc>
          <w:tcPr/>
          <w:p>
            <w:pPr>
              <w:pStyle w:val="Compact"/>
            </w:pPr>
          </w:p>
        </w:tc>
        <w:tc>
          <w:tcPr/>
          <w:p>
            <w:pPr>
              <w:pStyle w:val="Compact"/>
              <w:jc w:val="left"/>
            </w:pPr>
            <w:r>
              <w:t xml:space="preserve">Prestaties toetsen</w:t>
            </w:r>
          </w:p>
        </w:tc>
        <w:tc>
          <w:tcPr/>
          <w:p>
            <w:pPr>
              <w:pStyle w:val="Compact"/>
            </w:pPr>
          </w:p>
        </w:tc>
      </w:tr>
    </w:tbl>
    <w:p>
      <w:pPr>
        <w:pStyle w:val="BodyText"/>
      </w:pPr>
      <w:r>
        <w:t xml:space="preserve"> </w:t>
      </w:r>
    </w:p>
    <w:tbl>
      <w:tblPr>
        <w:tblStyle w:val="Table"/>
        <w:tblW w:type="pct" w:w="5000"/>
        <w:tblLayout w:type="fixed"/>
        <w:tblLook w:firstRow="1" w:lastRow="0" w:firstColumn="0" w:lastColumn="0" w:noHBand="0" w:noVBand="0" w:val="0020"/>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Wat is kwaliteit?</w:t>
            </w:r>
          </w:p>
        </w:tc>
        <w:tc>
          <w:tcPr/>
          <w:p>
            <w:pPr>
              <w:pStyle w:val="Compact"/>
              <w:jc w:val="right"/>
            </w:pPr>
            <w:r>
              <w:t xml:space="preserve">1,5 uur</w:t>
            </w:r>
          </w:p>
        </w:tc>
      </w:tr>
      <w:tr>
        <w:tc>
          <w:tcPr/>
          <w:p>
            <w:pPr>
              <w:pStyle w:val="Compact"/>
            </w:pPr>
          </w:p>
        </w:tc>
        <w:tc>
          <w:tcPr/>
          <w:p>
            <w:pPr>
              <w:pStyle w:val="Compact"/>
              <w:jc w:val="left"/>
            </w:pPr>
            <w:r>
              <w:t xml:space="preserve">Wat is kwaliteitsmanagement?</w:t>
            </w:r>
          </w:p>
        </w:tc>
        <w:tc>
          <w:tcPr/>
          <w:p>
            <w:pPr>
              <w:pStyle w:val="Compact"/>
            </w:pPr>
          </w:p>
        </w:tc>
      </w:tr>
      <w:tr>
        <w:tc>
          <w:tcPr/>
          <w:p>
            <w:pPr>
              <w:pStyle w:val="Compact"/>
            </w:pPr>
          </w:p>
        </w:tc>
        <w:tc>
          <w:tcPr/>
          <w:p>
            <w:pPr>
              <w:pStyle w:val="Compact"/>
              <w:jc w:val="left"/>
            </w:pPr>
            <w:r>
              <w:t xml:space="preserve">Kwaliteitsmanagementsysteem</w:t>
            </w:r>
          </w:p>
        </w:tc>
        <w:tc>
          <w:tcPr/>
          <w:p>
            <w:pPr>
              <w:pStyle w:val="Compact"/>
            </w:pPr>
          </w:p>
        </w:tc>
      </w:tr>
      <w:tr>
        <w:tc>
          <w:tcPr/>
          <w:p>
            <w:pPr>
              <w:pStyle w:val="Compact"/>
            </w:pPr>
          </w:p>
        </w:tc>
        <w:tc>
          <w:tcPr/>
          <w:p>
            <w:pPr>
              <w:pStyle w:val="Compact"/>
              <w:jc w:val="left"/>
            </w:pPr>
            <w:r>
              <w:t xml:space="preserve">Kwaliteitsgoeroes</w:t>
            </w:r>
          </w:p>
        </w:tc>
        <w:tc>
          <w:tcPr/>
          <w:p>
            <w:pPr>
              <w:pStyle w:val="Compact"/>
            </w:pPr>
          </w:p>
        </w:tc>
      </w:tr>
    </w:tbl>
    <w:bookmarkEnd w:id="86"/>
    <w:bookmarkStart w:id="87" w:name="partiële-dataset"/>
    <w:p>
      <w:pPr>
        <w:pStyle w:val="Heading1"/>
      </w:pPr>
      <w:r>
        <w:rPr>
          <w:rStyle w:val="SectionNumber"/>
        </w:rPr>
        <w:t xml:space="preserve">C</w:t>
      </w:r>
      <w:r>
        <w:tab/>
      </w:r>
      <w:r>
        <w:t xml:space="preserve">Appendix C — Partiële dataset</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Learning Management System, in het geval van de HvA het programma Brightspace.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8" Target="media/rId28.jpg" /><Relationship Type="http://schemas.openxmlformats.org/officeDocument/2006/relationships/image" Id="rId33" Target="media/rId33.jpg" /><Relationship Type="http://schemas.openxmlformats.org/officeDocument/2006/relationships/image" Id="rId50" Target="media/rId50.jpg" /><Relationship Type="http://schemas.openxmlformats.org/officeDocument/2006/relationships/image" Id="rId55" Target="media/rId55.jpg" /><Relationship Type="http://schemas.openxmlformats.org/officeDocument/2006/relationships/image" Id="rId60" Target="media/rId60.jpg" /><Relationship Type="http://schemas.openxmlformats.org/officeDocument/2006/relationships/image" Id="rId82" Target="media/rId82.jpg" /><Relationship Type="http://schemas.openxmlformats.org/officeDocument/2006/relationships/image" Id="rId44" Target="media/rId44.png" /><Relationship Type="http://schemas.openxmlformats.org/officeDocument/2006/relationships/image" Id="rId39" Target="media/rId39.png" /><Relationship Type="http://schemas.openxmlformats.org/officeDocument/2006/relationships/hyperlink" Id="rId21" Target="https://jan-ru.github.io/lss_greenbelt/Green-Belt.docx" TargetMode="External" /><Relationship Type="http://schemas.openxmlformats.org/officeDocument/2006/relationships/hyperlink" Id="rId20" Target="https://jan-ru.github.io/lss_greenbelt/Green-Belt.pdf" TargetMode="External" /><Relationship Type="http://schemas.openxmlformats.org/officeDocument/2006/relationships/hyperlink" Id="rId81" Target="https://www.hva.nl/over-de-hva/organisatie/plannen-feiten-en-verslagen/feiten-en-cijfers/financien/financien.html" TargetMode="External" /></Relationships>
</file>

<file path=word/_rels/footnotes.xml.rels><?xml version="1.0" encoding="UTF-8"?><Relationships xmlns="http://schemas.openxmlformats.org/package/2006/relationships"><Relationship Type="http://schemas.openxmlformats.org/officeDocument/2006/relationships/hyperlink" Id="rId21" Target="https://jan-ru.github.io/lss_greenbelt/Green-Belt.docx" TargetMode="External" /><Relationship Type="http://schemas.openxmlformats.org/officeDocument/2006/relationships/hyperlink" Id="rId20" Target="https://jan-ru.github.io/lss_greenbelt/Green-Belt.pdf" TargetMode="External" /><Relationship Type="http://schemas.openxmlformats.org/officeDocument/2006/relationships/hyperlink" Id="rId81" Target="https://www.hva.nl/over-de-hva/organisatie/plannen-feiten-en-verslagen/feiten-en-cijfers/financien/financie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Belt</dc:title>
  <dc:creator>Jan-Ru Muller</dc:creator>
  <cp:keywords/>
  <dcterms:created xsi:type="dcterms:W3CDTF">2024-05-03T19:00:18Z</dcterms:created>
  <dcterms:modified xsi:type="dcterms:W3CDTF">2024-05-03T19:00:18Z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ppendix-delim">
    <vt:lpwstr>:</vt:lpwstr>
  </property>
  <property fmtid="{D5CDD505-2E9C-101B-9397-08002B2CF9AE}" pid="4" name="appendix-title">
    <vt:lpwstr>App.</vt:lpwstr>
  </property>
  <property fmtid="{D5CDD505-2E9C-101B-9397-08002B2CF9AE}" pid="5" name="authors">
    <vt:lpwstr/>
  </property>
  <property fmtid="{D5CDD505-2E9C-101B-9397-08002B2CF9AE}" pid="6" name="biblio-config">
    <vt:lpwstr>True</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False</vt:lpwstr>
  </property>
  <property fmtid="{D5CDD505-2E9C-101B-9397-08002B2CF9AE}" pid="11" name="date">
    <vt:lpwstr>11/04/2024</vt:lpwstr>
  </property>
  <property fmtid="{D5CDD505-2E9C-101B-9397-08002B2CF9AE}" pid="12" name="date-format">
    <vt:lpwstr>DD/MM/YYYY</vt:lpwstr>
  </property>
  <property fmtid="{D5CDD505-2E9C-101B-9397-08002B2CF9AE}" pid="13" name="fig-prefix">
    <vt:lpwstr>figure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Lean / Six Sigma</vt:lpwstr>
  </property>
  <property fmtid="{D5CDD505-2E9C-101B-9397-08002B2CF9AE}" pid="19" name="tbl-prefix">
    <vt:lpwstr>table</vt:lpwstr>
  </property>
  <property fmtid="{D5CDD505-2E9C-101B-9397-08002B2CF9AE}" pid="20" name="template-partials">
    <vt:lpwstr/>
  </property>
  <property fmtid="{D5CDD505-2E9C-101B-9397-08002B2CF9AE}" pid="21" name="toc-title">
    <vt:lpwstr>Table of contents</vt:lpwstr>
  </property>
</Properties>
</file>