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Override PartName="/word/media/rId31.jpg" ContentType="image/jpeg"/>
  <Override PartName="/word/media/rId48.jpg" ContentType="image/jpeg"/>
  <Override PartName="/word/media/rId53.jpg" ContentType="image/jpeg"/>
  <Override PartName="/word/media/rId58.jpg" ContentType="image/jpeg"/>
  <Override PartName="/word/media/rId67.jpg" ContentType="image/jpeg"/>
  <Override PartName="/word/media/rId84.jpg" ContentType="image/jpeg"/>
  <Override PartName="/word/media/rId4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Ten behoeve van dit rapport worden de volgende definities gehanteerd:</w:t>
      </w:r>
    </w:p>
    <w:p>
      <w:pPr>
        <w:pStyle w:val="Compact"/>
        <w:numPr>
          <w:ilvl w:val="0"/>
          <w:numId w:val="1001"/>
        </w:numPr>
      </w:pPr>
      <w:r>
        <w:t xml:space="preserve">Cyclustijd: de tijd tussen twee opeenvolgende modules, is 10 weken.</w:t>
      </w:r>
    </w:p>
    <w:p>
      <w:pPr>
        <w:pStyle w:val="Compact"/>
        <w:numPr>
          <w:ilvl w:val="0"/>
          <w:numId w:val="1001"/>
        </w:numPr>
      </w:pPr>
      <w:r>
        <w:t xml:space="preserve">Doorlooptijd: de totale tijd om het vak af te ronden is 9 weken, gerekend vanaf de start van het blok.</w:t>
      </w:r>
    </w:p>
    <w:p>
      <w:pPr>
        <w:pStyle w:val="Compact"/>
        <w:numPr>
          <w:ilvl w:val="0"/>
          <w:numId w:val="1001"/>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p>
      <w:pPr>
        <w:pStyle w:val="Compact"/>
        <w:numPr>
          <w:ilvl w:val="0"/>
          <w:numId w:val="1002"/>
        </w:numPr>
      </w:pPr>
      <w:r>
        <w:t xml:space="preserve">Unit of analysis.</w:t>
      </w:r>
    </w:p>
    <w:p>
      <w:pPr>
        <w:pStyle w:val="Compact"/>
        <w:numPr>
          <w:ilvl w:val="0"/>
          <w:numId w:val="1002"/>
        </w:numPr>
      </w:pPr>
      <w:r>
        <w:t xml:space="preserve">Populatie</w:t>
      </w:r>
    </w:p>
    <w:p>
      <w:pPr>
        <w:pStyle w:val="Compact"/>
        <w:numPr>
          <w:ilvl w:val="0"/>
          <w:numId w:val="1002"/>
        </w:numPr>
      </w:pPr>
      <w:r>
        <w:t xml:space="preserve">Steekproefomvang</w:t>
      </w:r>
    </w:p>
    <w:p>
      <w:pPr>
        <w:pStyle w:val="Compact"/>
        <w:numPr>
          <w:ilvl w:val="0"/>
          <w:numId w:val="1002"/>
        </w:numPr>
      </w:pPr>
      <w:r>
        <w:t xml:space="preserve">Representatief</w:t>
      </w:r>
    </w:p>
    <w:bookmarkEnd w:id="20"/>
    <w:bookmarkStart w:id="47"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5"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4" w:name="fig-module-proces"/>
          <w:p>
            <w:pPr>
              <w:pStyle w:val="Compact"/>
              <w:jc w:val="left"/>
            </w:pPr>
            <w:r>
              <w:drawing>
                <wp:inline>
                  <wp:extent cx="5334000" cy="1598443"/>
                  <wp:effectExtent b="0" l="0" r="0" t="0"/>
                  <wp:docPr descr="" title="" id="22" name="Picture"/>
                  <a:graphic>
                    <a:graphicData uri="http://schemas.openxmlformats.org/drawingml/2006/picture">
                      <pic:pic>
                        <pic:nvPicPr>
                          <pic:cNvPr descr="./static/11_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4"/>
        </w:tc>
      </w:tr>
    </w:tbl>
    <w:bookmarkEnd w:id="25"/>
    <w:bookmarkStart w:id="30"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tbl>
      <w:tblPr>
        <w:tblStyle w:val="Table"/>
        <w:tblW w:type="pct" w:w="5000"/>
        <w:tblLayout w:type="fixed"/>
        <w:tblLook w:firstRow="0" w:lastRow="0" w:firstColumn="0" w:lastColumn="0" w:noHBand="0" w:noVBand="0" w:val="0000"/>
      </w:tblPr>
      <w:tblGrid>
        <w:gridCol w:w="7920"/>
      </w:tblGrid>
      <w:tr>
        <w:tc>
          <w:tcPr/>
          <w:bookmarkStart w:id="29" w:name="fig-project-charter"/>
          <w:p>
            <w:pPr>
              <w:pStyle w:val="Compact"/>
              <w:jc w:val="left"/>
            </w:pPr>
            <w:r>
              <w:drawing>
                <wp:inline>
                  <wp:extent cx="5334000" cy="5148423"/>
                  <wp:effectExtent b="0" l="0" r="0" t="0"/>
                  <wp:docPr descr="" title="" id="27" name="Picture"/>
                  <a:graphic>
                    <a:graphicData uri="http://schemas.openxmlformats.org/drawingml/2006/picture">
                      <pic:pic>
                        <pic:nvPicPr>
                          <pic:cNvPr descr="./static/12_project_charter.jpg" id="28" name="Picture"/>
                          <pic:cNvPicPr>
                            <a:picLocks noChangeArrowheads="1" noChangeAspect="1"/>
                          </pic:cNvPicPr>
                        </pic:nvPicPr>
                        <pic:blipFill>
                          <a:blip r:embed="rId26"/>
                          <a:stretch>
                            <a:fillRect/>
                          </a:stretch>
                        </pic:blipFill>
                        <pic:spPr bwMode="auto">
                          <a:xfrm>
                            <a:off x="0" y="0"/>
                            <a:ext cx="5334000" cy="5148423"/>
                          </a:xfrm>
                          <a:prstGeom prst="rect">
                            <a:avLst/>
                          </a:prstGeom>
                          <a:noFill/>
                          <a:ln w="9525">
                            <a:noFill/>
                            <a:headEnd/>
                            <a:tailEnd/>
                          </a:ln>
                        </pic:spPr>
                      </pic:pic>
                    </a:graphicData>
                  </a:graphic>
                </wp:inline>
              </w:drawing>
            </w:r>
          </w:p>
          <w:p>
            <w:pPr>
              <w:jc w:val="left"/>
            </w:pPr>
            <w:pPr>
              <w:jc w:val="start"/>
              <w:spacing w:before="200"/>
              <w:pStyle w:val="ImageCaption"/>
            </w:pPr>
            <w:r>
              <w:t xml:space="preserve">Figure 2: Project Charter</w:t>
            </w:r>
          </w:p>
          <w:bookmarkEnd w:id="29"/>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30"/>
    <w:bookmarkStart w:id="36"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4" w:name="fig-onderwijs"/>
          <w:p>
            <w:pPr>
              <w:pStyle w:val="Compact"/>
              <w:jc w:val="left"/>
            </w:pPr>
            <w:r>
              <w:drawing>
                <wp:inline>
                  <wp:extent cx="5334000" cy="3246042"/>
                  <wp:effectExtent b="0" l="0" r="0" t="0"/>
                  <wp:docPr descr="" title="" id="32" name="Picture"/>
                  <a:graphic>
                    <a:graphicData uri="http://schemas.openxmlformats.org/drawingml/2006/picture">
                      <pic:pic>
                        <pic:nvPicPr>
                          <pic:cNvPr descr="./static/13_onderwijs_geven.jpg" id="33" name="Picture"/>
                          <pic:cNvPicPr>
                            <a:picLocks noChangeArrowheads="1" noChangeAspect="1"/>
                          </pic:cNvPicPr>
                        </pic:nvPicPr>
                        <pic:blipFill>
                          <a:blip r:embed="rId31"/>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3: Onderwijsuitvoering</w:t>
            </w:r>
          </w:p>
          <w:bookmarkEnd w:id="34"/>
        </w:tc>
      </w:tr>
    </w:tbl>
    <w:p>
      <w:pPr>
        <w:pStyle w:val="BodyText"/>
      </w:pPr>
      <w:r>
        <w:t xml:space="preserve">Ter algemene toelichting:</w:t>
      </w:r>
    </w:p>
    <w:p>
      <w:pPr>
        <w:pStyle w:val="Compact"/>
        <w:numPr>
          <w:ilvl w:val="0"/>
          <w:numId w:val="1003"/>
        </w:numPr>
      </w:pPr>
      <w:r>
        <w:t xml:space="preserve">Het coördinatieteam zorgt ondermeer voor het samenstellen van het rooster.</w:t>
      </w:r>
    </w:p>
    <w:p>
      <w:pPr>
        <w:pStyle w:val="Compact"/>
        <w:numPr>
          <w:ilvl w:val="0"/>
          <w:numId w:val="1003"/>
        </w:numPr>
      </w:pPr>
      <w:r>
        <w:t xml:space="preserve">Onderwijs &amp; onderzoek ondersteunt o.a. bij de inrichting en het gebruik van het LMS</w:t>
      </w:r>
      <w:r>
        <w:rPr>
          <w:rStyle w:val="FootnoteReference"/>
        </w:rPr>
        <w:footnoteReference w:id="35"/>
      </w:r>
      <w:r>
        <w:t xml:space="preserve">.</w:t>
      </w:r>
    </w:p>
    <w:p>
      <w:pPr>
        <w:pStyle w:val="Compact"/>
        <w:numPr>
          <w:ilvl w:val="0"/>
          <w:numId w:val="1003"/>
        </w:numPr>
      </w:pPr>
      <w:r>
        <w:t xml:space="preserve">De externe dienstverlener is in dit geval Skoledo waar de studenten de e-learnings volgen.</w:t>
      </w:r>
    </w:p>
    <w:p>
      <w:pPr>
        <w:pStyle w:val="Compact"/>
        <w:numPr>
          <w:ilvl w:val="0"/>
          <w:numId w:val="1003"/>
        </w:numPr>
      </w:pPr>
      <w:r>
        <w:t xml:space="preserve">Het examenburo verzorgt de logistiek rondom de afname van examens.</w:t>
      </w:r>
    </w:p>
    <w:p>
      <w:pPr>
        <w:pStyle w:val="Compact"/>
        <w:numPr>
          <w:ilvl w:val="0"/>
          <w:numId w:val="1003"/>
        </w:numPr>
      </w:pPr>
      <w:r>
        <w:t xml:space="preserve">Onder management wordt hier verstaan het hoofd van de opleiding Finance &amp; Control.</w:t>
      </w:r>
    </w:p>
    <w:bookmarkEnd w:id="36"/>
    <w:bookmarkStart w:id="41"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40" w:name="fig-voc-ctq"/>
          <w:p>
            <w:pPr>
              <w:jc w:val="center"/>
            </w:pPr>
            <w:r>
              <w:drawing>
                <wp:inline>
                  <wp:extent cx="5334000" cy="3423683"/>
                  <wp:effectExtent b="0" l="0" r="0" t="0"/>
                  <wp:docPr descr="" title="" id="38" name="Picture"/>
                  <a:graphic>
                    <a:graphicData uri="http://schemas.openxmlformats.org/drawingml/2006/picture">
                      <pic:pic>
                        <pic:nvPicPr>
                          <pic:cNvPr descr="1_definitie_fase_files/figure-docx/mermaid-figure-2.png" id="39" name="Picture"/>
                          <pic:cNvPicPr>
                            <a:picLocks noChangeArrowheads="1" noChangeAspect="1"/>
                          </pic:cNvPicPr>
                        </pic:nvPicPr>
                        <pic:blipFill>
                          <a:blip r:embed="rId37"/>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Voice of the Business</w:t>
            </w:r>
          </w:p>
          <w:bookmarkEnd w:id="40"/>
        </w:tc>
      </w:tr>
    </w:tbl>
    <w:p>
      <w:pPr>
        <w:pStyle w:val="BodyText"/>
      </w:pPr>
      <w:r>
        <w:t xml:space="preserve">Waarschijnlijke toekomstige verbeteringen:</w:t>
      </w:r>
    </w:p>
    <w:p>
      <w:pPr>
        <w:pStyle w:val="Compact"/>
        <w:numPr>
          <w:ilvl w:val="0"/>
          <w:numId w:val="1004"/>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4"/>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4"/>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1"/>
    <w:bookmarkStart w:id="46"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5"/>
        </w:numPr>
      </w:pPr>
      <w:r>
        <w:t xml:space="preserve">de ideale doorlooptijd van de e-learnings is</w:t>
      </w:r>
    </w:p>
    <w:p>
      <w:pPr>
        <w:pStyle w:val="Compact"/>
        <w:numPr>
          <w:ilvl w:val="0"/>
          <w:numId w:val="1005"/>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5" w:name="fig-lineplot"/>
          <w:p>
            <w:pPr>
              <w:pStyle w:val="Compact"/>
              <w:jc w:val="center"/>
            </w:pPr>
            <w:r>
              <w:drawing>
                <wp:inline>
                  <wp:extent cx="5334000" cy="2908868"/>
                  <wp:effectExtent b="0" l="0" r="0" t="0"/>
                  <wp:docPr descr="" title="" id="43" name="Picture"/>
                  <a:graphic>
                    <a:graphicData uri="http://schemas.openxmlformats.org/drawingml/2006/picture">
                      <pic:pic>
                        <pic:nvPicPr>
                          <pic:cNvPr descr="1_definitie_fase_files/figure-docx/fig-lineplot-output-1.png" id="44" name="Picture"/>
                          <pic:cNvPicPr>
                            <a:picLocks noChangeArrowheads="1" noChangeAspect="1"/>
                          </pic:cNvPicPr>
                        </pic:nvPicPr>
                        <pic:blipFill>
                          <a:blip r:embed="rId42"/>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line plot showing progress on the e-learnings</w:t>
            </w:r>
          </w:p>
          <w:bookmarkEnd w:id="45"/>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6"/>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6"/>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6"/>
    <w:bookmarkEnd w:id="47"/>
    <w:bookmarkStart w:id="64"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2"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1" w:name="fig-gegevensbronnen"/>
          <w:p>
            <w:pPr>
              <w:pStyle w:val="Compact"/>
              <w:jc w:val="left"/>
            </w:pPr>
            <w:r>
              <w:drawing>
                <wp:inline>
                  <wp:extent cx="5334000" cy="2098360"/>
                  <wp:effectExtent b="0" l="0" r="0" t="0"/>
                  <wp:docPr descr="" title="" id="49" name="Picture"/>
                  <a:graphic>
                    <a:graphicData uri="http://schemas.openxmlformats.org/drawingml/2006/picture">
                      <pic:pic>
                        <pic:nvPicPr>
                          <pic:cNvPr descr="./static/21_gegevensbronnen.jpg" id="50" name="Picture"/>
                          <pic:cNvPicPr>
                            <a:picLocks noChangeArrowheads="1" noChangeAspect="1"/>
                          </pic:cNvPicPr>
                        </pic:nvPicPr>
                        <pic:blipFill>
                          <a:blip r:embed="rId48"/>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6: Gegevensbronnen</w:t>
            </w:r>
          </w:p>
          <w:bookmarkEnd w:id="51"/>
        </w:tc>
      </w:tr>
    </w:tbl>
    <w:p>
      <w:pPr>
        <w:pStyle w:val="Compact"/>
        <w:numPr>
          <w:ilvl w:val="0"/>
          <w:numId w:val="1007"/>
        </w:numPr>
      </w:pPr>
      <w:r>
        <w:t xml:space="preserve">SIS, het studenten informaties systeem, bevat de klassenlijst. SIS is ook het systeem waar, op het eind van het blok, de cijfers van de studenten worden ingevoerd.</w:t>
      </w:r>
    </w:p>
    <w:p>
      <w:pPr>
        <w:pStyle w:val="Compact"/>
        <w:numPr>
          <w:ilvl w:val="0"/>
          <w:numId w:val="1007"/>
        </w:numPr>
      </w:pPr>
      <w:r>
        <w:t xml:space="preserve">Skoledo is de leverancier van de e-learnings. Skoledo levert wekelijks de voortgang van de studenten aan alsook tussentijdse resultaten.</w:t>
      </w:r>
    </w:p>
    <w:p>
      <w:pPr>
        <w:pStyle w:val="Compact"/>
        <w:numPr>
          <w:ilvl w:val="0"/>
          <w:numId w:val="1007"/>
        </w:numPr>
      </w:pPr>
      <w:r>
        <w:t xml:space="preserve">Brightspace bevat de studiehandleiding en de lesstof. Brightspace is ook het systeem waar de praktijkopdrachten worden ingeleverd en beoordeeld.</w:t>
      </w:r>
    </w:p>
    <w:p>
      <w:pPr>
        <w:pStyle w:val="Compact"/>
        <w:numPr>
          <w:ilvl w:val="0"/>
          <w:numId w:val="1007"/>
        </w:numPr>
      </w:pPr>
      <w:r>
        <w:t xml:space="preserve">Testvision is het programma waarin de kennistoets wordt samengesteld en waarin de studenten de toets maken.</w:t>
      </w:r>
    </w:p>
    <w:p>
      <w:pPr>
        <w:pStyle w:val="Compact"/>
        <w:numPr>
          <w:ilvl w:val="0"/>
          <w:numId w:val="1007"/>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2"/>
    <w:bookmarkStart w:id="57"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6" w:name="fig-module-detail"/>
          <w:p>
            <w:pPr>
              <w:pStyle w:val="Compact"/>
              <w:jc w:val="left"/>
            </w:pPr>
            <w:r>
              <w:drawing>
                <wp:inline>
                  <wp:extent cx="5334000" cy="1893174"/>
                  <wp:effectExtent b="0" l="0" r="0" t="0"/>
                  <wp:docPr descr="" title="" id="54" name="Picture"/>
                  <a:graphic>
                    <a:graphicData uri="http://schemas.openxmlformats.org/drawingml/2006/picture">
                      <pic:pic>
                        <pic:nvPicPr>
                          <pic:cNvPr descr="./static/22_module_detail.jpg" id="55" name="Picture"/>
                          <pic:cNvPicPr>
                            <a:picLocks noChangeArrowheads="1" noChangeAspect="1"/>
                          </pic:cNvPicPr>
                        </pic:nvPicPr>
                        <pic:blipFill>
                          <a:blip r:embed="rId53"/>
                          <a:stretch>
                            <a:fillRect/>
                          </a:stretch>
                        </pic:blipFill>
                        <pic:spPr bwMode="auto">
                          <a:xfrm>
                            <a:off x="0" y="0"/>
                            <a:ext cx="5334000" cy="1893174"/>
                          </a:xfrm>
                          <a:prstGeom prst="rect">
                            <a:avLst/>
                          </a:prstGeom>
                          <a:noFill/>
                          <a:ln w="9525">
                            <a:noFill/>
                            <a:headEnd/>
                            <a:tailEnd/>
                          </a:ln>
                        </pic:spPr>
                      </pic:pic>
                    </a:graphicData>
                  </a:graphic>
                </wp:inline>
              </w:drawing>
            </w:r>
          </w:p>
          <w:p>
            <w:pPr>
              <w:jc w:val="left"/>
            </w:pPr>
            <w:pPr>
              <w:jc w:val="start"/>
              <w:spacing w:before="200"/>
              <w:pStyle w:val="ImageCaption"/>
            </w:pPr>
            <w:r>
              <w:t xml:space="preserve">Figure 7: Module detail</w:t>
            </w:r>
          </w:p>
          <w:bookmarkEnd w:id="56"/>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7"/>
    <w:bookmarkStart w:id="62" w:name="gegevens---betrouwbaarheid"/>
    <w:p>
      <w:pPr>
        <w:pStyle w:val="Heading2"/>
      </w:pPr>
      <w:r>
        <w:rPr>
          <w:rStyle w:val="SectionNumber"/>
        </w:rPr>
        <w:t xml:space="preserve">2.3</w:t>
      </w:r>
      <w:r>
        <w:tab/>
      </w:r>
      <w:r>
        <w:t xml:space="preserve">2.3 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8"/>
        </w:numPr>
      </w:pPr>
      <w:r>
        <w:t xml:space="preserve">Zijn de data oplopend</w:t>
      </w:r>
    </w:p>
    <w:p>
      <w:pPr>
        <w:pStyle w:val="Compact"/>
        <w:numPr>
          <w:ilvl w:val="0"/>
          <w:numId w:val="1008"/>
        </w:numPr>
      </w:pPr>
      <w:r>
        <w:t xml:space="preserve">Is de voortgang deze week hoger dan vorige week</w:t>
      </w:r>
    </w:p>
    <w:p>
      <w:pPr>
        <w:pStyle w:val="Compact"/>
        <w:numPr>
          <w:ilvl w:val="0"/>
          <w:numId w:val="1008"/>
        </w:numPr>
      </w:pPr>
      <w:r>
        <w:t xml:space="preserve">Zijn alle studenten begonnen met de e-learnings</w:t>
      </w:r>
    </w:p>
    <w:p>
      <w:pPr>
        <w:pStyle w:val="Compact"/>
        <w:numPr>
          <w:ilvl w:val="0"/>
          <w:numId w:val="1008"/>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1" w:name="fig-checks"/>
          <w:p>
            <w:pPr>
              <w:pStyle w:val="Compact"/>
              <w:jc w:val="left"/>
            </w:pPr>
            <w:r>
              <w:drawing>
                <wp:inline>
                  <wp:extent cx="5334000" cy="2587977"/>
                  <wp:effectExtent b="0" l="0" r="0" t="0"/>
                  <wp:docPr descr="" title="" id="59" name="Picture"/>
                  <a:graphic>
                    <a:graphicData uri="http://schemas.openxmlformats.org/drawingml/2006/picture">
                      <pic:pic>
                        <pic:nvPicPr>
                          <pic:cNvPr descr="./static/24_betrouwbaarheid.jpg" id="60" name="Picture"/>
                          <pic:cNvPicPr>
                            <a:picLocks noChangeArrowheads="1" noChangeAspect="1"/>
                          </pic:cNvPicPr>
                        </pic:nvPicPr>
                        <pic:blipFill>
                          <a:blip r:embed="rId58"/>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8: Vakdocent en student checks</w:t>
            </w:r>
          </w:p>
          <w:bookmarkEnd w:id="61"/>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2"/>
    <w:bookmarkStart w:id="63"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09"/>
        </w:numPr>
      </w:pPr>
      <w:r>
        <w:t xml:space="preserve">De gegevens worden aangeleverd in Excel</w:t>
      </w:r>
    </w:p>
    <w:p>
      <w:pPr>
        <w:pStyle w:val="Compact"/>
        <w:numPr>
          <w:ilvl w:val="0"/>
          <w:numId w:val="1009"/>
        </w:numPr>
      </w:pPr>
      <w:r>
        <w:t xml:space="preserve">Excel is voor iedereen (docenten en studenten) beschikbaar</w:t>
      </w:r>
    </w:p>
    <w:p>
      <w:pPr>
        <w:pStyle w:val="Compact"/>
        <w:numPr>
          <w:ilvl w:val="0"/>
          <w:numId w:val="1009"/>
        </w:numPr>
      </w:pPr>
      <w:r>
        <w:t xml:space="preserve">Brede bekendheid met Excel onder de docenten</w:t>
      </w:r>
    </w:p>
    <w:p>
      <w:pPr>
        <w:pStyle w:val="Compact"/>
        <w:numPr>
          <w:ilvl w:val="0"/>
          <w:numId w:val="1009"/>
        </w:numPr>
      </w:pPr>
      <w:r>
        <w:t xml:space="preserve">Voldoende statistische functies om een analyse te kunnen doen</w:t>
      </w:r>
    </w:p>
    <w:p>
      <w:pPr>
        <w:pStyle w:val="Compact"/>
        <w:numPr>
          <w:ilvl w:val="0"/>
          <w:numId w:val="1009"/>
        </w:numPr>
      </w:pPr>
      <w:r>
        <w:t xml:space="preserve">Voldoende grafische mogelijkheden om een control-chart te kunnen maken</w:t>
      </w:r>
    </w:p>
    <w:p>
      <w:pPr>
        <w:pStyle w:val="Compact"/>
        <w:numPr>
          <w:ilvl w:val="0"/>
          <w:numId w:val="1009"/>
        </w:numPr>
      </w:pPr>
      <w:r>
        <w:t xml:space="preserve">En, last but not least, goede kennis van Excel bij de auteur van dit rapport</w:t>
      </w:r>
    </w:p>
    <w:bookmarkEnd w:id="63"/>
    <w:bookmarkEnd w:id="64"/>
    <w:bookmarkStart w:id="73" w:name="analyse-fase"/>
    <w:p>
      <w:pPr>
        <w:pStyle w:val="Heading1"/>
      </w:pPr>
      <w:r>
        <w:rPr>
          <w:rStyle w:val="SectionNumber"/>
        </w:rPr>
        <w:t xml:space="preserve">3</w:t>
      </w:r>
      <w:r>
        <w:tab/>
      </w:r>
      <w:r>
        <w:t xml:space="preserve">3. Analyse-fase</w:t>
      </w:r>
    </w:p>
    <w:p>
      <w:pPr>
        <w:pStyle w:val="FirstParagraph"/>
      </w:pPr>
      <w:r>
        <w:t xml:space="preserve">De eerste analyse gaat erom de elementen te vinden die van invloed zijn op de taktijd. De vragen die we daartoe willen beantwoorden zijn:</w:t>
      </w:r>
    </w:p>
    <w:p>
      <w:pPr>
        <w:pStyle w:val="Compact"/>
        <w:numPr>
          <w:ilvl w:val="0"/>
          <w:numId w:val="1010"/>
        </w:numPr>
      </w:pPr>
      <w:r>
        <w:t xml:space="preserve">Hoe is de taktijd nu verdeeld (descriptive statistics)?</w:t>
      </w:r>
    </w:p>
    <w:p>
      <w:pPr>
        <w:pStyle w:val="Compact"/>
        <w:numPr>
          <w:ilvl w:val="0"/>
          <w:numId w:val="1010"/>
        </w:numPr>
      </w:pPr>
      <w:r>
        <w:t xml:space="preserve">Zijn er significante verschillen tussen individuen, groepen en klassen?</w:t>
      </w:r>
    </w:p>
    <w:p>
      <w:pPr>
        <w:pStyle w:val="Compact"/>
        <w:numPr>
          <w:ilvl w:val="0"/>
          <w:numId w:val="1010"/>
        </w:numPr>
      </w:pPr>
      <w:r>
        <w:t xml:space="preserve">Wat zijn de variabelen (X) die de taktijd kunnen verklaren (Y)?</w:t>
      </w:r>
    </w:p>
    <w:bookmarkStart w:id="65" w:name="analyse-technieken"/>
    <w:p>
      <w:pPr>
        <w:pStyle w:val="Heading2"/>
      </w:pPr>
      <w:r>
        <w:rPr>
          <w:rStyle w:val="SectionNumber"/>
        </w:rPr>
        <w:t xml:space="preserve">3.1</w:t>
      </w:r>
      <w:r>
        <w:tab/>
      </w:r>
      <w:r>
        <w:t xml:space="preserve">3.1 Analyse technieken</w:t>
      </w:r>
    </w:p>
    <w:p>
      <w:pPr>
        <w:pStyle w:val="FirstParagraph"/>
      </w:pPr>
      <w:r>
        <w:t xml:space="preserve">Om de eerste vraag over de taktijd te beantwoorden wordt de data grafisch weergegeven in een zogenaamde</w:t>
      </w:r>
      <w:r>
        <w:t xml:space="preserve"> </w:t>
      </w:r>
      <w:r>
        <w:t xml:space="preserve">‘</w:t>
      </w:r>
      <w:r>
        <w:t xml:space="preserve">scatterplot</w:t>
      </w:r>
      <w:r>
        <w:t xml:space="preserve">’</w:t>
      </w:r>
      <w:r>
        <w:t xml:space="preserve">. Horizontaal wordt de tijd weergeven in weken (1-10). Verticaal wordt het aantal studenten weergegeven dat de e-learning in een bepaalde week heeft afgerond.</w:t>
      </w:r>
    </w:p>
    <w:p>
      <w:pPr>
        <w:pStyle w:val="BodyText"/>
      </w:pPr>
      <w:r>
        <w:t xml:space="preserve">Om de tweede vraag over mogelijke verschillen tussen taktijden te beantwoorden wordt de data grafisch weergegeven in een zogenaamde</w:t>
      </w:r>
      <w:r>
        <w:t xml:space="preserve"> </w:t>
      </w:r>
      <w:r>
        <w:t xml:space="preserve">‘</w:t>
      </w:r>
      <w:r>
        <w:t xml:space="preserve">controlchart</w:t>
      </w:r>
      <w:r>
        <w:t xml:space="preserve">’</w:t>
      </w:r>
      <w:r>
        <w:t xml:space="preserve">. Horizontaal wordt opnieuw de tijd weergegeven in weken (1-10). Verticaal wordt weergegeven wat de voortgang van de e-learning in de betreffende week is.</w:t>
      </w:r>
    </w:p>
    <w:p>
      <w:pPr>
        <w:pStyle w:val="BodyText"/>
      </w:pPr>
      <w:r>
        <w:t xml:space="preserve">Om de derde vraag over de mogelijke invloedsfactoren te beantwoorden is gebruik gemaakt van een zogenaamd</w:t>
      </w:r>
      <w:r>
        <w:t xml:space="preserve"> </w:t>
      </w:r>
      <w:r>
        <w:t xml:space="preserve">‘</w:t>
      </w:r>
      <w:r>
        <w:t xml:space="preserve">visgraat diagram</w:t>
      </w:r>
      <w:r>
        <w:t xml:space="preserve">’</w:t>
      </w:r>
      <w:r>
        <w:t xml:space="preserve">. Aan de kop van de vis staat het probleem en de vis heeft 6 graten aan de hand waarvan mogelijke invloedsfactoren worden opgesomd en gegroepeerd.</w:t>
      </w:r>
    </w:p>
    <w:bookmarkEnd w:id="65"/>
    <w:bookmarkStart w:id="66" w:name="prestaties-van-het-proces"/>
    <w:p>
      <w:pPr>
        <w:pStyle w:val="Heading2"/>
      </w:pPr>
      <w:r>
        <w:rPr>
          <w:rStyle w:val="SectionNumber"/>
        </w:rPr>
        <w:t xml:space="preserve">3.2</w:t>
      </w:r>
      <w:r>
        <w:tab/>
      </w:r>
      <w:r>
        <w:t xml:space="preserve">3.2 Prestaties van het proces</w:t>
      </w:r>
    </w:p>
    <w:p>
      <w:pPr>
        <w:pStyle w:val="FirstParagraph"/>
      </w:pPr>
      <w:r>
        <w:t xml:space="preserve">In het studiejaar ’23-’24 is het vak Operations voor Finance &amp; Control twee maal gegeven. Eénmaal in blok1 en éénmaal in blok3. Hieronder staan vier scatterplots weergegeven. Horizontaal staat de taktijd in dagen (einddatum - begindatum). Verticaal staat het aantal studenten (n=x). De plot linksboven betreft klas FC2_ (blok 3). De plot rechtsboven betreft klas FC2_ (blok3). Linksonder staat FC2_ (blok1). Rechtsonder staat FC2_ (blok1).</w:t>
      </w:r>
    </w:p>
    <w:p>
      <w:pPr>
        <w:pStyle w:val="BodyText"/>
      </w:pPr>
      <w:r>
        <w:t xml:space="preserve">Scatterplot opnemen eindtijd of scatterplot taktijd (dagen).</w:t>
      </w:r>
    </w:p>
    <w:p>
      <w:pPr>
        <w:pStyle w:val="BodyText"/>
      </w:pPr>
      <w:r>
        <w:t xml:space="preserve">Ten bhe</w:t>
      </w:r>
    </w:p>
    <w:p>
      <w:pPr>
        <w:pStyle w:val="BodyText"/>
      </w:pPr>
      <w:r>
        <w:t xml:space="preserve">Startdatum:</w:t>
      </w:r>
      <w:r>
        <w:t xml:space="preserve"> </w:t>
      </w:r>
      <w:r>
        <w:t xml:space="preserve">Einddatum:</w:t>
      </w:r>
      <w:r>
        <w:t xml:space="preserve"> </w:t>
      </w:r>
      <w:r>
        <w:t xml:space="preserve">Gemiddelde taktijd:</w:t>
      </w:r>
      <w:r>
        <w:t xml:space="preserve"> </w:t>
      </w:r>
      <w:r>
        <w:t xml:space="preserve">Minimum taktijd:</w:t>
      </w:r>
      <w:r>
        <w:t xml:space="preserve"> </w:t>
      </w:r>
      <w:r>
        <w:t xml:space="preserve">Maximum taktijd:</w:t>
      </w:r>
    </w:p>
    <w:bookmarkEnd w:id="66"/>
    <w:bookmarkStart w:id="71" w:name="inventarisatie-invloedsfactoren"/>
    <w:p>
      <w:pPr>
        <w:pStyle w:val="Heading2"/>
      </w:pPr>
      <w:r>
        <w:rPr>
          <w:rStyle w:val="SectionNumber"/>
        </w:rPr>
        <w:t xml:space="preserve">3.3</w:t>
      </w:r>
      <w:r>
        <w:tab/>
      </w:r>
      <w:r>
        <w:t xml:space="preserve">3.3 Inventarisatie invloedsfactoren</w:t>
      </w:r>
    </w:p>
    <w:p>
      <w:pPr>
        <w:pStyle w:val="FirstParagraph"/>
      </w:pPr>
      <w:r>
        <w:t xml:space="preserve">Het Ishikawa diagram, ofwel visgraat diagram, is gebruikt als</w:t>
      </w:r>
      <w:r>
        <w:t xml:space="preserve"> </w:t>
      </w:r>
      <w:r>
        <w:t xml:space="preserve">“</w:t>
      </w:r>
      <w:r>
        <w:t xml:space="preserve">kapstok</w:t>
      </w:r>
      <w:r>
        <w:t xml:space="preserve">”</w:t>
      </w:r>
      <w:r>
        <w:t xml:space="preserve"> </w:t>
      </w:r>
      <w:r>
        <w:t xml:space="preserve">om mogelijke invloedsfactoren te identificeren. Het resultaat van deze brainstorm staat in onderstaande grafiek. Er zijn 13 mogelijke invloedsfacturen (mogelijke x’en) geïdentificeerd.</w:t>
      </w:r>
    </w:p>
    <w:tbl>
      <w:tblPr>
        <w:tblStyle w:val="Table"/>
        <w:tblW w:type="pct" w:w="5000"/>
        <w:tblLayout w:type="fixed"/>
        <w:tblLook w:firstRow="0" w:lastRow="0" w:firstColumn="0" w:lastColumn="0" w:noHBand="0" w:noVBand="0" w:val="0000"/>
      </w:tblPr>
      <w:tblGrid>
        <w:gridCol w:w="7920"/>
      </w:tblGrid>
      <w:tr>
        <w:tc>
          <w:tcPr/>
          <w:bookmarkStart w:id="70" w:name="fig-visgraatdiagram"/>
          <w:p>
            <w:pPr>
              <w:pStyle w:val="Compact"/>
              <w:jc w:val="left"/>
            </w:pPr>
            <w:r>
              <w:drawing>
                <wp:inline>
                  <wp:extent cx="5334000" cy="2726507"/>
                  <wp:effectExtent b="0" l="0" r="0" t="0"/>
                  <wp:docPr descr="" title="" id="68" name="Picture"/>
                  <a:graphic>
                    <a:graphicData uri="http://schemas.openxmlformats.org/drawingml/2006/picture">
                      <pic:pic>
                        <pic:nvPicPr>
                          <pic:cNvPr descr="./static/33_visgraatdiagram.jpg" id="69" name="Picture"/>
                          <pic:cNvPicPr>
                            <a:picLocks noChangeArrowheads="1" noChangeAspect="1"/>
                          </pic:cNvPicPr>
                        </pic:nvPicPr>
                        <pic:blipFill>
                          <a:blip r:embed="rId67"/>
                          <a:stretch>
                            <a:fillRect/>
                          </a:stretch>
                        </pic:blipFill>
                        <pic:spPr bwMode="auto">
                          <a:xfrm>
                            <a:off x="0" y="0"/>
                            <a:ext cx="5334000" cy="2726507"/>
                          </a:xfrm>
                          <a:prstGeom prst="rect">
                            <a:avLst/>
                          </a:prstGeom>
                          <a:noFill/>
                          <a:ln w="9525">
                            <a:noFill/>
                            <a:headEnd/>
                            <a:tailEnd/>
                          </a:ln>
                        </pic:spPr>
                      </pic:pic>
                    </a:graphicData>
                  </a:graphic>
                </wp:inline>
              </w:drawing>
            </w:r>
          </w:p>
          <w:p>
            <w:pPr>
              <w:jc w:val="left"/>
            </w:pPr>
            <w:pPr>
              <w:jc w:val="start"/>
              <w:spacing w:before="200"/>
              <w:pStyle w:val="ImageCaption"/>
            </w:pPr>
            <w:r>
              <w:t xml:space="preserve">Figure 9: Visgraat diagram</w:t>
            </w:r>
          </w:p>
          <w:bookmarkEnd w:id="70"/>
        </w:tc>
      </w:tr>
    </w:tbl>
    <w:p>
      <w:pPr>
        <w:pStyle w:val="BodyText"/>
      </w:pPr>
      <w:r>
        <w:t xml:space="preserve">Van de 13 geïdentifeerde variabelen zijn er 7 die (op dit moment) buiten beschouwing worden gelaten:</w:t>
      </w:r>
    </w:p>
    <w:p>
      <w:pPr>
        <w:numPr>
          <w:ilvl w:val="0"/>
          <w:numId w:val="1011"/>
        </w:numPr>
      </w:pPr>
      <w:r>
        <w:t xml:space="preserve">Leeftijd, vooropleiding en studie achterstand worden buiten beschouwing gelaten omdat deze nog niet gemakkelijk voorhanden zijn. Deze gegevens zijn wel te achterhalen maar thans geen onderdeel van de dataset.</w:t>
      </w:r>
    </w:p>
    <w:p>
      <w:pPr>
        <w:numPr>
          <w:ilvl w:val="0"/>
          <w:numId w:val="1011"/>
        </w:numPr>
      </w:pPr>
      <w:r>
        <w:t xml:space="preserve">Lokaal en tijdstip worden buiten beschouwing gelaten omdat de lessen niet altijd in hetzelfde lokaal doorgaan en ook niet altijd op hetzelfde tijdstip. De variabele</w:t>
      </w:r>
      <w:r>
        <w:t xml:space="preserve"> </w:t>
      </w:r>
      <w:r>
        <w:t xml:space="preserve">“</w:t>
      </w:r>
      <w:r>
        <w:t xml:space="preserve">lokaal</w:t>
      </w:r>
      <w:r>
        <w:t xml:space="preserve">”</w:t>
      </w:r>
      <w:r>
        <w:t xml:space="preserve"> </w:t>
      </w:r>
      <w:r>
        <w:t xml:space="preserve">en de variabele</w:t>
      </w:r>
      <w:r>
        <w:t xml:space="preserve"> </w:t>
      </w:r>
      <w:r>
        <w:t xml:space="preserve">“</w:t>
      </w:r>
      <w:r>
        <w:t xml:space="preserve">tijdstip</w:t>
      </w:r>
      <w:r>
        <w:t xml:space="preserve">”</w:t>
      </w:r>
      <w:r>
        <w:t xml:space="preserve"> </w:t>
      </w:r>
      <w:r>
        <w:t xml:space="preserve">hebben daarom wel betekenis voor één les maar hebben geen betekenis voor een reeks lessen. Het onderwerp van de analyse (unit of analysis) is één student gedurende één module. Hierbij is een module een reeks lessen, die worden afgesloten met een toets.</w:t>
      </w:r>
    </w:p>
    <w:p>
      <w:pPr>
        <w:numPr>
          <w:ilvl w:val="0"/>
          <w:numId w:val="1011"/>
        </w:numPr>
      </w:pPr>
      <w:r>
        <w:t xml:space="preserve">Brightspace en studiehandleiding worden buiten beschouwing gelaten omdat dit voor alle studenten hetzelfde is. Een verkeerde vermelding kan een invloedsfactor zijn maar deze factor is dan gelijk voor alle studenten. Met andere woorden: een verkeerde vermelding is geen verklaring voor eventueel onderscheid tussen de studenten.</w:t>
      </w:r>
    </w:p>
    <w:tbl>
      <w:tblPr>
        <w:tblStyle w:val="Table"/>
        <w:tblW w:type="pct" w:w="5000"/>
        <w:tblLayout w:type="fixed"/>
        <w:tblLook w:firstRow="1" w:lastRow="0" w:firstColumn="0" w:lastColumn="0" w:noHBand="0" w:noVBand="0" w:val="0020"/>
      </w:tblPr>
      <w:tblGrid>
        <w:gridCol w:w="2112"/>
        <w:gridCol w:w="2640"/>
        <w:gridCol w:w="1161"/>
        <w:gridCol w:w="2006"/>
      </w:tblGrid>
      <w:tr>
        <w:trPr>
          <w:tblHeader w:val="on"/>
        </w:trPr>
        <w:tc>
          <w:tcPr/>
          <w:p>
            <w:pPr>
              <w:pStyle w:val="Compact"/>
              <w:jc w:val="left"/>
            </w:pPr>
            <w:r>
              <w:t xml:space="preserve">varialele</w:t>
            </w:r>
          </w:p>
        </w:tc>
        <w:tc>
          <w:tcPr/>
          <w:p>
            <w:pPr>
              <w:pStyle w:val="Compact"/>
              <w:jc w:val="left"/>
            </w:pPr>
            <w:r>
              <w:t xml:space="preserve">mogelijke waardes</w:t>
            </w:r>
          </w:p>
        </w:tc>
        <w:tc>
          <w:tcPr/>
          <w:p>
            <w:pPr>
              <w:pStyle w:val="Compact"/>
              <w:jc w:val="left"/>
            </w:pPr>
            <w:r>
              <w:t xml:space="preserve">type data</w:t>
            </w:r>
          </w:p>
        </w:tc>
        <w:tc>
          <w:tcPr/>
          <w:p>
            <w:pPr>
              <w:pStyle w:val="Compact"/>
              <w:jc w:val="left"/>
            </w:pPr>
            <w:r>
              <w:t xml:space="preserve">readily available</w:t>
            </w:r>
          </w:p>
        </w:tc>
      </w:tr>
      <w:tr>
        <w:tc>
          <w:tcPr/>
          <w:p>
            <w:pPr>
              <w:pStyle w:val="Compact"/>
              <w:jc w:val="left"/>
            </w:pPr>
            <w:r>
              <w:t xml:space="preserve">1 blok</w:t>
            </w:r>
          </w:p>
        </w:tc>
        <w:tc>
          <w:tcPr/>
          <w:p>
            <w:pPr>
              <w:pStyle w:val="Compact"/>
              <w:jc w:val="left"/>
            </w:pPr>
            <w:r>
              <w:t xml:space="preserve">1,2,3,4</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2 klas</w:t>
            </w:r>
          </w:p>
        </w:tc>
        <w:tc>
          <w:tcPr/>
          <w:p>
            <w:pPr>
              <w:pStyle w:val="Compact"/>
              <w:jc w:val="left"/>
            </w:pPr>
            <w:r>
              <w:t xml:space="preserve">FC2A, FC2B, FC2C, FC2D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3 groep</w:t>
            </w:r>
          </w:p>
        </w:tc>
        <w:tc>
          <w:tcPr/>
          <w:p>
            <w:pPr>
              <w:pStyle w:val="Compact"/>
              <w:jc w:val="left"/>
            </w:pPr>
            <w:r>
              <w:t xml:space="preserve">1,2,3,4,5,6,7,8,9</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4 lokaal</w:t>
            </w:r>
          </w:p>
        </w:tc>
        <w:tc>
          <w:tcPr/>
          <w:p>
            <w:pPr>
              <w:pStyle w:val="Compact"/>
            </w:pP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5 tijdstip</w:t>
            </w:r>
          </w:p>
        </w:tc>
        <w:tc>
          <w:tcPr/>
          <w:p>
            <w:pPr>
              <w:pStyle w:val="Compact"/>
            </w:pPr>
          </w:p>
        </w:tc>
        <w:tc>
          <w:tcPr/>
          <w:p>
            <w:pPr>
              <w:pStyle w:val="Compact"/>
              <w:jc w:val="left"/>
            </w:pPr>
            <w:r>
              <w:t xml:space="preserve">continue</w:t>
            </w:r>
          </w:p>
        </w:tc>
        <w:tc>
          <w:tcPr/>
          <w:p>
            <w:pPr>
              <w:pStyle w:val="Compact"/>
              <w:jc w:val="left"/>
            </w:pPr>
            <w:r>
              <w:t xml:space="preserve">Y</w:t>
            </w:r>
          </w:p>
        </w:tc>
      </w:tr>
      <w:tr>
        <w:tc>
          <w:tcPr/>
          <w:p>
            <w:pPr>
              <w:pStyle w:val="Compact"/>
              <w:jc w:val="left"/>
            </w:pPr>
            <w:r>
              <w:t xml:space="preserve">6 procesdocent</w:t>
            </w:r>
          </w:p>
        </w:tc>
        <w:tc>
          <w:tcPr/>
          <w:p>
            <w:pPr>
              <w:pStyle w:val="Compact"/>
              <w:jc w:val="left"/>
            </w:pPr>
            <w:r>
              <w:t xml:space="preserve">Docent A, Docent B</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7 vakdocent</w:t>
            </w:r>
          </w:p>
        </w:tc>
        <w:tc>
          <w:tcPr/>
          <w:p>
            <w:pPr>
              <w:pStyle w:val="Compact"/>
              <w:jc w:val="left"/>
            </w:pPr>
            <w:r>
              <w:t xml:space="preserve">Docent C, Docent 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8 brightspace</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9 studiehandleiding</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10 vooropleiding</w:t>
            </w:r>
          </w:p>
        </w:tc>
        <w:tc>
          <w:tcPr/>
          <w:p>
            <w:pPr>
              <w:pStyle w:val="Compact"/>
              <w:jc w:val="left"/>
            </w:pPr>
            <w:r>
              <w:t xml:space="preserve">MBO,HAVO,VWO</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11 leeftijd</w:t>
            </w:r>
          </w:p>
        </w:tc>
        <w:tc>
          <w:tcPr/>
          <w:p>
            <w:pPr>
              <w:pStyle w:val="Compact"/>
              <w:jc w:val="left"/>
            </w:pPr>
            <w:r>
              <w:t xml:space="preserve">Nummeriek positief</w:t>
            </w:r>
          </w:p>
        </w:tc>
        <w:tc>
          <w:tcPr/>
          <w:p>
            <w:pPr>
              <w:pStyle w:val="Compact"/>
              <w:jc w:val="left"/>
            </w:pPr>
            <w:r>
              <w:t xml:space="preserve">discreet</w:t>
            </w:r>
          </w:p>
        </w:tc>
        <w:tc>
          <w:tcPr/>
          <w:p>
            <w:pPr>
              <w:pStyle w:val="Compact"/>
              <w:jc w:val="left"/>
            </w:pPr>
            <w:r>
              <w:t xml:space="preserve">N</w:t>
            </w:r>
          </w:p>
        </w:tc>
      </w:tr>
      <w:tr>
        <w:tc>
          <w:tcPr/>
          <w:p>
            <w:pPr>
              <w:pStyle w:val="Compact"/>
              <w:jc w:val="left"/>
            </w:pPr>
            <w:r>
              <w:t xml:space="preserve">12 studie achterstand</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13 programma fout</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bl>
    <w:p>
      <w:pPr>
        <w:pStyle w:val="BodyText"/>
      </w:pPr>
      <w:r>
        <w:t xml:space="preserve">: Mogelijke x’en</w:t>
      </w:r>
    </w:p>
    <w:bookmarkEnd w:id="71"/>
    <w:bookmarkStart w:id="72" w:name="meeste-impact"/>
    <w:p>
      <w:pPr>
        <w:pStyle w:val="Heading2"/>
      </w:pPr>
      <w:r>
        <w:rPr>
          <w:rStyle w:val="SectionNumber"/>
        </w:rPr>
        <w:t xml:space="preserve">3.4</w:t>
      </w:r>
      <w:r>
        <w:tab/>
      </w:r>
      <w:r>
        <w:t xml:space="preserve">3.4 Meeste Impact</w:t>
      </w:r>
    </w:p>
    <w:p>
      <w:pPr>
        <w:pStyle w:val="FirstParagraph"/>
      </w:pPr>
      <w:r>
        <w:t xml:space="preserve">H0: gemiddelde taktijd klas = gemiddelde taktijd populatie</w:t>
      </w:r>
      <w:r>
        <w:t xml:space="preserve"> </w:t>
      </w:r>
      <w:r>
        <w:t xml:space="preserve">H1: gemiddelde taktijd klas &lt; gemiddelde taktijd populatie</w:t>
      </w:r>
    </w:p>
    <w:p>
      <w:pPr>
        <w:pStyle w:val="BodyText"/>
      </w:pPr>
      <w:r>
        <w:t xml:space="preserve">H0:</w:t>
      </w:r>
      <w:r>
        <w:t xml:space="preserve"> </w:t>
      </w:r>
      <w:r>
        <w:t xml:space="preserve">H1:</w:t>
      </w:r>
    </w:p>
    <w:p>
      <w:pPr>
        <w:pStyle w:val="BodyText"/>
      </w:pPr>
      <w:r>
        <w:t xml:space="preserve">H0:</w:t>
      </w:r>
      <w:r>
        <w:t xml:space="preserve"> </w:t>
      </w:r>
      <w:r>
        <w:t xml:space="preserve">H1:</w:t>
      </w:r>
    </w:p>
    <w:bookmarkEnd w:id="72"/>
    <w:bookmarkEnd w:id="73"/>
    <w:bookmarkStart w:id="78" w:name="improve-fase"/>
    <w:p>
      <w:pPr>
        <w:pStyle w:val="Heading1"/>
      </w:pPr>
      <w:r>
        <w:rPr>
          <w:rStyle w:val="SectionNumber"/>
        </w:rPr>
        <w:t xml:space="preserve">4</w:t>
      </w:r>
      <w:r>
        <w:tab/>
      </w:r>
      <w:r>
        <w:t xml:space="preserve">4. Improve-fase</w:t>
      </w:r>
    </w:p>
    <w:p>
      <w:pPr>
        <w:pStyle w:val="FirstParagraph"/>
      </w:pPr>
      <w:r>
        <w:t xml:space="preserve">In het vorige hoordstuk zijn er __ variabelen geïdentificeerd die mogelijk van invloed zijn op de taktijd.</w:t>
      </w:r>
      <w:r>
        <w:t xml:space="preserve"> </w:t>
      </w:r>
      <w:r>
        <w:t xml:space="preserve">Door voor elk van deze variabelen de correlatiecoefficiënt uit te rekenen is gekeken naar het relatieve belang van deze __ variabelen.</w:t>
      </w:r>
      <w:r>
        <w:t xml:space="preserve"> </w:t>
      </w:r>
      <w:r>
        <w:t xml:space="preserve">De variabelen waarbij de correlatiecoefficient lager uitviel dan x.x zijn buiten beschouwing gelaten.</w:t>
      </w:r>
      <w:r>
        <w:t xml:space="preserve"> </w:t>
      </w:r>
      <w:r>
        <w:t xml:space="preserve">De variabelen waarbij de correlatiecoefficient hoger uitviel dan x.x zijn aangemerkt als relevante invloedsfactoren.</w:t>
      </w:r>
    </w:p>
    <w:bookmarkStart w:id="74" w:name="mogelijke-oplossingen"/>
    <w:p>
      <w:pPr>
        <w:pStyle w:val="Heading2"/>
      </w:pPr>
      <w:r>
        <w:rPr>
          <w:rStyle w:val="SectionNumber"/>
        </w:rPr>
        <w:t xml:space="preserve">4.1</w:t>
      </w:r>
      <w:r>
        <w:tab/>
      </w:r>
      <w:r>
        <w:t xml:space="preserve">4.1 Mogelijke oplossingen</w:t>
      </w:r>
    </w:p>
    <w:p>
      <w:pPr>
        <w:pStyle w:val="FirstParagraph"/>
      </w:pPr>
      <w:r>
        <w:t xml:space="preserve">Methode om oplossingen te genereren:</w:t>
      </w:r>
      <w:r>
        <w:t xml:space="preserve"> </w:t>
      </w:r>
      <w:r>
        <w:t xml:space="preserve">In het vorige</w:t>
      </w:r>
    </w:p>
    <w:p>
      <w:pPr>
        <w:pStyle w:val="Compact"/>
        <w:numPr>
          <w:ilvl w:val="0"/>
          <w:numId w:val="1012"/>
        </w:numPr>
      </w:pPr>
      <w:r>
        <w:t xml:space="preserve">Eerder beginnen</w:t>
      </w:r>
    </w:p>
    <w:bookmarkEnd w:id="74"/>
    <w:bookmarkStart w:id="75" w:name="generatie-van-oplossingen"/>
    <w:p>
      <w:pPr>
        <w:pStyle w:val="Heading2"/>
      </w:pPr>
      <w:r>
        <w:rPr>
          <w:rStyle w:val="SectionNumber"/>
        </w:rPr>
        <w:t xml:space="preserve">4.2</w:t>
      </w:r>
      <w:r>
        <w:tab/>
      </w:r>
      <w:r>
        <w:t xml:space="preserve">4.2 Generatie van oplossingen</w:t>
      </w:r>
    </w:p>
    <w:bookmarkEnd w:id="75"/>
    <w:bookmarkStart w:id="76" w:name="korte-termijn-oplossing"/>
    <w:p>
      <w:pPr>
        <w:pStyle w:val="Heading2"/>
      </w:pPr>
      <w:r>
        <w:rPr>
          <w:rStyle w:val="SectionNumber"/>
        </w:rPr>
        <w:t xml:space="preserve">4.3</w:t>
      </w:r>
      <w:r>
        <w:tab/>
      </w:r>
      <w:r>
        <w:t xml:space="preserve">4.3 Korte termijn oplossing</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76"/>
    <w:bookmarkStart w:id="77" w:name="implementatieplan"/>
    <w:p>
      <w:pPr>
        <w:pStyle w:val="Heading2"/>
      </w:pPr>
      <w:r>
        <w:rPr>
          <w:rStyle w:val="SectionNumber"/>
        </w:rPr>
        <w:t xml:space="preserve">4.4</w:t>
      </w:r>
      <w:r>
        <w:tab/>
      </w:r>
      <w:r>
        <w:t xml:space="preserve">4.4 Implementatieplan</w:t>
      </w:r>
    </w:p>
    <w:p>
      <w:pPr>
        <w:pStyle w:val="FirstParagraph"/>
      </w:pPr>
      <w:r>
        <w:t xml:space="preserve">plaatje van een kalender (zoals voorbereiding jaarverslag)</w:t>
      </w:r>
    </w:p>
    <w:bookmarkEnd w:id="77"/>
    <w:bookmarkEnd w:id="78"/>
    <w:bookmarkStart w:id="82" w:name="control-fase"/>
    <w:p>
      <w:pPr>
        <w:pStyle w:val="Heading1"/>
      </w:pPr>
      <w:r>
        <w:rPr>
          <w:rStyle w:val="SectionNumber"/>
        </w:rPr>
        <w:t xml:space="preserve">5</w:t>
      </w:r>
      <w:r>
        <w:tab/>
      </w:r>
      <w:r>
        <w:t xml:space="preserve">5. Control-fase</w:t>
      </w:r>
    </w:p>
    <w:p>
      <w:pPr>
        <w:pStyle w:val="FirstParagraph"/>
      </w:pPr>
      <w:r>
        <w:t xml:space="preserve">Inleiding</w:t>
      </w:r>
    </w:p>
    <w:bookmarkStart w:id="79"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9"/>
    <w:bookmarkStart w:id="80" w:name="control-instrument-1"/>
    <w:p>
      <w:pPr>
        <w:pStyle w:val="Heading2"/>
      </w:pPr>
      <w:r>
        <w:rPr>
          <w:rStyle w:val="SectionNumber"/>
        </w:rPr>
        <w:t xml:space="preserve">5.2</w:t>
      </w:r>
      <w:r>
        <w:tab/>
      </w:r>
      <w:r>
        <w:t xml:space="preserve">5.2 Control instrument 1</w:t>
      </w:r>
    </w:p>
    <w:bookmarkEnd w:id="80"/>
    <w:bookmarkStart w:id="81" w:name="control-instrument-2"/>
    <w:p>
      <w:pPr>
        <w:pStyle w:val="Heading2"/>
      </w:pPr>
      <w:r>
        <w:rPr>
          <w:rStyle w:val="SectionNumber"/>
        </w:rPr>
        <w:t xml:space="preserve">5.3</w:t>
      </w:r>
      <w:r>
        <w:tab/>
      </w:r>
      <w:r>
        <w:t xml:space="preserve">5.3 Control instrument 2</w:t>
      </w:r>
    </w:p>
    <w:bookmarkEnd w:id="81"/>
    <w:bookmarkEnd w:id="82"/>
    <w:bookmarkStart w:id="87"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83">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5" name="Picture"/>
            <a:graphic>
              <a:graphicData uri="http://schemas.openxmlformats.org/drawingml/2006/picture">
                <pic:pic>
                  <pic:nvPicPr>
                    <pic:cNvPr descr="./static/beoordeling.jpg" id="86" name="Picture"/>
                    <pic:cNvPicPr>
                      <a:picLocks noChangeArrowheads="1" noChangeAspect="1"/>
                    </pic:cNvPicPr>
                  </pic:nvPicPr>
                  <pic:blipFill>
                    <a:blip r:embed="rId84"/>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7"/>
    <w:bookmarkStart w:id="88"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8"/>
    <w:bookmarkStart w:id="89"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7" Target="media/rId67.jpg" /><Relationship Type="http://schemas.openxmlformats.org/officeDocument/2006/relationships/image" Id="rId84" Target="media/rId84.jp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hyperlink" Id="rId83"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83"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2024-05-12T15:36:19Z</dcterms:created>
  <dcterms:modified xsi:type="dcterms:W3CDTF">2024-05-12T15:36:19Z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