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jpg" ContentType="image/jpeg"/>
  <Override PartName="/word/media/rId47.jpg" ContentType="image/jpeg"/>
  <Override PartName="/word/media/rId23.jpg" ContentType="image/jpeg"/>
  <Override PartName="/word/media/rId30.jpg" ContentType="image/jpe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als</w:t>
      </w:r>
      <w:r>
        <w:t xml:space="preserve"> </w:t>
      </w:r>
      <w:hyperlink r:id="rId20">
        <w:r>
          <w:rPr>
            <w:rStyle w:val="Hyperlink"/>
          </w:rPr>
          <w:t xml:space="preserve">pdf document</w:t>
        </w:r>
      </w:hyperlink>
      <w:r>
        <w:t xml:space="preserve"> </w:t>
      </w:r>
      <w:r>
        <w:t xml:space="preserve">en als</w:t>
      </w:r>
      <w:r>
        <w:t xml:space="preserve"> </w:t>
      </w:r>
      <w:hyperlink r:id="rId21">
        <w:r>
          <w:rPr>
            <w:rStyle w:val="Hyperlink"/>
          </w:rPr>
          <w:t xml:space="preserve">docx document</w:t>
        </w:r>
      </w:hyperlink>
      <w:r>
        <w:t xml:space="preserve">.</w:t>
      </w:r>
    </w:p>
    <w:bookmarkEnd w:id="22"/>
    <w:bookmarkStart w:id="46"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7"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6" w:name="fig-module-proces"/>
          <w:p>
            <w:pPr>
              <w:pStyle w:val="Compact"/>
              <w:jc w:val="left"/>
            </w:pPr>
            <w:r>
              <w:drawing>
                <wp:inline>
                  <wp:extent cx="5334000" cy="1598443"/>
                  <wp:effectExtent b="0" l="0" r="0" t="0"/>
                  <wp:docPr descr="" title="" id="24" name="Picture"/>
                  <a:graphic>
                    <a:graphicData uri="http://schemas.openxmlformats.org/drawingml/2006/picture">
                      <pic:pic>
                        <pic:nvPicPr>
                          <pic:cNvPr descr="./static/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6"/>
        </w:tc>
      </w:tr>
    </w:tbl>
    <w:bookmarkEnd w:id="27"/>
    <w:bookmarkStart w:id="29"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ayout w:type="fixed"/>
        <w:tblLook w:firstRow="1" w:lastRow="0" w:firstColumn="0" w:lastColumn="0" w:noHBand="0" w:noVBand="0" w:val="0020"/>
        <w:tblCaption w:val="Project Charter"/>
      </w:tblPr>
      <w:tblGrid>
        <w:gridCol w:w="3745"/>
        <w:gridCol w:w="4174"/>
      </w:tblGrid>
      <w:tr>
        <w:trPr>
          <w:tblHeader w:val="on"/>
        </w:trPr>
        <w:tc>
          <w:tcPr/>
          <w:p>
            <w:pPr>
              <w:pStyle w:val="Compact"/>
              <w:jc w:val="left"/>
            </w:pPr>
            <w:r>
              <w:rPr>
                <w:b/>
                <w:bCs/>
              </w:rPr>
              <w:t xml:space="preserve">Business Case</w:t>
            </w:r>
          </w:p>
        </w:tc>
        <w:tc>
          <w:tcPr/>
          <w:p>
            <w:pPr>
              <w:pStyle w:val="Compact"/>
              <w:jc w:val="left"/>
            </w:pPr>
            <w:r>
              <w:rPr>
                <w:b/>
                <w:bCs/>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
                <w:bCs/>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
                <w:bCs/>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
                <w:bCs/>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
                <w:bCs/>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
                <w:bCs/>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8"/>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9"/>
    <w:bookmarkStart w:id="35"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3" w:name="fig-onderwijs"/>
          <w:p>
            <w:pPr>
              <w:pStyle w:val="Compact"/>
              <w:jc w:val="left"/>
            </w:pPr>
            <w:r>
              <w:drawing>
                <wp:inline>
                  <wp:extent cx="5334000" cy="3246042"/>
                  <wp:effectExtent b="0" l="0" r="0" t="0"/>
                  <wp:docPr descr="" title="" id="31" name="Picture"/>
                  <a:graphic>
                    <a:graphicData uri="http://schemas.openxmlformats.org/drawingml/2006/picture">
                      <pic:pic>
                        <pic:nvPicPr>
                          <pic:cNvPr descr="./static/onderwijs_geven.jpg" id="32" name="Picture"/>
                          <pic:cNvPicPr>
                            <a:picLocks noChangeArrowheads="1" noChangeAspect="1"/>
                          </pic:cNvPicPr>
                        </pic:nvPicPr>
                        <pic:blipFill>
                          <a:blip r:embed="rId30"/>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2: Onderwijsuitvoering</w:t>
            </w:r>
          </w:p>
          <w:bookmarkEnd w:id="33"/>
        </w:tc>
      </w:tr>
    </w:tbl>
    <w:p>
      <w:pPr>
        <w:pStyle w:val="BodyText"/>
      </w:pPr>
      <w:r>
        <w:t xml:space="preserve">Ter algemene toelichting:</w:t>
      </w:r>
    </w:p>
    <w:p>
      <w:pPr>
        <w:pStyle w:val="Compact"/>
        <w:numPr>
          <w:ilvl w:val="0"/>
          <w:numId w:val="1001"/>
        </w:numPr>
      </w:pPr>
      <w:r>
        <w:t xml:space="preserve">Het coördinatieteam zorgt ondermeer voor het samenstellen van het rooster.</w:t>
      </w:r>
    </w:p>
    <w:p>
      <w:pPr>
        <w:pStyle w:val="Compact"/>
        <w:numPr>
          <w:ilvl w:val="0"/>
          <w:numId w:val="1001"/>
        </w:numPr>
      </w:pPr>
      <w:r>
        <w:t xml:space="preserve">Onderwijs &amp; onderzoek ondersteunt o.a. bij de inrichting en het gebruik van het LMS</w:t>
      </w:r>
      <w:r>
        <w:rPr>
          <w:rStyle w:val="FootnoteReference"/>
        </w:rPr>
        <w:footnoteReference w:id="34"/>
      </w:r>
      <w:r>
        <w:t xml:space="preserve">.</w:t>
      </w:r>
    </w:p>
    <w:p>
      <w:pPr>
        <w:pStyle w:val="Compact"/>
        <w:numPr>
          <w:ilvl w:val="0"/>
          <w:numId w:val="1001"/>
        </w:numPr>
      </w:pPr>
      <w:r>
        <w:t xml:space="preserve">De externe dienstverlener is in dit geval Skoledo waar de studenten de e-learnings volgen.</w:t>
      </w:r>
    </w:p>
    <w:p>
      <w:pPr>
        <w:pStyle w:val="Compact"/>
        <w:numPr>
          <w:ilvl w:val="0"/>
          <w:numId w:val="1001"/>
        </w:numPr>
      </w:pPr>
      <w:r>
        <w:t xml:space="preserve">Het examenburo verzorgt de logistiek rondom de afname van examens.</w:t>
      </w:r>
    </w:p>
    <w:p>
      <w:pPr>
        <w:pStyle w:val="Compact"/>
        <w:numPr>
          <w:ilvl w:val="0"/>
          <w:numId w:val="1001"/>
        </w:numPr>
      </w:pPr>
      <w:r>
        <w:t xml:space="preserve">Onder management wordt hier verstaan het hoofd van de opleiding Finance &amp; Control.</w:t>
      </w:r>
    </w:p>
    <w:bookmarkEnd w:id="35"/>
    <w:bookmarkStart w:id="40"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39" w:name="fig-voc-ctq"/>
          <w:p>
            <w:pPr>
              <w:jc w:val="center"/>
            </w:pPr>
            <w:r>
              <w:drawing>
                <wp:inline>
                  <wp:extent cx="5334000" cy="3423683"/>
                  <wp:effectExtent b="0" l="0" r="0" t="0"/>
                  <wp:docPr descr="" title="" id="37" name="Picture"/>
                  <a:graphic>
                    <a:graphicData uri="http://schemas.openxmlformats.org/drawingml/2006/picture">
                      <pic:pic>
                        <pic:nvPicPr>
                          <pic:cNvPr descr="1_definitie_fase_files/figure-docx/mermaid-figure-2.png" id="38" name="Picture"/>
                          <pic:cNvPicPr>
                            <a:picLocks noChangeArrowheads="1" noChangeAspect="1"/>
                          </pic:cNvPicPr>
                        </pic:nvPicPr>
                        <pic:blipFill>
                          <a:blip r:embed="rId36"/>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Voice of the Business</w:t>
            </w:r>
          </w:p>
          <w:bookmarkEnd w:id="39"/>
        </w:tc>
      </w:tr>
    </w:tbl>
    <w:p>
      <w:pPr>
        <w:pStyle w:val="BodyText"/>
      </w:pPr>
      <w:r>
        <w:t xml:space="preserve">Waarschijnlijke toekomstige verbeteringen:</w:t>
      </w:r>
    </w:p>
    <w:p>
      <w:pPr>
        <w:pStyle w:val="Compact"/>
        <w:numPr>
          <w:ilvl w:val="0"/>
          <w:numId w:val="1002"/>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2"/>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2"/>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0"/>
    <w:bookmarkStart w:id="45"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3"/>
        </w:numPr>
      </w:pPr>
      <w:r>
        <w:t xml:space="preserve">de ideale doorlooptijd van de e-learnings is</w:t>
      </w:r>
    </w:p>
    <w:p>
      <w:pPr>
        <w:pStyle w:val="Compact"/>
        <w:numPr>
          <w:ilvl w:val="0"/>
          <w:numId w:val="1003"/>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4" w:name="fig-lineplot"/>
          <w:p>
            <w:pPr>
              <w:pStyle w:val="Compact"/>
              <w:jc w:val="center"/>
            </w:pPr>
            <w:r>
              <w:drawing>
                <wp:inline>
                  <wp:extent cx="5334000" cy="2908868"/>
                  <wp:effectExtent b="0" l="0" r="0" t="0"/>
                  <wp:docPr descr="" title="" id="42" name="Picture"/>
                  <a:graphic>
                    <a:graphicData uri="http://schemas.openxmlformats.org/drawingml/2006/picture">
                      <pic:pic>
                        <pic:nvPicPr>
                          <pic:cNvPr descr="1_definitie_fase_files/figure-docx/fig-lineplot-output-1.png" id="43" name="Picture"/>
                          <pic:cNvPicPr>
                            <a:picLocks noChangeArrowheads="1" noChangeAspect="1"/>
                          </pic:cNvPicPr>
                        </pic:nvPicPr>
                        <pic:blipFill>
                          <a:blip r:embed="rId41"/>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line plot showing progress on the e-learnings</w:t>
            </w:r>
          </w:p>
          <w:bookmarkEnd w:id="44"/>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4"/>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4"/>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5"/>
    <w:bookmarkEnd w:id="46"/>
    <w:bookmarkStart w:id="55"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1"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0" w:name="fig-gegevensbronnen"/>
          <w:p>
            <w:pPr>
              <w:pStyle w:val="Compact"/>
              <w:jc w:val="left"/>
            </w:pPr>
            <w:r>
              <w:drawing>
                <wp:inline>
                  <wp:extent cx="5334000" cy="3091505"/>
                  <wp:effectExtent b="0" l="0" r="0" t="0"/>
                  <wp:docPr descr="" title="" id="48" name="Picture"/>
                  <a:graphic>
                    <a:graphicData uri="http://schemas.openxmlformats.org/drawingml/2006/picture">
                      <pic:pic>
                        <pic:nvPicPr>
                          <pic:cNvPr descr="./static/gegevensbronnen.jpg" id="49" name="Picture"/>
                          <pic:cNvPicPr>
                            <a:picLocks noChangeArrowheads="1" noChangeAspect="1"/>
                          </pic:cNvPicPr>
                        </pic:nvPicPr>
                        <pic:blipFill>
                          <a:blip r:embed="rId47"/>
                          <a:stretch>
                            <a:fillRect/>
                          </a:stretch>
                        </pic:blipFill>
                        <pic:spPr bwMode="auto">
                          <a:xfrm>
                            <a:off x="0" y="0"/>
                            <a:ext cx="5334000" cy="3091505"/>
                          </a:xfrm>
                          <a:prstGeom prst="rect">
                            <a:avLst/>
                          </a:prstGeom>
                          <a:noFill/>
                          <a:ln w="9525">
                            <a:noFill/>
                            <a:headEnd/>
                            <a:tailEnd/>
                          </a:ln>
                        </pic:spPr>
                      </pic:pic>
                    </a:graphicData>
                  </a:graphic>
                </wp:inline>
              </w:drawing>
            </w:r>
          </w:p>
          <w:p>
            <w:pPr>
              <w:jc w:val="left"/>
            </w:pPr>
            <w:pPr>
              <w:jc w:val="start"/>
              <w:spacing w:before="200"/>
              <w:pStyle w:val="ImageCaption"/>
            </w:pPr>
            <w:r>
              <w:t xml:space="preserve">Figure 5: Gegevensbronnen</w:t>
            </w:r>
          </w:p>
          <w:bookmarkEnd w:id="50"/>
        </w:tc>
      </w:tr>
    </w:tbl>
    <w:p>
      <w:pPr>
        <w:pStyle w:val="Compact"/>
        <w:numPr>
          <w:ilvl w:val="0"/>
          <w:numId w:val="1005"/>
        </w:numPr>
      </w:pPr>
      <w:r>
        <w:t xml:space="preserve">SIS, het studenten informaties ysteem, bevat de klassenlijst. SIS is ook het systeem waar, op het eind van het blok, de cijfers van de studenten worden ingevoerd.</w:t>
      </w:r>
    </w:p>
    <w:p>
      <w:pPr>
        <w:pStyle w:val="Compact"/>
        <w:numPr>
          <w:ilvl w:val="0"/>
          <w:numId w:val="1005"/>
        </w:numPr>
      </w:pPr>
      <w:r>
        <w:t xml:space="preserve">Skoledo is de leverancier van de e-learnings. Skoledo levert wekelijks de voortgang van de studenten aan alsook tussentijdse resultaten.</w:t>
      </w:r>
    </w:p>
    <w:p>
      <w:pPr>
        <w:pStyle w:val="Compact"/>
        <w:numPr>
          <w:ilvl w:val="0"/>
          <w:numId w:val="1005"/>
        </w:numPr>
      </w:pPr>
      <w:r>
        <w:t xml:space="preserve">Brightspace bevat de studiehandleiding en de lesstof. Brightspace is ook het systeem waar de praktijkopdrachten worden ingeleverd en beoordeeld.</w:t>
      </w:r>
    </w:p>
    <w:p>
      <w:pPr>
        <w:pStyle w:val="Compact"/>
        <w:numPr>
          <w:ilvl w:val="0"/>
          <w:numId w:val="1005"/>
        </w:numPr>
      </w:pPr>
      <w:r>
        <w:t xml:space="preserve">Het rooster geeft aan waar en wanneer de lessen plaatsvinden. Aanwezigheid wordt bijgehouden in een excel sheet.</w:t>
      </w:r>
    </w:p>
    <w:p>
      <w:pPr>
        <w:pStyle w:val="Compact"/>
        <w:numPr>
          <w:ilvl w:val="0"/>
          <w:numId w:val="1005"/>
        </w:numPr>
      </w:pPr>
      <w:r>
        <w:t xml:space="preserve">Tenslotte worden de cijfers, zodra deze bepaald zijn, ingevoerd in SIS. SIS staat ook als input getekend omdat aan het begin van het blok wordt gechecked dat alle studenten die in SIS bij het vak geregistreerd staan, ook in Brightspace geregistreerd staan.</w:t>
      </w:r>
    </w:p>
    <w:bookmarkEnd w:id="51"/>
    <w:bookmarkStart w:id="52" w:name="meetplan"/>
    <w:p>
      <w:pPr>
        <w:pStyle w:val="Heading2"/>
      </w:pPr>
      <w:r>
        <w:rPr>
          <w:rStyle w:val="SectionNumber"/>
        </w:rPr>
        <w:t xml:space="preserve">2.2</w:t>
      </w:r>
      <w:r>
        <w:tab/>
      </w:r>
      <w:r>
        <w:t xml:space="preserve">2.2 Meetplan</w:t>
      </w:r>
    </w:p>
    <w:tbl>
      <w:tblPr>
        <w:tblStyle w:val="Table"/>
        <w:tblW w:type="pct" w:w="5000"/>
        <w:tblLayout w:type="fixed"/>
        <w:tblLook w:firstRow="1" w:lastRow="0" w:firstColumn="0" w:lastColumn="0" w:noHBand="0" w:noVBand="0" w:val="0020"/>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jc w:val="left"/>
            </w:pPr>
            <w:r>
              <w:t xml:space="preserve">CTQ1</w:t>
            </w:r>
          </w:p>
        </w:tc>
        <w:tc>
          <w:tcPr/>
          <w:p>
            <w:pPr>
              <w:pStyle w:val="Compact"/>
            </w:pPr>
          </w:p>
        </w:tc>
        <w:tc>
          <w:tcPr/>
          <w:p>
            <w:pPr>
              <w:pStyle w:val="Compact"/>
              <w:jc w:val="left"/>
            </w:pPr>
            <w:r>
              <w:t xml:space="preserve">iedere week</w:t>
            </w:r>
          </w:p>
        </w:tc>
        <w:tc>
          <w:tcPr/>
          <w:p>
            <w:pPr>
              <w:pStyle w:val="Compact"/>
            </w:pPr>
          </w:p>
        </w:tc>
        <w:tc>
          <w:tcPr/>
          <w:p>
            <w:pPr>
              <w:pStyle w:val="Compact"/>
            </w:pPr>
          </w:p>
        </w:tc>
      </w:tr>
      <w:tr>
        <w:tc>
          <w:tcPr/>
          <w:p>
            <w:pPr>
              <w:pStyle w:val="Compact"/>
              <w:jc w:val="left"/>
            </w:pPr>
            <w:r>
              <w:t xml:space="preserve">b</w:t>
            </w:r>
          </w:p>
        </w:tc>
        <w:tc>
          <w:tcPr/>
          <w:p>
            <w:pPr>
              <w:pStyle w:val="Compact"/>
              <w:jc w:val="left"/>
            </w:pPr>
            <w:r>
              <w:t xml:space="preserve">CTQ2</w:t>
            </w:r>
          </w:p>
        </w:tc>
        <w:tc>
          <w:tcPr/>
          <w:p>
            <w:pPr>
              <w:pStyle w:val="Compact"/>
            </w:pPr>
          </w:p>
        </w:tc>
        <w:tc>
          <w:tcPr/>
          <w:p>
            <w:pPr>
              <w:pStyle w:val="Compact"/>
              <w:jc w:val="left"/>
            </w:pPr>
            <w:r>
              <w:t xml:space="preserve">iedere week</w:t>
            </w:r>
          </w:p>
        </w:tc>
        <w:tc>
          <w:tcPr/>
          <w:p>
            <w:pPr>
              <w:pStyle w:val="Compact"/>
            </w:pPr>
          </w:p>
        </w:tc>
        <w:tc>
          <w:tcPr/>
          <w:p>
            <w:pPr>
              <w:pStyle w:val="Compact"/>
            </w:pPr>
          </w:p>
        </w:tc>
      </w:tr>
      <w:tr>
        <w:tc>
          <w:tcPr/>
          <w:p>
            <w:pPr>
              <w:pStyle w:val="Compact"/>
              <w:jc w:val="left"/>
            </w:pPr>
            <w:r>
              <w:t xml:space="preserve">c</w:t>
            </w:r>
          </w:p>
        </w:tc>
        <w:tc>
          <w:tcPr/>
          <w:p>
            <w:pPr>
              <w:pStyle w:val="Compact"/>
              <w:jc w:val="left"/>
            </w:pPr>
            <w:r>
              <w:t xml:space="preserve">CTQ3</w:t>
            </w:r>
          </w:p>
        </w:tc>
        <w:tc>
          <w:tcPr/>
          <w:p>
            <w:pPr>
              <w:pStyle w:val="Compact"/>
              <w:jc w:val="left"/>
            </w:pPr>
            <w:r>
              <w:t xml:space="preserve">export &gt; excel</w:t>
            </w:r>
          </w:p>
        </w:tc>
        <w:tc>
          <w:tcPr/>
          <w:p>
            <w:pPr>
              <w:pStyle w:val="Compact"/>
              <w:jc w:val="left"/>
            </w:pPr>
            <w:r>
              <w:t xml:space="preserve">in week 9</w:t>
            </w:r>
          </w:p>
        </w:tc>
        <w:tc>
          <w:tcPr/>
          <w:p>
            <w:pPr>
              <w:pStyle w:val="Compact"/>
              <w:jc w:val="left"/>
            </w:pPr>
            <w:r>
              <w:t xml:space="preserve">voor processtap 3.2</w:t>
            </w:r>
          </w:p>
        </w:tc>
        <w:tc>
          <w:tcPr/>
          <w:p>
            <w:pPr>
              <w:pStyle w:val="Compact"/>
              <w:jc w:val="left"/>
            </w:pPr>
            <w:r>
              <w:t xml:space="preserve">Vakdocent</w:t>
            </w:r>
          </w:p>
        </w:tc>
      </w:tr>
      <w:tr>
        <w:tc>
          <w:tcPr/>
          <w:p>
            <w:pPr>
              <w:pStyle w:val="Compact"/>
              <w:jc w:val="left"/>
            </w:pPr>
            <w:r>
              <w:t xml:space="preserve">d</w:t>
            </w:r>
          </w:p>
        </w:tc>
        <w:tc>
          <w:tcPr/>
          <w:p>
            <w:pPr>
              <w:pStyle w:val="Compact"/>
            </w:pPr>
          </w:p>
        </w:tc>
        <w:tc>
          <w:tcPr/>
          <w:p>
            <w:pPr>
              <w:pStyle w:val="Compact"/>
            </w:pPr>
          </w:p>
        </w:tc>
        <w:tc>
          <w:tcPr/>
          <w:p>
            <w:pPr>
              <w:pStyle w:val="Compact"/>
            </w:pPr>
          </w:p>
        </w:tc>
        <w:tc>
          <w:tcPr/>
          <w:p>
            <w:pPr>
              <w:pStyle w:val="Compact"/>
              <w:jc w:val="left"/>
            </w:pPr>
            <w:r>
              <w:t xml:space="preserve">voor processtap 3.5</w:t>
            </w:r>
          </w:p>
        </w:tc>
        <w:tc>
          <w:tcPr/>
          <w:p>
            <w:pPr>
              <w:pStyle w:val="Compact"/>
              <w:jc w:val="left"/>
            </w:pPr>
            <w:r>
              <w:t xml:space="preserve">Skoledo</w:t>
            </w:r>
          </w:p>
        </w:tc>
      </w:tr>
    </w:tbl>
    <w:bookmarkEnd w:id="52"/>
    <w:bookmarkStart w:id="53"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bookmarkEnd w:id="53"/>
    <w:bookmarkStart w:id="54" w:name="gegevens---verwerken"/>
    <w:p>
      <w:pPr>
        <w:pStyle w:val="Heading2"/>
      </w:pPr>
      <w:r>
        <w:rPr>
          <w:rStyle w:val="SectionNumber"/>
        </w:rPr>
        <w:t xml:space="preserve">2.4</w:t>
      </w:r>
      <w:r>
        <w:tab/>
      </w:r>
      <w:r>
        <w:t xml:space="preserve">2.4 Gegevens - verwerken</w:t>
      </w:r>
    </w:p>
    <w:p>
      <w:pPr>
        <w:pStyle w:val="FirstParagraph"/>
      </w:pPr>
      <w:r>
        <w:t xml:space="preserve">De gegevens zullen worden verwerkt met Excel. Een voorbeeld van een geanonimisseerd gegevensbestand is opgenomen als bijlage C.</w:t>
      </w:r>
    </w:p>
    <w:bookmarkEnd w:id="54"/>
    <w:bookmarkEnd w:id="55"/>
    <w:bookmarkStart w:id="60" w:name="analyse-fase"/>
    <w:p>
      <w:pPr>
        <w:pStyle w:val="Heading1"/>
      </w:pPr>
      <w:r>
        <w:rPr>
          <w:rStyle w:val="SectionNumber"/>
        </w:rPr>
        <w:t xml:space="preserve">3</w:t>
      </w:r>
      <w:r>
        <w:tab/>
      </w:r>
      <w:r>
        <w:t xml:space="preserve">3. Analyse-fase</w:t>
      </w:r>
    </w:p>
    <w:p>
      <w:pPr>
        <w:pStyle w:val="FirstParagraph"/>
      </w:pPr>
      <w:r>
        <w:t xml:space="preserve">aan bod komen:</w:t>
      </w:r>
    </w:p>
    <w:bookmarkStart w:id="56"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56"/>
    <w:bookmarkStart w:id="57" w:name="prestaties-van-het-proces"/>
    <w:p>
      <w:pPr>
        <w:pStyle w:val="Heading2"/>
      </w:pPr>
      <w:r>
        <w:rPr>
          <w:rStyle w:val="SectionNumber"/>
        </w:rPr>
        <w:t xml:space="preserve">3.2</w:t>
      </w:r>
      <w:r>
        <w:tab/>
      </w:r>
      <w:r>
        <w:t xml:space="preserve">3.2 Prestaties van het proces</w:t>
      </w:r>
    </w:p>
    <w:bookmarkEnd w:id="57"/>
    <w:bookmarkStart w:id="58"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58"/>
    <w:bookmarkStart w:id="59" w:name="meeste-impact"/>
    <w:p>
      <w:pPr>
        <w:pStyle w:val="Heading2"/>
      </w:pPr>
      <w:r>
        <w:rPr>
          <w:rStyle w:val="SectionNumber"/>
        </w:rPr>
        <w:t xml:space="preserve">3.4</w:t>
      </w:r>
      <w:r>
        <w:tab/>
      </w:r>
      <w:r>
        <w:t xml:space="preserve">3.4 Meeste Impact</w:t>
      </w:r>
    </w:p>
    <w:p>
      <w:pPr>
        <w:pStyle w:val="Compact"/>
        <w:numPr>
          <w:ilvl w:val="0"/>
          <w:numId w:val="1006"/>
        </w:numPr>
      </w:pPr>
      <w:r>
        <w:t xml:space="preserve">aanwezigheid</w:t>
      </w:r>
    </w:p>
    <w:p>
      <w:pPr>
        <w:pStyle w:val="Compact"/>
        <w:numPr>
          <w:ilvl w:val="0"/>
          <w:numId w:val="1006"/>
        </w:numPr>
      </w:pPr>
      <w:r>
        <w:t xml:space="preserve">e-learning op tijd maken</w:t>
      </w:r>
    </w:p>
    <w:p>
      <w:pPr>
        <w:pStyle w:val="Compact"/>
        <w:numPr>
          <w:ilvl w:val="0"/>
          <w:numId w:val="1006"/>
        </w:numPr>
      </w:pPr>
      <w:r>
        <w:t xml:space="preserve">groepsgenoten</w:t>
      </w:r>
    </w:p>
    <w:p>
      <w:pPr>
        <w:pStyle w:val="Compact"/>
        <w:numPr>
          <w:ilvl w:val="0"/>
          <w:numId w:val="1006"/>
        </w:numPr>
      </w:pPr>
      <w:r>
        <w:t xml:space="preserve">vakdocent</w:t>
      </w:r>
    </w:p>
    <w:p>
      <w:pPr>
        <w:pStyle w:val="Compact"/>
        <w:numPr>
          <w:ilvl w:val="0"/>
          <w:numId w:val="1006"/>
        </w:numPr>
      </w:pPr>
      <w:r>
        <w:t xml:space="preserve">procesdocent</w:t>
      </w:r>
    </w:p>
    <w:bookmarkEnd w:id="59"/>
    <w:bookmarkEnd w:id="60"/>
    <w:bookmarkStart w:id="65" w:name="improve-fase"/>
    <w:p>
      <w:pPr>
        <w:pStyle w:val="Heading1"/>
      </w:pPr>
      <w:r>
        <w:rPr>
          <w:rStyle w:val="SectionNumber"/>
        </w:rPr>
        <w:t xml:space="preserve">4</w:t>
      </w:r>
      <w:r>
        <w:tab/>
      </w:r>
      <w:r>
        <w:t xml:space="preserve">4. Improve-fase</w:t>
      </w:r>
    </w:p>
    <w:bookmarkStart w:id="61" w:name="mogelijke-oplossingen"/>
    <w:p>
      <w:pPr>
        <w:pStyle w:val="Heading2"/>
      </w:pPr>
      <w:r>
        <w:rPr>
          <w:rStyle w:val="SectionNumber"/>
        </w:rPr>
        <w:t xml:space="preserve">4.1</w:t>
      </w:r>
      <w:r>
        <w:tab/>
      </w:r>
      <w:r>
        <w:t xml:space="preserve">4.1 Mogelijke oplossingen</w:t>
      </w:r>
    </w:p>
    <w:bookmarkEnd w:id="61"/>
    <w:bookmarkStart w:id="62" w:name="generatie-van-oplossingen"/>
    <w:p>
      <w:pPr>
        <w:pStyle w:val="Heading2"/>
      </w:pPr>
      <w:r>
        <w:rPr>
          <w:rStyle w:val="SectionNumber"/>
        </w:rPr>
        <w:t xml:space="preserve">4.2</w:t>
      </w:r>
      <w:r>
        <w:tab/>
      </w:r>
      <w:r>
        <w:t xml:space="preserve">4.2 Generatie van oplossingen</w:t>
      </w:r>
    </w:p>
    <w:bookmarkEnd w:id="62"/>
    <w:bookmarkStart w:id="63" w:name="korte-termijn-oplossing"/>
    <w:p>
      <w:pPr>
        <w:pStyle w:val="Heading2"/>
      </w:pPr>
      <w:r>
        <w:rPr>
          <w:rStyle w:val="SectionNumber"/>
        </w:rPr>
        <w:t xml:space="preserve">4.3</w:t>
      </w:r>
      <w:r>
        <w:tab/>
      </w:r>
      <w:r>
        <w:t xml:space="preserve">4.3 Korte termijn oplossing</w:t>
      </w:r>
    </w:p>
    <w:bookmarkEnd w:id="63"/>
    <w:bookmarkStart w:id="64" w:name="implementatieplan"/>
    <w:p>
      <w:pPr>
        <w:pStyle w:val="Heading2"/>
      </w:pPr>
      <w:r>
        <w:rPr>
          <w:rStyle w:val="SectionNumber"/>
        </w:rPr>
        <w:t xml:space="preserve">4.4</w:t>
      </w:r>
      <w:r>
        <w:tab/>
      </w:r>
      <w:r>
        <w:t xml:space="preserve">4.4 Implementatieplan</w:t>
      </w:r>
    </w:p>
    <w:bookmarkEnd w:id="64"/>
    <w:bookmarkEnd w:id="65"/>
    <w:bookmarkStart w:id="69" w:name="control-fase"/>
    <w:p>
      <w:pPr>
        <w:pStyle w:val="Heading1"/>
      </w:pPr>
      <w:r>
        <w:rPr>
          <w:rStyle w:val="SectionNumber"/>
        </w:rPr>
        <w:t xml:space="preserve">5</w:t>
      </w:r>
      <w:r>
        <w:tab/>
      </w:r>
      <w:r>
        <w:t xml:space="preserve">5. Control-fase</w:t>
      </w:r>
    </w:p>
    <w:p>
      <w:pPr>
        <w:pStyle w:val="FirstParagraph"/>
      </w:pPr>
      <w:r>
        <w:t xml:space="preserve">Inleiding</w:t>
      </w:r>
    </w:p>
    <w:bookmarkStart w:id="66"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66"/>
    <w:bookmarkStart w:id="67" w:name="control-instrument-1"/>
    <w:p>
      <w:pPr>
        <w:pStyle w:val="Heading2"/>
      </w:pPr>
      <w:r>
        <w:rPr>
          <w:rStyle w:val="SectionNumber"/>
        </w:rPr>
        <w:t xml:space="preserve">5.2</w:t>
      </w:r>
      <w:r>
        <w:tab/>
      </w:r>
      <w:r>
        <w:t xml:space="preserve">5.2 Control instrument 1</w:t>
      </w:r>
    </w:p>
    <w:bookmarkEnd w:id="67"/>
    <w:bookmarkStart w:id="68" w:name="control-instrument-2"/>
    <w:p>
      <w:pPr>
        <w:pStyle w:val="Heading2"/>
      </w:pPr>
      <w:r>
        <w:rPr>
          <w:rStyle w:val="SectionNumber"/>
        </w:rPr>
        <w:t xml:space="preserve">5.3</w:t>
      </w:r>
      <w:r>
        <w:tab/>
      </w:r>
      <w:r>
        <w:t xml:space="preserve">5.3 Control instrument 2</w:t>
      </w:r>
    </w:p>
    <w:bookmarkEnd w:id="68"/>
    <w:bookmarkEnd w:id="69"/>
    <w:bookmarkStart w:id="74"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70">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72" name="Picture"/>
            <a:graphic>
              <a:graphicData uri="http://schemas.openxmlformats.org/drawingml/2006/picture">
                <pic:pic>
                  <pic:nvPicPr>
                    <pic:cNvPr descr="./static/beoordeling.jpg" id="73" name="Picture"/>
                    <pic:cNvPicPr>
                      <a:picLocks noChangeArrowheads="1" noChangeAspect="1"/>
                    </pic:cNvPicPr>
                  </pic:nvPicPr>
                  <pic:blipFill>
                    <a:blip r:embed="rId71"/>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74"/>
    <w:bookmarkStart w:id="75"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75"/>
    <w:bookmarkStart w:id="76"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4">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jpg" /><Relationship Type="http://schemas.openxmlformats.org/officeDocument/2006/relationships/image" Id="rId47" Target="media/rId47.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0"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0"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
  <cp:keywords/>
  <dcterms:created xsi:type="dcterms:W3CDTF">2024-05-02T20:19:47Z</dcterms:created>
  <dcterms:modified xsi:type="dcterms:W3CDTF">2024-05-02T20:19:47Z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delim">
    <vt:lpwstr>:</vt:lpwstr>
  </property>
  <property fmtid="{D5CDD505-2E9C-101B-9397-08002B2CF9AE}" pid="3" name="appendix-title">
    <vt:lpwstr>App.</vt:lpwstr>
  </property>
  <property fmtid="{D5CDD505-2E9C-101B-9397-08002B2CF9AE}" pid="4" name="biblio-config">
    <vt:lpwstr>True</vt:lpwstr>
  </property>
  <property fmtid="{D5CDD505-2E9C-101B-9397-08002B2CF9AE}" pid="5" name="book">
    <vt:lpwstr/>
  </property>
  <property fmtid="{D5CDD505-2E9C-101B-9397-08002B2CF9AE}" pid="6" name="crossref">
    <vt:lpwstr>False</vt:lpwstr>
  </property>
  <property fmtid="{D5CDD505-2E9C-101B-9397-08002B2CF9AE}" pid="7" name="date">
    <vt:lpwstr>11/04/2024</vt:lpwstr>
  </property>
  <property fmtid="{D5CDD505-2E9C-101B-9397-08002B2CF9AE}" pid="8" name="date-format">
    <vt:lpwstr>DD/MM/YYYY</vt:lpwstr>
  </property>
  <property fmtid="{D5CDD505-2E9C-101B-9397-08002B2CF9AE}" pid="9" name="fig-prefix">
    <vt:lpwstr>figure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Lean / Six Sigma</vt:lpwstr>
  </property>
  <property fmtid="{D5CDD505-2E9C-101B-9397-08002B2CF9AE}" pid="15" name="tbl-prefix">
    <vt:lpwstr>table</vt:lpwstr>
  </property>
  <property fmtid="{D5CDD505-2E9C-101B-9397-08002B2CF9AE}" pid="16" name="template-partials">
    <vt:lpwstr/>
  </property>
  <property fmtid="{D5CDD505-2E9C-101B-9397-08002B2CF9AE}" pid="17" name="toc-title">
    <vt:lpwstr>Table of contents</vt:lpwstr>
  </property>
</Properties>
</file>