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 basis op orde.</w:t>
      </w:r>
    </w:p>
    <w:p>
      <w:pPr>
        <w:pStyle w:val="BodyText"/>
      </w:pPr>
      <w:r>
        <w:t xml:space="preserve">Ten behoeve van dit rapport worden de volgende definities gehanteerd:</w:t>
      </w:r>
    </w:p>
    <w:p>
      <w:pPr>
        <w:pStyle w:val="Compact"/>
        <w:numPr>
          <w:ilvl w:val="0"/>
          <w:numId w:val="1001"/>
        </w:numPr>
      </w:pPr>
      <w:r>
        <w:t xml:space="preserve">Cyclustijd: de tijd tussen twee opeenvolgende modules, is 10 weken (70 dagen).</w:t>
      </w:r>
    </w:p>
    <w:p>
      <w:pPr>
        <w:pStyle w:val="Compact"/>
        <w:numPr>
          <w:ilvl w:val="0"/>
          <w:numId w:val="1001"/>
        </w:numPr>
      </w:pPr>
      <w:r>
        <w:t xml:space="preserve">Doorlooptijd: de totale tijd om het vak af te ronden is 9 weken (63 dagen), gerekend vanaf de start van het blok.</w:t>
      </w:r>
    </w:p>
    <w:p>
      <w:pPr>
        <w:pStyle w:val="Compact"/>
        <w:numPr>
          <w:ilvl w:val="0"/>
          <w:numId w:val="1001"/>
        </w:numPr>
      </w:pPr>
      <w:r>
        <w:t xml:space="preserve">Taktijd: de maximale tijd om de e-learnings af te ronden is 8 weken (56 dagen), gerekend vanaf de start van het blok.</w:t>
      </w:r>
    </w:p>
    <w:p>
      <w:pPr>
        <w:pStyle w:val="FirstParagraph"/>
      </w:pPr>
      <w:r>
        <w:t xml:space="preserve">De redenatie is dat de e-learning nodig is om de praktijkopdracht te kunnenn maken, en ook nodig is om de kennistoets te kunnen maken.</w:t>
      </w:r>
    </w:p>
    <w:p>
      <w:pPr>
        <w:pStyle w:val="Compact"/>
        <w:numPr>
          <w:ilvl w:val="0"/>
          <w:numId w:val="1002"/>
        </w:numPr>
      </w:pPr>
      <w:r>
        <w:t xml:space="preserve">Unit of analysis.</w:t>
      </w:r>
    </w:p>
    <w:p>
      <w:pPr>
        <w:pStyle w:val="Compact"/>
        <w:numPr>
          <w:ilvl w:val="0"/>
          <w:numId w:val="1002"/>
        </w:numPr>
      </w:pPr>
      <w:r>
        <w:t xml:space="preserve">Populatie</w:t>
      </w:r>
    </w:p>
    <w:p>
      <w:pPr>
        <w:pStyle w:val="Compact"/>
        <w:numPr>
          <w:ilvl w:val="0"/>
          <w:numId w:val="1002"/>
        </w:numPr>
      </w:pPr>
      <w:r>
        <w:t xml:space="preserve">Steekproefomvang</w:t>
      </w:r>
    </w:p>
    <w:p>
      <w:pPr>
        <w:pStyle w:val="Compact"/>
        <w:numPr>
          <w:ilvl w:val="0"/>
          <w:numId w:val="1002"/>
        </w:numPr>
      </w:pPr>
      <w:r>
        <w:t xml:space="preserve">Representatief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2024-08-22T07:52:47Z</dcterms:created>
  <dcterms:modified xsi:type="dcterms:W3CDTF">2024-08-22T07:52:47Z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