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urpose-of-the-document"/>
      <w:r>
        <w:t xml:space="preserve">Purpose of the Document</w:t>
      </w:r>
      <w:bookmarkEnd w:id="21"/>
    </w:p>
    <w:p>
      <w:pPr>
        <w:pStyle w:val="FirstParagraph"/>
      </w:pPr>
      <w:r>
        <w:t xml:space="preserve">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pPr>
        <w:pStyle w:val="BodyText"/>
      </w:pPr>
      <w:r>
        <w:t xml:space="preserve">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pPr>
        <w:pStyle w:val="BodyText"/>
      </w:pPr>
      <w:r>
        <w:t xml:space="preserve">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pPr>
        <w:pStyle w:val="BodyText"/>
      </w:pPr>
      <w:r>
        <w:t xml:space="preserve">It is noted that, following WRC-15, the full satellite capability of VDES is being studied at ITU and will be reviewed at WRC-19. This IALA Guideline includes the full capability (including satellite).</w:t>
      </w:r>
    </w:p>
    <w:p>
      <w:pPr>
        <w:pStyle w:val="Heading2"/>
      </w:pPr>
      <w:bookmarkStart w:id="22" w:name="background"/>
      <w:r>
        <w:t xml:space="preserve">Background</w:t>
      </w:r>
      <w:bookmarkEnd w:id="22"/>
    </w:p>
    <w:p>
      <w:pPr>
        <w:pStyle w:val="FirstParagraph"/>
      </w:pPr>
      <w:r>
        <w:t xml:space="preserve">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pPr>
        <w:pStyle w:val="BodyText"/>
      </w:pPr>
      <w:r>
        <w:t xml:space="preserve">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pPr>
        <w:pStyle w:val="BodyText"/>
      </w:pPr>
      <w:r>
        <w:t xml:space="preserve">Consequential to WRC-15, the ITU standard for VDES, Recommendation ITU-R M.2092-0, was approved. A remaining outstanding issue is the approval of the satellite component for the VDE channels which is targeted for approval at WRC-19.</w:t>
      </w:r>
    </w:p>
    <w:p>
      <w:pPr>
        <w:pStyle w:val="BodyText"/>
      </w:pPr>
      <w:r>
        <w:t xml:space="preserve">The expected implementation pf VDES is provided in Figure</w:t>
      </w:r>
      <w:r>
        <w:t xml:space="preserve"> </w:t>
      </w:r>
      <w:hyperlink w:anchor="fig:Implementation_of_VDES">
        <w:r>
          <w:rPr>
            <w:rStyle w:val="Hyperlink"/>
          </w:rPr>
          <w:t xml:space="preserve">1</w:t>
        </w:r>
      </w:hyperlink>
      <w:r>
        <w:t xml:space="preserve">.</w:t>
      </w:r>
    </w:p>
    <w:p>
      <w:bookmarkStart w:id="0" w:name="fig:Implementation_of_VDES"/>
      <w:r>
        <w:t/>
      </w:r>
    </w:p>
    <w:p>
      <w:pPr>
        <w:pStyle w:val="CaptionedFigure"/>
      </w:pPr>
      <w:r>
        <w:drawing>
          <wp:inline>
            <wp:extent cx="5114544" cy="2859024"/>
            <wp:effectExtent b="0" l="0" r="0" t="0"/>
            <wp:docPr descr="Figure 1: Implementation of VDES." title="" id="1" name="Picture"/>
            <a:graphic>
              <a:graphicData uri="http://schemas.openxmlformats.org/drawingml/2006/picture">
                <pic:pic>
                  <pic:nvPicPr>
                    <pic:cNvPr descr="pictures/implementation_of_vdes.png" id="0" name="Picture"/>
                    <pic:cNvPicPr>
                      <a:picLocks noChangeArrowheads="1" noChangeAspect="1"/>
                    </pic:cNvPicPr>
                  </pic:nvPicPr>
                  <pic:blipFill>
                    <a:blip r:embed="rId23"/>
                    <a:stretch>
                      <a:fillRect/>
                    </a:stretch>
                  </pic:blipFill>
                  <pic:spPr bwMode="auto">
                    <a:xfrm>
                      <a:off x="0" y="0"/>
                      <a:ext cx="5114544" cy="2859024"/>
                    </a:xfrm>
                    <a:prstGeom prst="rect">
                      <a:avLst/>
                    </a:prstGeom>
                    <a:noFill/>
                    <a:ln w="9525">
                      <a:noFill/>
                      <a:headEnd/>
                      <a:tailEnd/>
                    </a:ln>
                  </pic:spPr>
                </pic:pic>
              </a:graphicData>
            </a:graphic>
          </wp:inline>
        </w:drawing>
      </w:r>
    </w:p>
    <w:p>
      <w:pPr>
        <w:pStyle w:val="ImageCaption"/>
      </w:pPr>
      <w:r>
        <w:t xml:space="preserve">Figure 1: Implementation of VDES.</w:t>
      </w:r>
    </w:p>
    <w:bookmarkEnd w:id="0"/>
    <w:p>
      <w:pPr>
        <w:pStyle w:val="BodyText"/>
      </w:pPr>
      <w:r>
        <w:t xml:space="preserve">The introduction of VDES is expected to happen through four operational phases:</w:t>
      </w:r>
    </w:p>
    <w:p>
      <w:pPr>
        <w:numPr>
          <w:numId w:val="1001"/>
          <w:ilvl w:val="0"/>
        </w:numPr>
      </w:pPr>
      <w:r>
        <w:t xml:space="preserve">(2016) AIS exists as defined by ITU.R M.1371-5 on the AIS frequencies, and Coastal Stations use the ASM and VDE frequencies for Voice VHF.</w:t>
      </w:r>
    </w:p>
    <w:p>
      <w:pPr>
        <w:numPr>
          <w:numId w:val="1001"/>
          <w:ilvl w:val="0"/>
        </w:numPr>
      </w:pPr>
      <w:r>
        <w:t xml:space="preserve">(2017-2018)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pPr>
        <w:numPr>
          <w:numId w:val="1001"/>
          <w:ilvl w:val="0"/>
        </w:numPr>
      </w:pPr>
      <w:r>
        <w:t xml:space="preserve">(2019) the WRC-19 will consider and decide regarding VDE-SAT.</w:t>
      </w:r>
    </w:p>
    <w:p>
      <w:pPr>
        <w:numPr>
          <w:numId w:val="1001"/>
          <w:ilvl w:val="0"/>
        </w:numPr>
      </w:pPr>
      <w:r>
        <w:t xml:space="preserve">(2019-2020) Post WRC-19 operational capability established. Note that both the ASM and VDE frequencies may still need to be shared with the voice VHF service in many areas.</w:t>
      </w:r>
    </w:p>
    <w:p>
      <w:pPr>
        <w:numPr>
          <w:numId w:val="1001"/>
          <w:ilvl w:val="0"/>
        </w:numPr>
      </w:pPr>
      <w:r>
        <w:t xml:space="preserve">(2021+) When a satellite service is developed, full operational capability of the VDES including the Satellite frequencies can be achieved.</w:t>
      </w:r>
    </w:p>
    <w:p>
      <w:pPr>
        <w:pStyle w:val="Heading2"/>
      </w:pPr>
      <w:bookmarkStart w:id="24" w:name="document-structure"/>
      <w:r>
        <w:t xml:space="preserve">Document Structure</w:t>
      </w:r>
      <w:bookmarkEnd w:id="24"/>
    </w:p>
    <w:p>
      <w:pPr>
        <w:pStyle w:val="FirstParagraph"/>
      </w:pPr>
      <w:r>
        <w:t xml:space="preserve">The document is provided in a series of Annexes.</w:t>
      </w:r>
    </w:p>
    <w:p>
      <w:pPr>
        <w:pStyle w:val="BodyText"/>
      </w:pPr>
      <w:r>
        <w:t xml:space="preserve">Annex A - provides common technical elements of VDES</w:t>
      </w:r>
    </w:p>
    <w:p>
      <w:pPr>
        <w:pStyle w:val="BodyText"/>
      </w:pPr>
      <w:r>
        <w:t xml:space="preserve">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pPr>
        <w:pStyle w:val="BodyText"/>
      </w:pPr>
      <w:r>
        <w:t xml:space="preserve">Annex C - describes the technical characteristics of the VDE terrestrial channels providing an efficient terrestrial data transfer link enabling a wide variety of applications for the maritime community.</w:t>
      </w:r>
    </w:p>
    <w:p>
      <w:pPr>
        <w:pStyle w:val="BodyText"/>
      </w:pPr>
      <w:r>
        <w:t xml:space="preserve">Annex D - describes the technical characteristics of VDE-SAT Service that will support multi-cast multi-package data transfers and shore originated unicast multi-package data transfers via satellite.</w:t>
      </w:r>
    </w:p>
    <w:p>
      <w:pPr>
        <w:pStyle w:val="BodyText"/>
      </w:pPr>
      <w:r>
        <w:t xml:space="preserve">Annex E - describes the characteristics necessary for each component of the VDES to share the available spectrum such that impact between services is minimized and AIS is respected.</w:t>
      </w:r>
    </w:p>
    <w:p>
      <w:pPr>
        <w:pStyle w:val="Heading1"/>
      </w:pPr>
      <w:bookmarkStart w:id="25" w:name="operational-characteristics"/>
      <w:r>
        <w:t xml:space="preserve">Operational Characteristics</w:t>
      </w:r>
      <w:bookmarkEnd w:id="25"/>
    </w:p>
    <w:p>
      <w:pPr>
        <w:pStyle w:val="FirstParagraph"/>
      </w:pPr>
      <w:r>
        <w:t xml:space="preserve">In general, VDES should meet the following:</w:t>
      </w:r>
    </w:p>
    <w:p>
      <w:pPr>
        <w:numPr>
          <w:numId w:val="1002"/>
          <w:ilvl w:val="0"/>
        </w:numPr>
      </w:pPr>
      <w:r>
        <w:t xml:space="preserve">The system should give its highest priority to the automatic identification system (AIS) position reporting and safety related information.</w:t>
      </w:r>
    </w:p>
    <w:p>
      <w:pPr>
        <w:numPr>
          <w:numId w:val="1002"/>
          <w:ilvl w:val="0"/>
        </w:numPr>
      </w:pPr>
      <w:r>
        <w:t xml:space="preserve">The system installation should be capable of receiving and processing the digital messages and interrogating calls specified by this Recommendation.</w:t>
      </w:r>
    </w:p>
    <w:p>
      <w:pPr>
        <w:numPr>
          <w:numId w:val="1002"/>
          <w:ilvl w:val="0"/>
        </w:numPr>
      </w:pPr>
      <w:r>
        <w:t xml:space="preserve">The system should be capable of transmitting additional safety information on request.</w:t>
      </w:r>
    </w:p>
    <w:p>
      <w:pPr>
        <w:numPr>
          <w:numId w:val="1002"/>
          <w:ilvl w:val="0"/>
        </w:numPr>
      </w:pPr>
      <w:r>
        <w:t xml:space="preserve">The system installation should be able to operate continuously while under way, moored or at anchor.</w:t>
      </w:r>
    </w:p>
    <w:p>
      <w:pPr>
        <w:numPr>
          <w:numId w:val="1002"/>
          <w:ilvl w:val="0"/>
        </w:numPr>
      </w:pPr>
      <w:r>
        <w:t xml:space="preserve">The system should use for the terrestrial links time-division multiple access (TDMA) techniques, access schemes and data transmission methods in a synchronized manner as specified in the Annexes.</w:t>
      </w:r>
    </w:p>
    <w:p>
      <w:pPr>
        <w:numPr>
          <w:numId w:val="1002"/>
          <w:ilvl w:val="0"/>
        </w:numPr>
      </w:pPr>
      <w:r>
        <w:t xml:space="preserve">The system should be capable of various modes of operation, including the autonomous, assigned and polled modes.</w:t>
      </w:r>
    </w:p>
    <w:p>
      <w:pPr>
        <w:numPr>
          <w:numId w:val="1002"/>
          <w:ilvl w:val="0"/>
        </w:numPr>
      </w:pPr>
      <w:r>
        <w:t xml:space="preserve">The system should provide flexibility for the users in order to prioritize some applications and, consequently, adapt some parameters of the transmission (robustness or capacity) while minimizing system complexity.</w:t>
      </w:r>
    </w:p>
    <w:p>
      <w:pPr>
        <w:numPr>
          <w:numId w:val="1002"/>
          <w:ilvl w:val="0"/>
        </w:numPr>
      </w:pPr>
      <w:r>
        <w:t xml:space="preserve">The system should address the use cases identified in Report ITU-R M.2371.</w:t>
      </w:r>
    </w:p>
    <w:p>
      <w:pPr>
        <w:pStyle w:val="Heading2"/>
      </w:pPr>
      <w:bookmarkStart w:id="26" w:name="general-description-of-vdes"/>
      <w:r>
        <w:t xml:space="preserve">General Description of VDES</w:t>
      </w:r>
      <w:bookmarkEnd w:id="26"/>
    </w:p>
    <w:p>
      <w:pPr>
        <w:pStyle w:val="FirstParagraph"/>
      </w:pPr>
      <w:r>
        <w:t xml:space="preserve">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pPr>
        <w:pStyle w:val="Heading2"/>
      </w:pPr>
      <w:bookmarkStart w:id="27" w:name="vdes-functions-and-frequency-usage"/>
      <w:r>
        <w:t xml:space="preserve">VDES Functions and Frequency Usage</w:t>
      </w:r>
      <w:bookmarkEnd w:id="27"/>
    </w:p>
    <w:p>
      <w:pPr>
        <w:pStyle w:val="FirstParagraph"/>
      </w:pPr>
      <w:r>
        <w:t xml:space="preserve">The system concept, including VDES functions and frequency usage are illustrated pictorially in Figure 2 (full system). Please note – SAT Up is received only by Satellite.</w:t>
      </w:r>
    </w:p>
    <w:p>
      <w:pPr>
        <w:pStyle w:val="Heading2"/>
      </w:pPr>
      <w:bookmarkStart w:id="29" w:name="vdes-functions-and-frequency-use---full-system"/>
      <w:r>
        <w:drawing>
          <wp:inline>
            <wp:extent cx="5334000" cy="3675761"/>
            <wp:effectExtent b="0" l="0" r="0" t="0"/>
            <wp:docPr descr="VDES functions and frequency use - full system" title="" id="1" name="Picture"/>
            <a:graphic>
              <a:graphicData uri="http://schemas.openxmlformats.org/drawingml/2006/picture">
                <pic:pic>
                  <pic:nvPicPr>
                    <pic:cNvPr descr="pictures/vdes_functions_and_frequency_use_-_full_system.png" id="0" name="Picture"/>
                    <pic:cNvPicPr>
                      <a:picLocks noChangeArrowheads="1" noChangeAspect="1"/>
                    </pic:cNvPicPr>
                  </pic:nvPicPr>
                  <pic:blipFill>
                    <a:blip r:embed="rId28"/>
                    <a:stretch>
                      <a:fillRect/>
                    </a:stretch>
                  </pic:blipFill>
                  <pic:spPr bwMode="auto">
                    <a:xfrm>
                      <a:off x="0" y="0"/>
                      <a:ext cx="5334000" cy="3675761"/>
                    </a:xfrm>
                    <a:prstGeom prst="rect">
                      <a:avLst/>
                    </a:prstGeom>
                    <a:noFill/>
                    <a:ln w="9525">
                      <a:noFill/>
                      <a:headEnd/>
                      <a:tailEnd/>
                    </a:ln>
                  </pic:spPr>
                </pic:pic>
              </a:graphicData>
            </a:graphic>
          </wp:inline>
        </w:drawing>
      </w:r>
      <w:bookmarkEnd w:id="29"/>
    </w:p>
    <w:p>
      <w:pPr>
        <w:pStyle w:val="FirstParagraph"/>
      </w:pPr>
      <w:r>
        <w:rPr>
          <w:i/>
        </w:rPr>
        <w:t xml:space="preserve">VDES functions and frequency use - full system</w:t>
      </w:r>
    </w:p>
    <w:p>
      <w:pPr>
        <w:pStyle w:val="Heading1"/>
      </w:pPr>
      <w:bookmarkStart w:id="30" w:name="vdes-channel-usage-in-accordance-with-itu-rr-appendix-18"/>
      <w:r>
        <w:t xml:space="preserve">VDES Channel Usage in Accordance with ITU RR Appendix 18</w:t>
      </w:r>
      <w:bookmarkEnd w:id="30"/>
    </w:p>
    <w:p>
      <w:pPr>
        <w:pStyle w:val="FirstParagraph"/>
      </w:pPr>
      <w:r>
        <w:t xml:space="preserve">This section provides information on channel usage between terrestrial stations and between satellite and terrestrial stations.</w:t>
      </w:r>
    </w:p>
    <w:p>
      <w:pPr>
        <w:pStyle w:val="Heading2"/>
      </w:pPr>
      <w:bookmarkStart w:id="31" w:name="vdes-data-exchange-between-terrestrial-stations"/>
      <w:r>
        <w:t xml:space="preserve">VDES: Data Exchange between Terrestrial Stations</w:t>
      </w:r>
      <w:bookmarkEnd w:id="31"/>
    </w:p>
    <w:p>
      <w:pPr>
        <w:numPr>
          <w:numId w:val="1003"/>
          <w:ilvl w:val="0"/>
        </w:numPr>
      </w:pPr>
      <w:r>
        <w:t xml:space="preserve">AIS 1 (channel 2087) and AIS 2 (channel 2088) are AIS channels, in accordance with Recommendation ITU-R M.1371</w:t>
      </w:r>
    </w:p>
    <w:p>
      <w:pPr>
        <w:numPr>
          <w:numId w:val="1003"/>
          <w:ilvl w:val="0"/>
        </w:numPr>
      </w:pPr>
      <w:r>
        <w:t xml:space="preserve">ASM 1 (channel 2027) and ASM 2 (channel 2028) are the channels used for application specific messages (ASM)</w:t>
      </w:r>
    </w:p>
    <w:p>
      <w:pPr>
        <w:numPr>
          <w:numId w:val="1003"/>
          <w:ilvl w:val="0"/>
        </w:numPr>
      </w:pPr>
      <w:r>
        <w:t xml:space="preserve">VDE1-A lower legs (channels 1024, 1084, 1025, 1085) are ship-to-shore VDE</w:t>
      </w:r>
    </w:p>
    <w:p>
      <w:pPr>
        <w:numPr>
          <w:numId w:val="1003"/>
          <w:ilvl w:val="0"/>
        </w:numPr>
      </w:pPr>
      <w:r>
        <w:t xml:space="preserve">VDE1-B upper legs (channels 2024, 2084, 2025, 2085) are shore-to-ship and ship-to-ship VDE.</w:t>
      </w:r>
    </w:p>
    <w:p>
      <w:pPr>
        <w:pStyle w:val="Heading2"/>
      </w:pPr>
      <w:bookmarkStart w:id="32" w:name="vdes-data-exchange-between-satellites-and-terrestrial-stations"/>
      <w:r>
        <w:t xml:space="preserve">VDES: Data Exchange between Satellites and Terrestrial Stations</w:t>
      </w:r>
      <w:bookmarkEnd w:id="32"/>
    </w:p>
    <w:p>
      <w:pPr>
        <w:numPr>
          <w:numId w:val="1004"/>
          <w:ilvl w:val="0"/>
        </w:numPr>
      </w:pPr>
      <w:r>
        <w:t xml:space="preserve">AIS 1 (channel 2087) and AIS 2 (channel 2088) are terrestrial AIS channels that are also used as uplinks for receiving AIS messages by satellite</w:t>
      </w:r>
    </w:p>
    <w:p>
      <w:pPr>
        <w:numPr>
          <w:numId w:val="1004"/>
          <w:ilvl w:val="0"/>
        </w:numPr>
      </w:pPr>
      <w:r>
        <w:t xml:space="preserve">Long Range AIS using channel 75 and channel 76 are specified channels to be used as uplinks for receiving AIS messages by satellite. SAT Up1 (channel 2027) and SAT Up 2 (channel 2028) are used for receiving ASM by satellite</w:t>
      </w:r>
    </w:p>
    <w:p>
      <w:pPr>
        <w:numPr>
          <w:numId w:val="1004"/>
          <w:ilvl w:val="0"/>
        </w:numPr>
      </w:pPr>
      <w:r>
        <w:t xml:space="preserve">SAT Up3 (channels 1024, 1084, 1025, 1085, 1026 and 1086) are used for ship-to-satellite VDE uplinks</w:t>
      </w:r>
    </w:p>
    <w:p>
      <w:pPr>
        <w:numPr>
          <w:numId w:val="1004"/>
          <w:ilvl w:val="0"/>
        </w:numPr>
      </w:pPr>
      <w:r>
        <w:t xml:space="preserve">SAT Downlink (channels 2024, 2084, 2025, 2085, 2026 and 2086) are used for satellite-to-ship VDE downlinks.</w:t>
      </w:r>
    </w:p>
    <w:p>
      <w:pPr>
        <w:pStyle w:val="Heading1"/>
      </w:pPr>
      <w:bookmarkStart w:id="33" w:name="identification"/>
      <w:r>
        <w:t xml:space="preserve">Identification</w:t>
      </w:r>
      <w:bookmarkEnd w:id="33"/>
    </w:p>
    <w:p>
      <w:pPr>
        <w:pStyle w:val="FirstParagraph"/>
      </w:pPr>
      <w:r>
        <w:t xml:space="preserve">Identification and location of all active maritime stations is provided automatically by means of the AIS. All VDES stations should be uniquely identified. For the purpose of identification, a unique numerical identifier is used as defined by the following:</w:t>
      </w:r>
    </w:p>
    <w:p>
      <w:pPr>
        <w:numPr>
          <w:numId w:val="1005"/>
          <w:ilvl w:val="0"/>
        </w:numPr>
      </w:pPr>
      <w:r>
        <w:t xml:space="preserve">If the unique identifier has a range which is less than 999999999, then this number is defined by the latest version of Recommendation ITU-R M.585.</w:t>
      </w:r>
    </w:p>
    <w:p>
      <w:pPr>
        <w:numPr>
          <w:numId w:val="1005"/>
          <w:ilvl w:val="0"/>
        </w:numPr>
      </w:pPr>
      <w:r>
        <w:t xml:space="preserve">If the unique identifier has a range which is greater than 999999999, then this is number is free form.</w:t>
      </w:r>
    </w:p>
    <w:p>
      <w:pPr>
        <w:pStyle w:val="Heading1"/>
      </w:pPr>
      <w:bookmarkStart w:id="34" w:name="presentation-interface-protocol"/>
      <w:r>
        <w:t xml:space="preserve">Presentation Interface Protocol</w:t>
      </w:r>
      <w:bookmarkEnd w:id="34"/>
    </w:p>
    <w:p>
      <w:pPr>
        <w:pStyle w:val="FirstParagraph"/>
      </w:pPr>
      <w:r>
        <w:t xml:space="preserve">For VDES transceivers:</w:t>
      </w:r>
    </w:p>
    <w:p>
      <w:pPr>
        <w:pStyle w:val="Compact"/>
        <w:numPr>
          <w:numId w:val="1006"/>
          <w:ilvl w:val="0"/>
        </w:numPr>
      </w:pPr>
      <w:r>
        <w:t xml:space="preserve">data may be input via the presentation interface to be transmitted by the VDES station;</w:t>
      </w:r>
    </w:p>
    <w:p>
      <w:pPr>
        <w:pStyle w:val="Compact"/>
        <w:numPr>
          <w:numId w:val="1006"/>
          <w:ilvl w:val="0"/>
        </w:numPr>
      </w:pPr>
      <w:r>
        <w:t xml:space="preserve">data received by the VDES station should be output through the presentation interface.</w:t>
      </w:r>
    </w:p>
    <w:p>
      <w:pPr>
        <w:pStyle w:val="Heading1"/>
      </w:pPr>
      <w:bookmarkStart w:id="35" w:name="technical-characteristics"/>
      <w:r>
        <w:t xml:space="preserve">Technical Characteristics</w:t>
      </w:r>
      <w:bookmarkEnd w:id="35"/>
    </w:p>
    <w:p>
      <w:pPr>
        <w:pStyle w:val="FirstParagraph"/>
      </w:pPr>
      <w:r>
        <w:t xml:space="preserve">A general overview of the technical aspects of VDES is provided in IALA Guideline 1117. This section provides more detailed technical characteristics.</w:t>
      </w:r>
    </w:p>
    <w:p>
      <w:pPr>
        <w:pStyle w:val="Heading2"/>
      </w:pPr>
      <w:bookmarkStart w:id="36" w:name="shipborne-vdes-receivers-are-protected"/>
      <w:r>
        <w:t xml:space="preserve">Shipborne VDES Receivers are Protected</w:t>
      </w:r>
      <w:bookmarkEnd w:id="36"/>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37" w:name="sat-downlink"/>
      <w:r>
        <w:t xml:space="preserve">SAT Downlink</w:t>
      </w:r>
      <w:bookmarkEnd w:id="37"/>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38" w:name="vdes1-uses-both-legs-of-the-duplex-channels"/>
      <w:r>
        <w:t xml:space="preserve">VDES1 Uses Both Legs of the Duplex Channels</w:t>
      </w:r>
      <w:bookmarkEnd w:id="38"/>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2</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1: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1: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p>
      <w:pPr>
        <w:pStyle w:val="Heading1"/>
      </w:pPr>
      <w:bookmarkStart w:id="39" w:name="technical-characteristics-1"/>
      <w:r>
        <w:t xml:space="preserve">Technical Characteristics</w:t>
      </w:r>
      <w:bookmarkEnd w:id="39"/>
    </w:p>
    <w:p>
      <w:pPr>
        <w:pStyle w:val="FirstParagraph"/>
      </w:pPr>
      <w:r>
        <w:t xml:space="preserve">A general overview of the technical aspects of VDES is provided in IALA Guideline 1117. This section provides more detailed technical characteristics.</w:t>
      </w:r>
    </w:p>
    <w:p>
      <w:pPr>
        <w:pStyle w:val="Heading2"/>
      </w:pPr>
      <w:bookmarkStart w:id="40" w:name="shipborne-vdes-receivers-are-protected-1"/>
      <w:r>
        <w:t xml:space="preserve">Shipborne VDES Receivers are Protected</w:t>
      </w:r>
      <w:bookmarkEnd w:id="40"/>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41" w:name="sat-downlink-1"/>
      <w:r>
        <w:t xml:space="preserve">SAT Downlink</w:t>
      </w:r>
      <w:bookmarkEnd w:id="41"/>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42" w:name="vdes1-uses-both-legs-of-the-duplex-channels-1"/>
      <w:r>
        <w:t xml:space="preserve">VDES1 Uses Both Legs of the Duplex Channels</w:t>
      </w:r>
      <w:bookmarkEnd w:id="42"/>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2</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2: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2: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2018-03-04T19:57:25Z</dcterms:created>
  <dcterms:modified xsi:type="dcterms:W3CDTF">2018-03-04T19:57:25Z</dcterms:modified>
</cp:coreProperties>
</file>