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generated: 2025-03-22 01:28:09</w:t>
      </w:r>
    </w:p>
    <w:p>
      <w:pPr>
        <w:pStyle w:val="Title"/>
        <w:jc w:val="center"/>
      </w:pPr>
      <w:r>
        <w:t>Company Valuation Report</w:t>
      </w:r>
    </w:p>
    <w:p>
      <w:pPr>
        <w:pStyle w:val="Heading1"/>
      </w:pPr>
      <w:r>
        <w:t>Company Overview</w:t>
      </w:r>
    </w:p>
    <w:p>
      <w:r>
        <w:rPr>
          <w:b/>
        </w:rPr>
        <w:t>Company: ..... ISOTRA a.s.</w:t>
        <w:br/>
      </w:r>
      <w:r>
        <w:t>Industry: None</w:t>
        <w:br/>
      </w:r>
      <w:r>
        <w:t>Location: None</w:t>
        <w:br/>
      </w:r>
      <w:r>
        <w:t>Established: None</w:t>
        <w:br/>
      </w:r>
      <w:r>
        <w:t>Employees: None</w:t>
        <w:br/>
      </w:r>
    </w:p>
    <w:p>
      <w:r>
        <w:t>ISOTRA a.s. is a globally recognized company with expertise in various unstated industry sectors. The company executes a wide range of activities while maintaining a commitment to quality and innovation. The date and location of its establishment remain unspecified.</w:t>
      </w:r>
    </w:p>
    <w:p>
      <w:pPr>
        <w:pStyle w:val="Heading1"/>
      </w:pPr>
      <w:r>
        <w:t>Financial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 Metrics (thousands Kč)</w:t>
            </w:r>
          </w:p>
        </w:tc>
        <w:tc>
          <w:tcPr>
            <w:tcW w:type="dxa" w:w="4320"/>
          </w:tcPr>
          <w:p>
            <w:r>
              <w:t>2023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1,433,673</w:t>
            </w:r>
          </w:p>
        </w:tc>
      </w:tr>
      <w:tr>
        <w:tc>
          <w:tcPr>
            <w:tcW w:type="dxa" w:w="4320"/>
          </w:tcPr>
          <w:p>
            <w:r>
              <w:t>EBIT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Operating Profit</w:t>
            </w:r>
          </w:p>
        </w:tc>
        <w:tc>
          <w:tcPr>
            <w:tcW w:type="dxa" w:w="4320"/>
          </w:tcPr>
          <w:p>
            <w:r>
              <w:t>82,764</w:t>
            </w:r>
          </w:p>
        </w:tc>
      </w:tr>
    </w:tbl>
    <w:p>
      <w:pPr>
        <w:pStyle w:val="Heading2"/>
      </w:pPr>
      <w:r>
        <w:t>Financial Health Assessment</w:t>
      </w:r>
    </w:p>
    <w:p>
      <w:r>
        <w:t>Based on the available metrics, the company shows solid operational efficiency with an operating profit of 82,764 Kč on a revenue of 1,433,673 Kč. We cannot comment on its profitability as the EBIT is not available. However, a positive operating profit indicates an efficient operation capable of generating profits before interest and taxes.</w:t>
      </w:r>
    </w:p>
    <w:p>
      <w:pPr>
        <w:pStyle w:val="Heading1"/>
      </w:pPr>
      <w:r>
        <w:t>Valuation Analysis</w:t>
      </w:r>
    </w:p>
    <w:p>
      <w:r>
        <w:rPr>
          <w:b/>
        </w:rPr>
        <w:t>Enterprise Value Based on Multiples:</w:t>
        <w:br/>
      </w:r>
      <w:r>
        <w:t xml:space="preserve">• EV/EBIT Multiple (N/Ax): </w:t>
      </w:r>
      <w:r>
        <w:t>N/A</w:t>
        <w:br/>
      </w:r>
      <w:r>
        <w:t xml:space="preserve">• EV/EBITDA Multiple (N/Ax): </w:t>
      </w:r>
      <w:r>
        <w:t>N/A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8859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5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Conclusion</w:t>
      </w:r>
    </w:p>
    <w:p>
      <w:r>
        <w:t>In conclusion, despite the unavailability of EV/EBIT and EV/EBITDA valuation metrics, the company clearly demonstrates efficient operations with a positive operating profit. This solid performance indicates a robust financial health and a company that is capable of generating profits before interest and taxes, making it potentially a positive investment.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