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Report generated: 2025-03-22 13:29:21</w:t>
      </w:r>
    </w:p>
    <w:p>
      <w:pPr>
        <w:pStyle w:val="Title"/>
        <w:jc w:val="center"/>
      </w:pPr>
      <w:r>
        <w:t>Company Valuation Report</w:t>
      </w:r>
    </w:p>
    <w:p>
      <w:pPr>
        <w:pStyle w:val="Heading1"/>
      </w:pPr>
      <w:r>
        <w:t>Company Overview</w:t>
      </w:r>
    </w:p>
    <w:p>
      <w:r>
        <w:rPr>
          <w:b/>
        </w:rPr>
        <w:t>Company: ISOTRA a.s.</w:t>
        <w:br/>
      </w:r>
      <w:r>
        <w:t>Industry: Machinery</w:t>
        <w:br/>
      </w:r>
      <w:r>
        <w:t>Location: Bllovecká 2411/1, 74601 Opava</w:t>
        <w:br/>
      </w:r>
      <w:r>
        <w:t>Established: 14. zárí 1992</w:t>
        <w:br/>
      </w:r>
      <w:r>
        <w:t>Employees: None</w:t>
        <w:br/>
      </w:r>
    </w:p>
    <w:p>
      <w:r>
        <w:t>ISOTRA a.s., established in 1992, is a Czech-based machinery company located in Opava. Its main activities include electricity production, insulation, road motor transport for items and livestock, carpentry, trading, and locksmithing. It specializes in manufacturing, trade, and services not listed in Appendices 1 to 3 of the Trade Licensing Act.</w:t>
      </w:r>
    </w:p>
    <w:p>
      <w:pPr>
        <w:pStyle w:val="Heading1"/>
      </w:pPr>
      <w:r>
        <w:t>Financial Analysis</w:t>
      </w:r>
    </w:p>
    <w:tbl>
      <w:tblPr>
        <w:tblStyle w:val="TableGrid"/>
        <w:tblW w:type="auto" w:w="0"/>
        <w:tblLook w:firstColumn="1" w:firstRow="1" w:lastColumn="0" w:lastRow="0" w:noHBand="0" w:noVBand="1" w:val="04A0"/>
      </w:tblPr>
      <w:tblGrid>
        <w:gridCol w:w="4320"/>
        <w:gridCol w:w="4320"/>
      </w:tblGrid>
      <w:tr>
        <w:tc>
          <w:tcPr>
            <w:tcW w:type="dxa" w:w="4320"/>
          </w:tcPr>
          <w:p>
            <w:r>
              <w:t>Key Metrics (thousands Kč)</w:t>
            </w:r>
          </w:p>
        </w:tc>
        <w:tc>
          <w:tcPr>
            <w:tcW w:type="dxa" w:w="4320"/>
          </w:tcPr>
          <w:p>
            <w:r>
              <w:t>2023</w:t>
            </w:r>
          </w:p>
        </w:tc>
      </w:tr>
      <w:tr>
        <w:tc>
          <w:tcPr>
            <w:tcW w:type="dxa" w:w="4320"/>
          </w:tcPr>
          <w:p>
            <w:r>
              <w:t>Revenue</w:t>
            </w:r>
          </w:p>
        </w:tc>
        <w:tc>
          <w:tcPr>
            <w:tcW w:type="dxa" w:w="4320"/>
          </w:tcPr>
          <w:p>
            <w:r>
              <w:t>1,433,673</w:t>
            </w:r>
          </w:p>
        </w:tc>
      </w:tr>
      <w:tr>
        <w:tc>
          <w:tcPr>
            <w:tcW w:type="dxa" w:w="4320"/>
          </w:tcPr>
          <w:p>
            <w:r>
              <w:t>EBIT</w:t>
            </w:r>
          </w:p>
        </w:tc>
        <w:tc>
          <w:tcPr>
            <w:tcW w:type="dxa" w:w="4320"/>
          </w:tcPr>
          <w:p>
            <w:r>
              <w:t>82,764</w:t>
            </w:r>
          </w:p>
        </w:tc>
      </w:tr>
      <w:tr>
        <w:tc>
          <w:tcPr>
            <w:tcW w:type="dxa" w:w="4320"/>
          </w:tcPr>
          <w:p>
            <w:r>
              <w:t>Operating Profit</w:t>
            </w:r>
          </w:p>
        </w:tc>
        <w:tc>
          <w:tcPr>
            <w:tcW w:type="dxa" w:w="4320"/>
          </w:tcPr>
          <w:p>
            <w:r>
              <w:t>82,764</w:t>
            </w:r>
          </w:p>
        </w:tc>
      </w:tr>
    </w:tbl>
    <w:p>
      <w:pPr>
        <w:pStyle w:val="Heading2"/>
      </w:pPr>
      <w:r>
        <w:t>Financial Health Assessment</w:t>
      </w:r>
    </w:p>
    <w:p>
      <w:r>
        <w:t>The company appears to be profitable and operationally efficient based on the provided metrics. The EBIT (Earnings Before Interest and Taxes) and Operating Profit, both at 82,764Kč, show that the firm has been generating healthy earnings from its core business operations. However, to give a more comprehensive view of the company's financial health, additional metrics such as net profit, debt levels, or cash flows would be necessary.</w:t>
      </w:r>
    </w:p>
    <w:p>
      <w:pPr>
        <w:pStyle w:val="Heading1"/>
      </w:pPr>
      <w:r>
        <w:t>Valuation Analysis</w:t>
      </w:r>
    </w:p>
    <w:p>
      <w:r>
        <w:rPr>
          <w:b/>
        </w:rPr>
        <w:t>Enterprise Value Based on Multiples:</w:t>
        <w:br/>
      </w:r>
      <w:r>
        <w:t xml:space="preserve">• EV/EBIT Multiple (20.2x): </w:t>
      </w:r>
      <w:r>
        <w:t>1,820,381 thousands Kč</w:t>
        <w:br/>
      </w:r>
      <w:r>
        <w:t xml:space="preserve">• EV/EBITDA Multiple (17.29x): </w:t>
      </w:r>
      <w:r>
        <w:t>2,600,134 thousands Kč</w:t>
        <w:br/>
      </w:r>
    </w:p>
    <w:p>
      <w:r>
        <w:drawing>
          <wp:inline xmlns:a="http://schemas.openxmlformats.org/drawingml/2006/main" xmlns:pic="http://schemas.openxmlformats.org/drawingml/2006/picture">
            <wp:extent cx="5486400" cy="284592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2845927"/>
                    </a:xfrm>
                    <a:prstGeom prst="rect"/>
                  </pic:spPr>
                </pic:pic>
              </a:graphicData>
            </a:graphic>
          </wp:inline>
        </w:drawing>
      </w:r>
    </w:p>
    <w:p>
      <w:pPr>
        <w:pStyle w:val="Heading1"/>
      </w:pPr>
      <w:r>
        <w:t>Conclusion</w:t>
      </w:r>
    </w:p>
    <w:p>
      <w:r>
        <w:t>The company shows strong financial health with substantial profitability and operational efficiency as indicated by the EBIT and Operating Profit. However, for a holistic assessment of the company's value, further examination of other financial aspects such as net profit, debt levels and cash flows are essential in addition to EV/EBIT and EV/EBITDA valuations.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