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v="urn:schemas-microsoft-com:vml" xmlns:o="urn:schemas-microsoft-com:office:office" xmlns:r="http://schemas.openxmlformats.org/officeDocument/2006/relationships" xmlns:wp="http://schemas.openxmlformats.org/drawingml/2006/wordprocessingDrawing">
  <w:body>
    <w:p>
      <w:pPr>
        <w:spacing w:before="480" w:after="480" w:line="288" w:lineRule="auto"/>
        <w:ind w:left="0"/>
      </w:pPr>
      <w:r>
        <w:rPr>
          <w:rFonts w:eastAsia="等线" w:ascii="Arial" w:cs="Arial" w:hAnsi="Arial"/>
          <w:b w:val="true"/>
          <w:sz w:val="52"/>
        </w:rPr>
        <w:t>【Compliance Rardar 1.0 PRD】合規雷達</w:t>
      </w:r>
    </w:p>
    <w:p>
      <w:pPr>
        <w:pStyle w:val="1"/>
        <w:spacing w:before="380" w:after="140" w:line="288" w:lineRule="auto"/>
        <w:ind w:left="0"/>
        <w:jc w:val="left"/>
        <w:outlineLvl w:val="0"/>
      </w:pPr>
      <w:bookmarkStart w:name="heading_0" w:id="0"/>
      <w:r>
        <w:rPr>
          <w:rFonts w:eastAsia="等线" w:ascii="Arial" w:cs="Arial" w:hAnsi="Arial"/>
          <w:color w:val="3370ff"/>
          <w:sz w:val="36"/>
        </w:rPr>
        <w:t xml:space="preserve">1. </w:t>
      </w:r>
      <w:r>
        <w:rPr>
          <w:rFonts w:eastAsia="等线" w:ascii="Arial" w:cs="Arial" w:hAnsi="Arial"/>
          <w:b w:val="true"/>
          <w:sz w:val="36"/>
        </w:rPr>
        <w:t>PRD 信息</w:t>
      </w:r>
      <w:bookmarkEnd w:id="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780"/>
        <w:gridCol w:w="840"/>
        <w:gridCol w:w="840"/>
        <w:gridCol w:w="3735"/>
        <w:gridCol w:w="2070"/>
      </w:tblGrid>
      <w:tr>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版本號</w:t>
            </w:r>
          </w:p>
        </w:tc>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最後撰寫時間</w:t>
            </w:r>
          </w:p>
        </w:tc>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本次更新內容</w:t>
            </w: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本次需求來源</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相關會議記錄</w:t>
            </w:r>
          </w:p>
        </w:tc>
      </w:tr>
      <w:tr>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1.0.0</w:t>
            </w:r>
          </w:p>
        </w:tc>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20260426</w:t>
            </w:r>
          </w:p>
        </w:tc>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Compliance Rardar 1.0 的所有內容。</w:t>
            </w:r>
          </w:p>
          <w:p>
            <w:pPr>
              <w:spacing w:before="120" w:after="120" w:line="288" w:lineRule="auto"/>
              <w:ind w:left="0"/>
              <w:jc w:val="left"/>
            </w:pPr>
          </w:p>
        </w:tc>
        <w:tc>
          <w:tcPr>
            <w:tcW w:w="3735" w:type="dxa"/>
            <w:tcMar>
              <w:top w:type="dxa" w:w="60"/>
              <w:left w:type="dxa" w:w="120"/>
              <w:bottom w:type="dxa" w:w="30"/>
              <w:right w:type="dxa" w:w="120"/>
            </w:tcMar>
          </w:tcPr>
          <w:p>
            <w:pPr>
              <w:numPr>
                <w:numId w:val="1"/>
              </w:numPr>
              <w:spacing w:before="120" w:after="120" w:line="288" w:lineRule="auto"/>
              <w:ind w:left="0"/>
              <w:jc w:val="left"/>
            </w:pPr>
            <w:r>
              <w:rPr>
                <w:rFonts w:eastAsia="等线" w:ascii="Arial" w:cs="Arial" w:hAnsi="Arial"/>
                <w:sz w:val="22"/>
              </w:rPr>
              <w:t>合作客戶: BLB。</w:t>
            </w:r>
          </w:p>
          <w:p>
            <w:pPr>
              <w:spacing w:before="120" w:after="120" w:line="288" w:lineRule="auto"/>
              <w:ind w:left="0"/>
              <w:jc w:val="left"/>
            </w:pPr>
            <w:r>
              <w:rPr>
                <w:rFonts w:eastAsia="等线" w:ascii="Arial" w:cs="Arial" w:hAnsi="Arial"/>
                <w:sz w:val="22"/>
              </w:rPr>
              <w:t>剛好我們 2026/05 需要花兩周時間幫BLB 建置系土，其中他們自己就有要求須要有 監控以及警示的功能。</w:t>
              <w:br/>
              <w:br/>
            </w:r>
            <w:r>
              <w:rPr>
                <w:rFonts w:eastAsia="等线" w:ascii="Arial" w:cs="Arial" w:hAnsi="Arial"/>
                <w:sz w:val="22"/>
              </w:rPr>
              <w:t>這與我們規劃的 ROADMAP 未來需要製作的功能也吻合，因此本次製作的功能不僅僅只要切合 BLB 就好，如果能夠藉此機會將本功能做成大家都能用的版本，這樣我們就可以又再推出新功能，並且直接推到市場供其他用戶使用並給予優化建議。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顧問Noelle 的建議:</w:t>
            </w:r>
          </w:p>
          <w:p>
            <w:pPr>
              <w:spacing w:before="120" w:after="120" w:line="288" w:lineRule="auto"/>
              <w:ind w:left="0"/>
              <w:jc w:val="left"/>
            </w:pPr>
            <w:r>
              <w:rPr>
                <w:rFonts w:eastAsia="等线" w:ascii="Arial" w:cs="Arial" w:hAnsi="Arial"/>
                <w:b w:val="true"/>
                <w:color w:val="646a73"/>
                <w:sz w:val="22"/>
              </w:rPr>
              <w:t>[2026-04-27-Noel-Monitor-Alerts.md]</w:t>
            </w:r>
          </w:p>
          <w:p>
            <w:pPr>
              <w:spacing w:before="120" w:after="120" w:line="288" w:lineRule="auto"/>
              <w:ind w:left="0"/>
              <w:jc w:val="left"/>
            </w:pPr>
          </w:p>
        </w:tc>
      </w:tr>
      <w:tr>
        <w:tc>
          <w:tcPr>
            <w:tcW w:w="780" w:type="dxa"/>
            <w:tcMar>
              <w:top w:type="dxa" w:w="60"/>
              <w:left w:type="dxa" w:w="120"/>
              <w:bottom w:type="dxa" w:w="30"/>
              <w:right w:type="dxa" w:w="120"/>
            </w:tcMar>
          </w:tcPr>
          <w:p>
            <w:pPr>
              <w:spacing w:before="120" w:after="120" w:line="288" w:lineRule="auto"/>
              <w:ind w:left="0"/>
              <w:jc w:val="left"/>
            </w:pPr>
          </w:p>
        </w:tc>
        <w:tc>
          <w:tcPr>
            <w:tcW w:w="840" w:type="dxa"/>
            <w:tcMar>
              <w:top w:type="dxa" w:w="60"/>
              <w:left w:type="dxa" w:w="120"/>
              <w:bottom w:type="dxa" w:w="30"/>
              <w:right w:type="dxa" w:w="120"/>
            </w:tcMar>
          </w:tcPr>
          <w:p>
            <w:pPr>
              <w:spacing w:before="120" w:after="120" w:line="288" w:lineRule="auto"/>
              <w:ind w:left="0"/>
              <w:jc w:val="left"/>
            </w:pPr>
          </w:p>
        </w:tc>
        <w:tc>
          <w:tcPr>
            <w:tcW w:w="840" w:type="dxa"/>
            <w:tcMar>
              <w:top w:type="dxa" w:w="60"/>
              <w:left w:type="dxa" w:w="120"/>
              <w:bottom w:type="dxa" w:w="30"/>
              <w:right w:type="dxa" w:w="120"/>
            </w:tcMar>
          </w:tcPr>
          <w:p>
            <w:pPr>
              <w:spacing w:before="120" w:after="120" w:line="288" w:lineRule="auto"/>
              <w:ind w:left="0"/>
              <w:jc w:val="left"/>
            </w:pPr>
          </w:p>
        </w:tc>
        <w:tc>
          <w:tcPr>
            <w:tcW w:w="3735" w:type="dxa"/>
            <w:tcMar>
              <w:top w:type="dxa" w:w="60"/>
              <w:left w:type="dxa" w:w="120"/>
              <w:bottom w:type="dxa" w:w="30"/>
              <w:right w:type="dxa" w:w="120"/>
            </w:tcMar>
          </w:tcPr>
          <w:p>
            <w:pPr>
              <w:spacing w:before="120" w:after="120" w:line="288" w:lineRule="auto"/>
              <w:ind w:left="0"/>
              <w:jc w:val="left"/>
            </w:pPr>
          </w:p>
        </w:tc>
        <w:tc>
          <w:tcPr>
            <w:tcW w:w="2070" w:type="dxa"/>
            <w:tcMar>
              <w:top w:type="dxa" w:w="60"/>
              <w:left w:type="dxa" w:w="120"/>
              <w:bottom w:type="dxa" w:w="30"/>
              <w:right w:type="dxa" w:w="120"/>
            </w:tcMar>
          </w:tcPr>
          <w:p>
            <w:pPr>
              <w:spacing w:before="120" w:after="120" w:line="288" w:lineRule="auto"/>
              <w:ind w:left="0"/>
              <w:jc w:val="left"/>
            </w:pPr>
          </w:p>
        </w:tc>
      </w:tr>
      <w:tr>
        <w:tc>
          <w:tcPr>
            <w:tcW w:w="780" w:type="dxa"/>
            <w:tcMar>
              <w:top w:type="dxa" w:w="60"/>
              <w:left w:type="dxa" w:w="120"/>
              <w:bottom w:type="dxa" w:w="30"/>
              <w:right w:type="dxa" w:w="120"/>
            </w:tcMar>
          </w:tcPr>
          <w:p>
            <w:pPr>
              <w:spacing w:before="120" w:after="120" w:line="288" w:lineRule="auto"/>
              <w:ind w:left="0"/>
              <w:jc w:val="left"/>
            </w:pPr>
          </w:p>
        </w:tc>
        <w:tc>
          <w:tcPr>
            <w:tcW w:w="840" w:type="dxa"/>
            <w:tcMar>
              <w:top w:type="dxa" w:w="60"/>
              <w:left w:type="dxa" w:w="120"/>
              <w:bottom w:type="dxa" w:w="30"/>
              <w:right w:type="dxa" w:w="120"/>
            </w:tcMar>
          </w:tcPr>
          <w:p>
            <w:pPr>
              <w:spacing w:before="120" w:after="120" w:line="288" w:lineRule="auto"/>
              <w:ind w:left="0"/>
              <w:jc w:val="left"/>
            </w:pPr>
          </w:p>
        </w:tc>
        <w:tc>
          <w:tcPr>
            <w:tcW w:w="840" w:type="dxa"/>
            <w:tcMar>
              <w:top w:type="dxa" w:w="60"/>
              <w:left w:type="dxa" w:w="120"/>
              <w:bottom w:type="dxa" w:w="30"/>
              <w:right w:type="dxa" w:w="120"/>
            </w:tcMar>
          </w:tcPr>
          <w:p>
            <w:pPr>
              <w:spacing w:before="120" w:after="120" w:line="288" w:lineRule="auto"/>
              <w:ind w:left="0"/>
              <w:jc w:val="left"/>
            </w:pPr>
          </w:p>
        </w:tc>
        <w:tc>
          <w:tcPr>
            <w:tcW w:w="3735" w:type="dxa"/>
            <w:tcMar>
              <w:top w:type="dxa" w:w="60"/>
              <w:left w:type="dxa" w:w="120"/>
              <w:bottom w:type="dxa" w:w="30"/>
              <w:right w:type="dxa" w:w="120"/>
            </w:tcMar>
          </w:tcPr>
          <w:p>
            <w:pPr>
              <w:spacing w:before="120" w:after="120" w:line="288" w:lineRule="auto"/>
              <w:ind w:left="0"/>
              <w:jc w:val="left"/>
            </w:pPr>
          </w:p>
        </w:tc>
        <w:tc>
          <w:tcPr>
            <w:tcW w:w="2070" w:type="dxa"/>
            <w:tcMar>
              <w:top w:type="dxa" w:w="60"/>
              <w:left w:type="dxa" w:w="120"/>
              <w:bottom w:type="dxa" w:w="30"/>
              <w:right w:type="dxa" w:w="120"/>
            </w:tcMar>
          </w:tcPr>
          <w:p>
            <w:pPr>
              <w:spacing w:before="120" w:after="120" w:line="288" w:lineRule="auto"/>
              <w:ind w:left="0"/>
              <w:jc w:val="left"/>
            </w:pPr>
          </w:p>
        </w:tc>
      </w:tr>
    </w:tbl>
    <w:p>
      <w:pPr>
        <w:pStyle w:val="1"/>
        <w:spacing w:before="380" w:after="140" w:line="288" w:lineRule="auto"/>
        <w:ind w:left="0"/>
        <w:jc w:val="left"/>
        <w:outlineLvl w:val="0"/>
      </w:pPr>
      <w:bookmarkStart w:name="heading_1" w:id="1"/>
      <w:r>
        <w:rPr>
          <w:rFonts w:eastAsia="等线" w:ascii="Arial" w:cs="Arial" w:hAnsi="Arial"/>
          <w:color w:val="3370ff"/>
          <w:sz w:val="36"/>
        </w:rPr>
        <w:t xml:space="preserve">2. </w:t>
      </w:r>
      <w:r>
        <w:rPr>
          <w:rFonts w:eastAsia="等线" w:ascii="Arial" w:cs="Arial" w:hAnsi="Arial"/>
          <w:b w:val="true"/>
          <w:sz w:val="36"/>
        </w:rPr>
        <w:t>背景</w:t>
      </w:r>
      <w:bookmarkEnd w:id="1"/>
    </w:p>
    <w:tbl>
      <w:tblPr>
        <w:tblW w:w="0" w:type="auto"/>
        <w:tblInd w:w="0" w:type="dxa"/>
        <w:tblBorders>
          <w:top w:val="single" w:color=""/>
          <w:left w:val="single" w:color=""/>
          <w:bottom w:val="single" w:color=""/>
          <w:right w:val="single" w:color=""/>
          <w:insideH w:val="single" w:color=""/>
          <w:insideV w:val="single" w:color=""/>
        </w:tblBorders>
        <w:tblLayout w:type="fixed"/>
      </w:tblPr>
      <w:tblGrid>
        <w:gridCol w:w="8280"/>
      </w:tblGrid>
      <w:tr>
        <w:tc>
          <w:tcPr>
            <w:tcW w:w="8280" w:type="dxa"/>
            <w:shd w:color="auto" w:val="clear" w:fill="fefff0"/>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首要 TA</w:t>
            </w:r>
            <w:r>
              <w:rPr>
                <w:rFonts w:eastAsia="等线" w:ascii="Arial" w:cs="Arial" w:hAnsi="Arial"/>
                <w:sz w:val="22"/>
              </w:rPr>
              <w:t>：進口商（importer）—— 切身相關、痛點最深。</w:t>
            </w:r>
          </w:p>
          <w:p>
            <w:pPr>
              <w:spacing w:before="120" w:after="120" w:line="288" w:lineRule="auto"/>
              <w:ind w:left="0"/>
              <w:jc w:val="left"/>
            </w:pPr>
            <w:r>
              <w:rPr>
                <w:rFonts w:eastAsia="等线" w:ascii="Arial" w:cs="Arial" w:hAnsi="Arial"/>
                <w:b w:val="true"/>
                <w:sz w:val="22"/>
              </w:rPr>
              <w:t>次要 TA</w:t>
            </w:r>
            <w:r>
              <w:rPr>
                <w:rFonts w:eastAsia="等线" w:ascii="Arial" w:cs="Arial" w:hAnsi="Arial"/>
                <w:sz w:val="22"/>
              </w:rPr>
              <w:t>：報關行 / broker —— 工具讓他們能服務客戶，是 B2B2C 槓桿。</w:t>
            </w:r>
          </w:p>
          <w:p>
            <w:pPr>
              <w:spacing w:before="120" w:after="120" w:line="288" w:lineRule="auto"/>
              <w:ind w:left="0"/>
              <w:jc w:val="left"/>
            </w:pPr>
            <w:r>
              <w:rPr>
                <w:rFonts w:eastAsia="等线" w:ascii="Arial" w:cs="Arial" w:hAnsi="Arial"/>
                <w:sz w:val="22"/>
              </w:rPr>
              <w:t>(對 broker 來說，這是讓客戶問「你怎麼會知道？」的對話起點，這項功能可以替他們轉化轉化為服務差異化與訂單成長。) (by Noelle)</w:t>
            </w:r>
          </w:p>
          <w:p>
            <w:pPr>
              <w:spacing w:before="120" w:after="120" w:line="288" w:lineRule="auto"/>
              <w:ind w:left="0"/>
              <w:jc w:val="left"/>
            </w:pPr>
            <w:r>
              <w:rPr>
                <w:rFonts w:eastAsia="等线" w:ascii="Arial" w:cs="Arial" w:hAnsi="Arial"/>
                <w:b w:val="true"/>
                <w:sz w:val="22"/>
              </w:rPr>
              <w:t>暫不主攻</w:t>
            </w:r>
            <w:r>
              <w:rPr>
                <w:rFonts w:eastAsia="等线" w:ascii="Arial" w:cs="Arial" w:hAnsi="Arial"/>
                <w:sz w:val="22"/>
              </w:rPr>
              <w:t>：貨運承攬業（freight forwarder），雖有需求但優先序較後。</w:t>
            </w:r>
          </w:p>
          <w:p>
            <w:pPr>
              <w:spacing w:before="120" w:after="120" w:line="288" w:lineRule="auto"/>
              <w:ind w:left="0"/>
              <w:jc w:val="left"/>
            </w:pPr>
            <w:r>
              <w:rPr>
                <w:rFonts w:eastAsia="等线" w:ascii="Arial" w:cs="Arial" w:hAnsi="Arial"/>
                <w:sz w:val="22"/>
              </w:rPr>
              <w:t>特別痛點族群：</w:t>
            </w:r>
            <w:r>
              <w:rPr>
                <w:rFonts w:eastAsia="等线" w:ascii="Arial" w:cs="Arial" w:hAnsi="Arial"/>
                <w:b w:val="true"/>
                <w:sz w:val="22"/>
              </w:rPr>
              <w:t>小進口商</w:t>
            </w:r>
            <w:r>
              <w:rPr>
                <w:rFonts w:eastAsia="等线" w:ascii="Arial" w:cs="Arial" w:hAnsi="Arial"/>
                <w:sz w:val="22"/>
              </w:rPr>
              <w:t>——資訊不對稱、無能力閱讀所有官方文件、最需要被保護。</w:t>
            </w:r>
          </w:p>
        </w:tc>
      </w:tr>
    </w:tbl>
    <w:p>
      <w:pPr>
        <w:pStyle w:val="2"/>
        <w:spacing w:before="320" w:after="120" w:line="288" w:lineRule="auto"/>
        <w:ind w:left="0"/>
        <w:jc w:val="left"/>
        <w:outlineLvl w:val="1"/>
      </w:pPr>
      <w:bookmarkStart w:name="heading_2" w:id="2"/>
      <w:r>
        <w:rPr>
          <w:rFonts w:eastAsia="等线" w:ascii="Arial" w:cs="Arial" w:hAnsi="Arial"/>
          <w:color w:val="3370ff"/>
          <w:sz w:val="32"/>
        </w:rPr>
        <w:t xml:space="preserve">2.1 </w:t>
      </w:r>
      <w:r>
        <w:rPr>
          <w:rFonts w:eastAsia="等线" w:ascii="Arial" w:cs="Arial" w:hAnsi="Arial"/>
          <w:b w:val="true"/>
          <w:sz w:val="32"/>
        </w:rPr>
        <w:t>背景與進口商面臨的兩難</w:t>
      </w:r>
      <w:bookmarkEnd w:id="2"/>
    </w:p>
    <w:p>
      <w:pPr>
        <w:spacing w:before="120" w:after="120" w:line="288" w:lineRule="auto"/>
        <w:ind w:left="0"/>
        <w:jc w:val="left"/>
      </w:pPr>
      <w:r>
        <w:rPr>
          <w:rFonts w:eastAsia="等线" w:ascii="Arial" w:cs="Arial" w:hAnsi="Arial"/>
          <w:sz w:val="22"/>
        </w:rPr>
        <w:t>本次更新主要所有</w:t>
      </w:r>
      <w:r>
        <w:rPr>
          <w:rFonts w:eastAsia="等线" w:ascii="Arial" w:cs="Arial" w:hAnsi="Arial"/>
          <w:color w:val="d83931"/>
          <w:sz w:val="22"/>
          <w:shd w:fill="fff67a"/>
        </w:rPr>
        <w:t>進口商</w:t>
      </w:r>
      <w:r>
        <w:rPr>
          <w:rFonts w:eastAsia="等线" w:ascii="Arial" w:cs="Arial" w:hAnsi="Arial"/>
          <w:sz w:val="22"/>
        </w:rPr>
        <w:t>，進口商的日常生活中時常需要從 CSMS、FEDERAL REGISTER、WHITE HOUSE 、USTR 等等美國官方網站，注意以下幾點內容:</w:t>
      </w:r>
    </w:p>
    <w:p>
      <w:pPr>
        <w:numPr>
          <w:numId w:val="2"/>
        </w:numPr>
        <w:spacing w:before="120" w:after="120" w:line="288" w:lineRule="auto"/>
        <w:ind w:left="0"/>
        <w:jc w:val="left"/>
      </w:pPr>
      <w:r>
        <w:rPr>
          <w:rFonts w:eastAsia="等线" w:ascii="Arial" w:cs="Arial" w:hAnsi="Arial"/>
          <w:sz w:val="22"/>
        </w:rPr>
        <w:t>美國政府目前又公布那些需要執行的新法案</w:t>
      </w:r>
    </w:p>
    <w:p>
      <w:pPr>
        <w:numPr>
          <w:numId w:val="3"/>
        </w:numPr>
        <w:spacing w:before="120" w:after="120" w:line="288" w:lineRule="auto"/>
        <w:ind w:left="0"/>
        <w:jc w:val="left"/>
      </w:pPr>
      <w:r>
        <w:rPr>
          <w:rFonts w:eastAsia="等线" w:ascii="Arial" w:cs="Arial" w:hAnsi="Arial"/>
          <w:sz w:val="22"/>
        </w:rPr>
        <w:t>未來美國政府將會針對那些法案再次修改，以及未來的法案修改趨勢</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但目前問題主要有兩點: </w:t>
      </w:r>
      <w:r>
        <w:rPr>
          <w:rFonts w:eastAsia="等线" w:ascii="Arial" w:cs="Arial" w:hAnsi="Arial"/>
          <w:color w:val="d83931"/>
          <w:sz w:val="22"/>
          <w:shd w:fill="fff67a"/>
        </w:rPr>
        <w:t>尋找範圍以及歸納行動建議耗費時間相當漫長。</w:t>
      </w:r>
    </w:p>
    <w:p>
      <w:pPr>
        <w:numPr>
          <w:numId w:val="4"/>
        </w:numPr>
        <w:spacing w:before="120" w:after="120" w:line="288" w:lineRule="auto"/>
        <w:ind w:left="0"/>
        <w:jc w:val="left"/>
      </w:pPr>
      <w:r>
        <w:rPr>
          <w:rFonts w:eastAsia="等线" w:ascii="Arial" w:cs="Arial" w:hAnsi="Arial"/>
          <w:sz w:val="22"/>
        </w:rPr>
        <w:t>進口商沒時間特別從這些來源當中仔細挑出"只與自己相關的內容"。</w:t>
      </w:r>
    </w:p>
    <w:p>
      <w:pPr>
        <w:spacing w:before="120" w:after="120" w:line="288" w:lineRule="auto"/>
        <w:ind w:left="453"/>
        <w:jc w:val="left"/>
      </w:pPr>
      <w:r>
        <w:rPr>
          <w:rFonts w:eastAsia="等线" w:ascii="Arial" w:cs="Arial" w:hAnsi="Arial"/>
          <w:sz w:val="22"/>
        </w:rPr>
        <w:t>這些平台每天都會發布許多文章，比如 CSMS 每天都會都會有眾多主題的法案更新發布出來。他們光是每天要尋找與自己相關的內容至少就要花費 2小時的時間</w:t>
      </w:r>
    </w:p>
    <w:p>
      <w:pPr>
        <w:spacing w:before="120" w:after="120" w:line="288" w:lineRule="auto"/>
        <w:ind w:left="0"/>
        <w:jc w:val="left"/>
      </w:pPr>
    </w:p>
    <w:p>
      <w:pPr>
        <w:numPr>
          <w:numId w:val="5"/>
        </w:numPr>
        <w:spacing w:before="120" w:after="120" w:line="288" w:lineRule="auto"/>
        <w:ind w:left="0"/>
        <w:jc w:val="left"/>
      </w:pPr>
      <w:r>
        <w:rPr>
          <w:rFonts w:eastAsia="等线" w:ascii="Arial" w:cs="Arial" w:hAnsi="Arial"/>
          <w:sz w:val="22"/>
        </w:rPr>
        <w:t>找到了與自己相關的內容之後再歸納出行動建議又需要再額外花費 1~2 小時的時間。</w:t>
      </w:r>
    </w:p>
    <w:p>
      <w:pPr>
        <w:spacing w:before="120" w:after="120" w:line="288" w:lineRule="auto"/>
        <w:ind w:left="453"/>
        <w:jc w:val="left"/>
      </w:pPr>
      <w:r>
        <w:rPr>
          <w:rFonts w:eastAsia="等线" w:ascii="Arial" w:cs="Arial" w:hAnsi="Arial"/>
          <w:sz w:val="22"/>
        </w:rPr>
        <w:t>去逐一掃瞄政府給出的 LIST 當中，自己的產品有哪些中槍，那些又沒有眾槍</w:t>
      </w:r>
    </w:p>
    <w:p>
      <w:pPr>
        <w:spacing w:before="120" w:after="120" w:line="288" w:lineRule="auto"/>
        <w:ind w:left="453"/>
        <w:jc w:val="left"/>
      </w:pPr>
      <w:r>
        <w:rPr>
          <w:rFonts w:eastAsia="等线" w:ascii="Arial" w:cs="Arial" w:hAnsi="Arial"/>
          <w:sz w:val="22"/>
        </w:rPr>
        <w:t>另一方面，除歸納"影響範圍"之外，還要歸納出 那些自己的受影響產品分別又要有那些對應的操作。(比如 2026/04/02 新發布的 232條款就是很好的例子，用戶必須找出 那些產品同時受到鋁還有鋼的影響，並且還要知道 那些產品需要計算合金的總重量是否高於 15% 等等)</w:t>
      </w:r>
    </w:p>
    <w:p>
      <w:pPr>
        <w:spacing w:before="120" w:after="120" w:line="288" w:lineRule="auto"/>
        <w:ind w:left="453"/>
        <w:jc w:val="left"/>
      </w:pPr>
      <w:r>
        <w:rPr>
          <w:rFonts w:eastAsia="等线" w:ascii="Arial" w:cs="Arial" w:hAnsi="Arial"/>
          <w:sz w:val="22"/>
        </w:rPr>
        <w:t>但他們平常光是要處裡供應鏈的問題、產品設計的問題就已經很忙了，且通常進口商目前對於"貿易合規"的預算相對其他部門相對有限，因此更沒有多餘的時間或者人力去每天即時監控這些內容。導致經常重要資訊無法立即同步，同時也無法提前替未來做好準備，導致鄰近 出港時經常需要花更多時間與精力去校準這些內容</w:t>
      </w:r>
    </w:p>
    <w:p>
      <w:pPr>
        <w:pStyle w:val="2"/>
        <w:spacing w:before="320" w:after="120" w:line="288" w:lineRule="auto"/>
        <w:ind w:left="0"/>
        <w:jc w:val="left"/>
        <w:outlineLvl w:val="1"/>
      </w:pPr>
      <w:bookmarkStart w:name="heading_3" w:id="3"/>
      <w:r>
        <w:rPr>
          <w:rFonts w:eastAsia="等线" w:ascii="Arial" w:cs="Arial" w:hAnsi="Arial"/>
          <w:color w:val="3370ff"/>
          <w:sz w:val="32"/>
        </w:rPr>
        <w:t xml:space="preserve">2.2 </w:t>
      </w:r>
      <w:r>
        <w:rPr>
          <w:rFonts w:eastAsia="等线" w:ascii="Arial" w:cs="Arial" w:hAnsi="Arial"/>
          <w:b w:val="true"/>
          <w:sz w:val="32"/>
        </w:rPr>
        <w:t>進口商所背負的潛在風險</w:t>
      </w:r>
      <w:bookmarkEnd w:id="3"/>
    </w:p>
    <w:p>
      <w:pPr>
        <w:spacing w:before="120" w:after="120" w:line="288" w:lineRule="auto"/>
        <w:ind w:left="0"/>
        <w:jc w:val="left"/>
      </w:pPr>
      <w:r>
        <w:rPr>
          <w:rFonts w:eastAsia="等线" w:ascii="Arial" w:cs="Arial" w:hAnsi="Arial"/>
          <w:sz w:val="22"/>
        </w:rPr>
        <w:t>若進口商沒有每天好好監控這些內容將會引發以下幾點嚴重問題，以下根據嚴重程度由輕排到重。</w:t>
      </w:r>
    </w:p>
    <w:p>
      <w:pPr>
        <w:numPr>
          <w:numId w:val="6"/>
        </w:numPr>
        <w:spacing w:before="120" w:after="120" w:line="288" w:lineRule="auto"/>
        <w:ind w:left="0"/>
        <w:jc w:val="left"/>
      </w:pPr>
      <w:r>
        <w:rPr>
          <w:rFonts w:eastAsia="等线" w:ascii="Arial" w:cs="Arial" w:hAnsi="Arial"/>
          <w:sz w:val="22"/>
        </w:rPr>
        <w:t>殃及貨船到港口清關流程，每多停靠港口一天，就要多繳一筆港口的維護費</w:t>
      </w:r>
    </w:p>
    <w:p>
      <w:pPr>
        <w:numPr>
          <w:numId w:val="7"/>
        </w:numPr>
        <w:spacing w:before="120" w:after="120" w:line="288" w:lineRule="auto"/>
        <w:ind w:left="0"/>
        <w:jc w:val="left"/>
      </w:pPr>
      <w:r>
        <w:rPr>
          <w:rFonts w:eastAsia="等线" w:ascii="Arial" w:cs="Arial" w:hAnsi="Arial"/>
          <w:sz w:val="22"/>
        </w:rPr>
        <w:t>若沒有即時算對關稅，則可能直接導致需要支付高昂罰款。</w:t>
      </w:r>
    </w:p>
    <w:p>
      <w:pPr>
        <w:numPr>
          <w:numId w:val="8"/>
        </w:numPr>
        <w:spacing w:before="120" w:after="120" w:line="288" w:lineRule="auto"/>
        <w:ind w:left="0"/>
        <w:jc w:val="left"/>
      </w:pPr>
      <w:r>
        <w:rPr>
          <w:rFonts w:eastAsia="等线" w:ascii="Arial" w:cs="Arial" w:hAnsi="Arial"/>
          <w:sz w:val="22"/>
        </w:rPr>
        <w:t>貨品若有時效性，則可能會導致整筆貨櫃的價值全部歸0 ，甚至殃及到 其他與該進口商相關的下游廠商，導致最後需要支付不僅僅是政府罰款，還有與合作夥伴的相關賠償金。</w:t>
      </w:r>
    </w:p>
    <w:p>
      <w:pPr>
        <w:spacing w:before="120" w:after="120" w:line="288" w:lineRule="auto"/>
        <w:ind w:left="0"/>
        <w:jc w:val="left"/>
      </w:pPr>
      <w:r>
        <w:rPr>
          <w:rFonts w:eastAsia="等线" w:ascii="Arial" w:cs="Arial" w:hAnsi="Arial"/>
          <w:sz w:val="22"/>
        </w:rPr>
        <w:t>(如食品類，沒有即時算好關稅、HTS CODE、並備妥相關證書，則海關很有可能會拖住你，時間拖得越久，食品腐壞的可能性會越高)</w:t>
      </w:r>
    </w:p>
    <w:p>
      <w:pPr>
        <w:spacing w:before="120" w:after="120" w:line="288" w:lineRule="auto"/>
        <w:ind w:left="0"/>
        <w:jc w:val="left"/>
      </w:pPr>
    </w:p>
    <w:p>
      <w:pPr>
        <w:pStyle w:val="2"/>
        <w:spacing w:before="320" w:after="120" w:line="288" w:lineRule="auto"/>
        <w:ind w:left="0"/>
        <w:jc w:val="left"/>
        <w:outlineLvl w:val="1"/>
      </w:pPr>
      <w:bookmarkStart w:name="heading_4" w:id="4"/>
      <w:r>
        <w:rPr>
          <w:rFonts w:eastAsia="等线" w:ascii="Arial" w:cs="Arial" w:hAnsi="Arial"/>
          <w:color w:val="3370ff"/>
          <w:sz w:val="32"/>
        </w:rPr>
        <w:t xml:space="preserve">2.3 </w:t>
      </w:r>
      <w:r>
        <w:rPr>
          <w:rFonts w:eastAsia="等线" w:ascii="Arial" w:cs="Arial" w:hAnsi="Arial"/>
          <w:b w:val="true"/>
          <w:sz w:val="32"/>
        </w:rPr>
        <w:t>我們本次的目標</w:t>
      </w:r>
      <w:bookmarkEnd w:id="4"/>
    </w:p>
    <w:p>
      <w:pPr>
        <w:numPr>
          <w:numId w:val="9"/>
        </w:numPr>
        <w:spacing w:before="120" w:after="120" w:line="288" w:lineRule="auto"/>
        <w:ind w:left="0"/>
        <w:jc w:val="left"/>
      </w:pPr>
      <w:r>
        <w:rPr>
          <w:rFonts w:eastAsia="等线" w:ascii="Arial" w:cs="Arial" w:hAnsi="Arial"/>
          <w:sz w:val="22"/>
        </w:rPr>
        <w:t>提供用戶"具備針對性、客製化的" 數據整理，讓用戶不用每天都在龐大的消息更新中找到屬於自己的那份</w:t>
      </w:r>
    </w:p>
    <w:p>
      <w:pPr>
        <w:numPr>
          <w:numId w:val="10"/>
        </w:numPr>
        <w:spacing w:before="120" w:after="120" w:line="288" w:lineRule="auto"/>
        <w:ind w:left="0"/>
        <w:jc w:val="left"/>
      </w:pPr>
      <w:r>
        <w:rPr>
          <w:rFonts w:eastAsia="等线" w:ascii="Arial" w:cs="Arial" w:hAnsi="Arial"/>
          <w:color w:val="d83931"/>
          <w:sz w:val="22"/>
          <w:shd w:fill="fff67a"/>
        </w:rPr>
        <w:t>替用戶整理好不同類別的行動建議</w:t>
      </w:r>
      <w:r>
        <w:rPr>
          <w:rFonts w:eastAsia="等线" w:ascii="Arial" w:cs="Arial" w:hAnsi="Arial"/>
          <w:sz w:val="22"/>
        </w:rPr>
        <w:t>，讓用戶可以省去檢查自家產品到底該如何應變變化所花費的時間以及成本。</w:t>
      </w:r>
    </w:p>
    <w:p>
      <w:pPr>
        <w:spacing w:before="120" w:after="120" w:line="288" w:lineRule="auto"/>
        <w:ind w:left="0"/>
        <w:jc w:val="left"/>
      </w:pPr>
    </w:p>
    <w:p>
      <w:pPr>
        <w:pStyle w:val="2"/>
        <w:spacing w:before="320" w:after="120" w:line="288" w:lineRule="auto"/>
        <w:ind w:left="0"/>
        <w:jc w:val="left"/>
        <w:outlineLvl w:val="1"/>
      </w:pPr>
      <w:bookmarkStart w:name="heading_5" w:id="5"/>
      <w:r>
        <w:rPr>
          <w:rFonts w:eastAsia="等线" w:ascii="Arial" w:cs="Arial" w:hAnsi="Arial"/>
          <w:color w:val="3370ff"/>
          <w:sz w:val="32"/>
        </w:rPr>
        <w:t xml:space="preserve">2.4 </w:t>
      </w:r>
      <w:r>
        <w:rPr>
          <w:rFonts w:eastAsia="等线" w:ascii="Arial" w:cs="Arial" w:hAnsi="Arial"/>
          <w:b w:val="true"/>
          <w:sz w:val="32"/>
        </w:rPr>
        <w:t>ROI 分析</w:t>
      </w:r>
      <w:bookmarkEnd w:id="5"/>
    </w:p>
    <w:tbl>
      <w:tblPr>
        <w:tblW w:w="0" w:type="auto"/>
        <w:tblInd w:w="0" w:type="dxa"/>
        <w:tblBorders>
          <w:top w:val="single" w:color=""/>
          <w:left w:val="single" w:color=""/>
          <w:bottom w:val="single" w:color=""/>
          <w:right w:val="single" w:color=""/>
          <w:insideH w:val="single" w:color=""/>
          <w:insideV w:val="single" w:color=""/>
        </w:tblBorders>
        <w:tblLayout w:type="fixed"/>
      </w:tblPr>
      <w:tblGrid>
        <w:gridCol w:w="8280"/>
      </w:tblGrid>
      <w:tr>
        <w:tc>
          <w:tcPr>
            <w:tcW w:w="8280" w:type="dxa"/>
            <w:shd w:color="auto" w:val="clear" w:fill="fefff0"/>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本功能解決進口商兩大成本：每日 3 至 4 小時的政策監控人力，以及錯過更新導致的罰款 / 滯港 / 補稅損失</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ROI 結論</w:t>
            </w:r>
            <w:r>
              <w:rPr>
                <w:rFonts w:eastAsia="等线" w:ascii="Arial" w:cs="Arial" w:hAnsi="Arial"/>
                <w:sz w:val="22"/>
              </w:rPr>
              <w:br/>
            </w:r>
            <w:r>
              <w:rPr>
                <w:rFonts w:eastAsia="等线" w:ascii="Arial" w:cs="Arial" w:hAnsi="Arial"/>
                <w:sz w:val="22"/>
              </w:rPr>
              <w:t>光是monitor and actions 功能，在中等情境下，單一進口商年度即可在本功能上獲得 $290K 的綜合效益（$250K 損失避免 + $40K 工時節省）。</w:t>
            </w:r>
          </w:p>
          <w:p>
            <w:pPr>
              <w:spacing w:before="120" w:after="120" w:line="288" w:lineRule="auto"/>
              <w:ind w:left="0"/>
              <w:jc w:val="left"/>
            </w:pPr>
          </w:p>
          <w:p>
            <w:pPr>
              <w:spacing w:before="120" w:after="120" w:line="288" w:lineRule="auto"/>
              <w:ind w:left="0"/>
              <w:jc w:val="left"/>
            </w:pPr>
            <w:r>
              <w:rPr>
                <w:rFonts w:eastAsia="等线" w:ascii="Arial" w:cs="Arial" w:hAnsi="Arial"/>
                <w:sz w:val="22"/>
              </w:rPr>
              <w:t>對比 GingerControl (目前有classification + product sandbox 外加monitor and actions為一套賣給BLB ) 對 BLB 的月費 $7,500 / 年，回收倍數達 38.7x。即使保守情境下也有 5.9x 回收。</w:t>
            </w:r>
          </w:p>
        </w:tc>
      </w:tr>
    </w:tbl>
    <w:p>
      <w:pPr>
        <w:pStyle w:val="3"/>
        <w:spacing w:before="300" w:after="120" w:line="288" w:lineRule="auto"/>
        <w:ind w:left="0"/>
        <w:jc w:val="left"/>
        <w:outlineLvl w:val="2"/>
      </w:pPr>
      <w:bookmarkStart w:name="heading_6" w:id="6"/>
      <w:r>
        <w:rPr>
          <w:rFonts w:eastAsia="等线" w:ascii="Arial" w:cs="Arial" w:hAnsi="Arial"/>
          <w:color w:val="3370ff"/>
          <w:sz w:val="30"/>
        </w:rPr>
        <w:t xml:space="preserve">2.4.1 </w:t>
      </w:r>
      <w:r>
        <w:rPr>
          <w:rFonts w:eastAsia="等线" w:ascii="Arial" w:cs="Arial" w:hAnsi="Arial"/>
          <w:b w:val="true"/>
          <w:sz w:val="30"/>
        </w:rPr>
        <w:t>共同假設</w:t>
      </w:r>
      <w:bookmarkEnd w:id="6"/>
    </w:p>
    <w:p>
      <w:pPr>
        <w:numPr>
          <w:numId w:val="11"/>
        </w:numPr>
        <w:spacing w:before="120" w:after="120" w:line="288" w:lineRule="auto"/>
        <w:ind w:left="0"/>
        <w:jc w:val="left"/>
      </w:pPr>
      <w:r>
        <w:rPr>
          <w:rFonts w:eastAsia="等线" w:ascii="Arial" w:cs="Arial" w:hAnsi="Arial"/>
          <w:sz w:val="22"/>
        </w:rPr>
        <w:t>進口商每天監控 + 歸納時間：3.5 小時（PRD 2.1 區間中位數）</w:t>
      </w:r>
    </w:p>
    <w:p>
      <w:pPr>
        <w:numPr>
          <w:numId w:val="12"/>
        </w:numPr>
        <w:spacing w:before="120" w:after="120" w:line="288" w:lineRule="auto"/>
        <w:ind w:left="0"/>
        <w:jc w:val="left"/>
      </w:pPr>
      <w:r>
        <w:rPr>
          <w:rFonts w:eastAsia="等线" w:ascii="Arial" w:cs="Arial" w:hAnsi="Arial"/>
          <w:sz w:val="22"/>
        </w:rPr>
        <w:t>每年工作天：220 天</w:t>
      </w:r>
    </w:p>
    <w:p>
      <w:pPr>
        <w:numPr>
          <w:numId w:val="13"/>
        </w:numPr>
        <w:spacing w:before="120" w:after="120" w:line="288" w:lineRule="auto"/>
        <w:ind w:left="0"/>
        <w:jc w:val="left"/>
      </w:pPr>
      <w:r>
        <w:rPr>
          <w:rFonts w:eastAsia="等线" w:ascii="Arial" w:cs="Arial" w:hAnsi="Arial"/>
          <w:sz w:val="22"/>
        </w:rPr>
        <w:t>進口商合規 ops 員工 fully-loaded hourly rate：$45（保守）／ $75（中等）／ $120（樂觀，等同貿易顧問費率）</w:t>
      </w:r>
    </w:p>
    <w:p>
      <w:pPr>
        <w:numPr>
          <w:numId w:val="14"/>
        </w:numPr>
        <w:spacing w:before="120" w:after="120" w:line="288" w:lineRule="auto"/>
        <w:ind w:left="0"/>
        <w:jc w:val="left"/>
      </w:pPr>
      <w:r>
        <w:rPr>
          <w:rFonts w:eastAsia="等线" w:ascii="Arial" w:cs="Arial" w:hAnsi="Arial"/>
          <w:sz w:val="22"/>
        </w:rPr>
        <w:t>監控失敗導致罰款 / demurrage 的觸發率：2%（保守）／ 5%（中等）／ 10%（樂觀，符合 2025 政策密集變動現況）</w:t>
      </w:r>
    </w:p>
    <w:p>
      <w:pPr>
        <w:numPr>
          <w:numId w:val="15"/>
        </w:numPr>
        <w:spacing w:before="120" w:after="120" w:line="288" w:lineRule="auto"/>
        <w:ind w:left="0"/>
        <w:jc w:val="left"/>
      </w:pPr>
      <w:r>
        <w:rPr>
          <w:rFonts w:eastAsia="等线" w:ascii="Arial" w:cs="Arial" w:hAnsi="Arial"/>
          <w:sz w:val="22"/>
        </w:rPr>
        <w:t>平均單次失誤金額：$10K（保守，僅 demurrage 1 櫃 7 天 + 些微補稅）／ $50K（中等，CBP audit 平均 $260K 的 1/5）／ $260K（樂觀，CBP FY2024 audit 平均值）</w:t>
      </w:r>
    </w:p>
    <w:p>
      <w:pPr>
        <w:pStyle w:val="3"/>
        <w:spacing w:before="300" w:after="120" w:line="288" w:lineRule="auto"/>
        <w:ind w:left="0"/>
        <w:jc w:val="left"/>
        <w:outlineLvl w:val="2"/>
      </w:pPr>
      <w:bookmarkStart w:name="heading_7" w:id="7"/>
      <w:r>
        <w:rPr>
          <w:rFonts w:eastAsia="等线" w:ascii="Arial" w:cs="Arial" w:hAnsi="Arial"/>
          <w:color w:val="3370ff"/>
          <w:sz w:val="30"/>
        </w:rPr>
        <w:t xml:space="preserve">2.4.2 </w:t>
      </w:r>
      <w:r>
        <w:rPr>
          <w:rFonts w:eastAsia="等线" w:ascii="Arial" w:cs="Arial" w:hAnsi="Arial"/>
          <w:b w:val="true"/>
          <w:sz w:val="30"/>
        </w:rPr>
        <w:t>年度時間節省（單一進口商）</w:t>
      </w:r>
      <w:bookmarkEnd w:id="7"/>
    </w:p>
    <w:p>
      <w:pPr>
        <w:spacing w:before="120" w:after="120" w:line="288" w:lineRule="auto"/>
        <w:ind w:left="0"/>
        <w:jc w:val="left"/>
      </w:pPr>
      <w:r>
        <w:rPr>
          <w:rFonts w:eastAsia="等线" w:ascii="Arial" w:cs="Arial" w:hAnsi="Arial"/>
          <w:sz w:val="22"/>
        </w:rPr>
        <w:t>監控功能假設可消除 70% 的人工監控時間（對齊 Forrester TEI Thomson Reuters 的 50% 人工審查節省，再加上「客製化過濾」帶來的額外效率）。</w:t>
      </w:r>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77pt;mso-width-percent:0;mso-height-percent:0;mso-width-percent:0;mso-height-percent:0" type="#_x0000_t75" o:ole="">
            <v:imagedata r:id="rId6" o:title=""/>
          </v:shape>
          <o:OLEObject DrawAspect="Icon" ObjectID="_1718471219" ProgID="Excel.Sheet.12" ShapeID="_x0000_i1025" Type="Embed" r:id="rId5"/>
        </w:object>
      </w:r>
    </w:p>
    <w:p>
      <w:pPr>
        <w:spacing w:after="120"/>
        <w:ind w:left="0"/>
        <w:jc w:val="center"/>
      </w:pPr>
      <w:r>
        <w:rPr>
          <w:rFonts w:eastAsia="等线" w:ascii="Arial" w:cs="Arial" w:hAnsi="Arial"/>
          <w:b w:val="true"/>
          <w:sz w:val="22"/>
        </w:rPr>
        <w:t>点击图片可查看完整电子表格</w:t>
      </w:r>
    </w:p>
    <w:p>
      <w:pPr>
        <w:pStyle w:val="3"/>
        <w:spacing w:before="300" w:after="120" w:line="288" w:lineRule="auto"/>
        <w:ind w:left="0"/>
        <w:jc w:val="left"/>
        <w:outlineLvl w:val="2"/>
      </w:pPr>
      <w:bookmarkStart w:name="heading_8" w:id="8"/>
      <w:r>
        <w:rPr>
          <w:rFonts w:eastAsia="等线" w:ascii="Arial" w:cs="Arial" w:hAnsi="Arial"/>
          <w:color w:val="3370ff"/>
          <w:sz w:val="30"/>
        </w:rPr>
        <w:t xml:space="preserve">2.4.3 </w:t>
      </w:r>
      <w:r>
        <w:rPr>
          <w:rFonts w:eastAsia="等线" w:ascii="Arial" w:cs="Arial" w:hAnsi="Arial"/>
          <w:b w:val="true"/>
          <w:sz w:val="30"/>
        </w:rPr>
        <w:t>年度避免損失（單一進口商）</w:t>
      </w:r>
      <w:bookmarkEnd w:id="8"/>
    </w:p>
    <w:p>
      <w:pPr>
        <w:spacing w:before="120" w:after="120" w:line="288" w:lineRule="auto"/>
        <w:ind w:left="0"/>
      </w:pPr>
      <w:r>
        <w:object>
          <v:shape id="_x0000_i1026" style="width:414pt;height:77pt;mso-width-percent:0;mso-height-percent:0;mso-width-percent:0;mso-height-percent:0" type="#_x0000_t75" o:ole="">
            <v:imagedata r:id="rId8" o:title=""/>
          </v:shape>
          <o:OLEObject DrawAspect="Icon" ObjectID="_1718471220" ProgID="Excel.Sheet.12" ShapeID="_x0000_i1026" Type="Embed" r:id="rId7"/>
        </w:object>
      </w:r>
    </w:p>
    <w:p>
      <w:pPr>
        <w:spacing w:after="120"/>
        <w:ind w:left="0"/>
        <w:jc w:val="center"/>
      </w:pPr>
      <w:r>
        <w:rPr>
          <w:rFonts w:eastAsia="等线" w:ascii="Arial" w:cs="Arial" w:hAnsi="Arial"/>
          <w:b w:val="true"/>
          <w:sz w:val="22"/>
        </w:rPr>
        <w:t>点击图片可查看完整电子表格</w:t>
      </w:r>
    </w:p>
    <w:p>
      <w:pPr>
        <w:pStyle w:val="3"/>
        <w:spacing w:before="300" w:after="120" w:line="288" w:lineRule="auto"/>
        <w:ind w:left="0"/>
        <w:jc w:val="left"/>
        <w:outlineLvl w:val="2"/>
      </w:pPr>
      <w:bookmarkStart w:name="heading_9" w:id="9"/>
      <w:r>
        <w:rPr>
          <w:rFonts w:eastAsia="等线" w:ascii="Arial" w:cs="Arial" w:hAnsi="Arial"/>
          <w:color w:val="3370ff"/>
          <w:sz w:val="30"/>
        </w:rPr>
        <w:t xml:space="preserve">2.4.4 </w:t>
      </w:r>
      <w:r>
        <w:rPr>
          <w:rFonts w:eastAsia="等线" w:ascii="Arial" w:cs="Arial" w:hAnsi="Arial"/>
          <w:b w:val="true"/>
          <w:sz w:val="30"/>
        </w:rPr>
        <w:t>單一進口商年度 ROI（對比 BLB 級訂閱 $7,500 / 年）</w:t>
      </w:r>
      <w:bookmarkEnd w:id="9"/>
    </w:p>
    <w:p>
      <w:pPr>
        <w:spacing w:before="120" w:after="120" w:line="288" w:lineRule="auto"/>
        <w:ind w:left="0"/>
      </w:pPr>
      <w:r>
        <w:object>
          <v:shape id="_x0000_i1027" style="width:414pt;height:90pt;mso-width-percent:0;mso-height-percent:0;mso-width-percent:0;mso-height-percent:0" type="#_x0000_t75" o:ole="">
            <v:imagedata r:id="rId10" o:title=""/>
          </v:shape>
          <o:OLEObject DrawAspect="Icon" ObjectID="_1718471221" ProgID="Excel.Sheet.12" ShapeID="_x0000_i1027" Type="Embed" r:id="rId9"/>
        </w:object>
      </w:r>
    </w:p>
    <w:p>
      <w:pPr>
        <w:spacing w:after="120"/>
        <w:ind w:left="0"/>
        <w:jc w:val="center"/>
      </w:pPr>
      <w:r>
        <w:rPr>
          <w:rFonts w:eastAsia="等线" w:ascii="Arial" w:cs="Arial" w:hAnsi="Arial"/>
          <w:b w:val="true"/>
          <w:sz w:val="22"/>
        </w:rPr>
        <w:t>点击图片可查看完整电子表格</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對 BLB 級客戶（年費 $7,500），即使在最保守情境下回收倍數仍達 5.9x，量級遠超 SaaS 採購決策邊界（業界 benchmark 通常 3x 即可成立）。對個人 Pro 客戶倍數更高。</w:t>
            </w:r>
          </w:p>
        </w:tc>
      </w:tr>
    </w:tbl>
    <w:p>
      <w:pPr>
        <w:pStyle w:val="3"/>
        <w:spacing w:before="300" w:after="120" w:line="288" w:lineRule="auto"/>
        <w:ind w:left="0"/>
        <w:jc w:val="left"/>
        <w:outlineLvl w:val="2"/>
      </w:pPr>
      <w:bookmarkStart w:name="heading_10" w:id="10"/>
      <w:r>
        <w:rPr>
          <w:rFonts w:eastAsia="等线" w:ascii="Arial" w:cs="Arial" w:hAnsi="Arial"/>
          <w:color w:val="3370ff"/>
          <w:sz w:val="30"/>
        </w:rPr>
        <w:t xml:space="preserve">2.4.5 </w:t>
      </w:r>
      <w:r>
        <w:rPr>
          <w:rFonts w:eastAsia="等线" w:ascii="Arial" w:cs="Arial" w:hAnsi="Arial"/>
          <w:b w:val="true"/>
          <w:sz w:val="30"/>
        </w:rPr>
        <w:t>市場 TAM 推算</w:t>
      </w:r>
      <w:bookmarkEnd w:id="10"/>
    </w:p>
    <w:p>
      <w:pPr>
        <w:spacing w:before="120" w:after="120" w:line="288" w:lineRule="auto"/>
        <w:ind w:left="0"/>
        <w:jc w:val="left"/>
      </w:pPr>
      <w:r>
        <w:rPr>
          <w:rFonts w:eastAsia="等线" w:ascii="Arial" w:cs="Arial" w:hAnsi="Arial"/>
          <w:b w:val="true"/>
          <w:sz w:val="22"/>
        </w:rPr>
        <w:t>TAM 母體</w:t>
      </w:r>
      <w:r>
        <w:rPr>
          <w:rFonts w:eastAsia="等线" w:ascii="Arial" w:cs="Arial" w:hAnsi="Arial"/>
          <w:sz w:val="22"/>
        </w:rPr>
        <w:t>：美國小進口商家數 236,045（US Chamber）</w:t>
      </w:r>
    </w:p>
    <w:p>
      <w:pPr>
        <w:spacing w:before="120" w:after="120" w:line="288" w:lineRule="auto"/>
        <w:ind w:left="0"/>
        <w:jc w:val="left"/>
      </w:pPr>
      <w:r>
        <w:rPr>
          <w:rFonts w:eastAsia="等线" w:ascii="Arial" w:cs="Arial" w:hAnsi="Arial"/>
          <w:b w:val="true"/>
          <w:sz w:val="22"/>
        </w:rPr>
        <w:t>情境 A｜全部走 BLB 級企業價（$7,500 / 年）</w:t>
      </w:r>
      <w:r>
        <w:rPr>
          <w:rFonts w:eastAsia="等线" w:ascii="Arial" w:cs="Arial" w:hAnsi="Arial"/>
          <w:sz w:val="22"/>
        </w:rPr>
        <w:t xml:space="preserve"> 這是 BLB 這類有客製需求的中大型進口商方案。</w:t>
      </w:r>
    </w:p>
    <w:p>
      <w:pPr>
        <w:numPr>
          <w:numId w:val="16"/>
        </w:numPr>
        <w:spacing w:before="120" w:after="120" w:line="288" w:lineRule="auto"/>
        <w:ind w:left="0"/>
        <w:jc w:val="left"/>
      </w:pPr>
      <w:r>
        <w:rPr>
          <w:rFonts w:eastAsia="等线" w:ascii="Arial" w:cs="Arial" w:hAnsi="Arial"/>
          <w:sz w:val="22"/>
        </w:rPr>
        <w:t>5 年滲透 1%（2,360 家）：</w:t>
      </w:r>
      <w:r>
        <w:rPr>
          <w:rFonts w:eastAsia="等线" w:ascii="Arial" w:cs="Arial" w:hAnsi="Arial"/>
          <w:b w:val="true"/>
          <w:sz w:val="22"/>
        </w:rPr>
        <w:t>$17.7M ARR</w:t>
      </w:r>
    </w:p>
    <w:p>
      <w:pPr>
        <w:numPr>
          <w:numId w:val="17"/>
        </w:numPr>
        <w:spacing w:before="120" w:after="120" w:line="288" w:lineRule="auto"/>
        <w:ind w:left="0"/>
        <w:jc w:val="left"/>
      </w:pPr>
      <w:r>
        <w:rPr>
          <w:rFonts w:eastAsia="等线" w:ascii="Arial" w:cs="Arial" w:hAnsi="Arial"/>
          <w:sz w:val="22"/>
        </w:rPr>
        <w:t>5 年滲透 5%（11,800 家）：</w:t>
      </w:r>
      <w:r>
        <w:rPr>
          <w:rFonts w:eastAsia="等线" w:ascii="Arial" w:cs="Arial" w:hAnsi="Arial"/>
          <w:b w:val="true"/>
          <w:sz w:val="22"/>
        </w:rPr>
        <w:t>$88.5M ARR</w:t>
      </w:r>
    </w:p>
    <w:p>
      <w:pPr>
        <w:spacing w:before="120" w:after="120" w:line="288" w:lineRule="auto"/>
        <w:ind w:left="0"/>
        <w:jc w:val="left"/>
      </w:pPr>
      <w:r>
        <w:rPr>
          <w:rFonts w:eastAsia="等线" w:ascii="Arial" w:cs="Arial" w:hAnsi="Arial"/>
          <w:b w:val="true"/>
          <w:sz w:val="22"/>
        </w:rPr>
        <w:t>情境 B｜混合定價（10% 走 BLB 級 / 90% 走 Pro）</w:t>
      </w:r>
      <w:r>
        <w:rPr>
          <w:rFonts w:eastAsia="等线" w:ascii="Arial" w:cs="Arial" w:hAnsi="Arial"/>
          <w:sz w:val="22"/>
        </w:rPr>
        <w:t xml:space="preserve"> 更貼近實際 GTM 後的客戶結構。</w:t>
      </w:r>
    </w:p>
    <w:p>
      <w:pPr>
        <w:numPr>
          <w:numId w:val="18"/>
        </w:numPr>
        <w:spacing w:before="120" w:after="120" w:line="288" w:lineRule="auto"/>
        <w:ind w:left="0"/>
        <w:jc w:val="left"/>
      </w:pPr>
      <w:r>
        <w:rPr>
          <w:rFonts w:eastAsia="等线" w:ascii="Arial" w:cs="Arial" w:hAnsi="Arial"/>
          <w:sz w:val="22"/>
        </w:rPr>
        <w:t xml:space="preserve">1% 滲透（2,360 家）：236 × $7,500 + 2,124 × $1,548 = </w:t>
      </w:r>
      <w:r>
        <w:rPr>
          <w:rFonts w:eastAsia="等线" w:ascii="Arial" w:cs="Arial" w:hAnsi="Arial"/>
          <w:b w:val="true"/>
          <w:sz w:val="22"/>
        </w:rPr>
        <w:t>$5.06M ARR</w:t>
      </w:r>
    </w:p>
    <w:p>
      <w:pPr>
        <w:numPr>
          <w:numId w:val="19"/>
        </w:numPr>
        <w:spacing w:before="120" w:after="120" w:line="288" w:lineRule="auto"/>
        <w:ind w:left="0"/>
        <w:jc w:val="left"/>
      </w:pPr>
      <w:r>
        <w:rPr>
          <w:rFonts w:eastAsia="等线" w:ascii="Arial" w:cs="Arial" w:hAnsi="Arial"/>
          <w:sz w:val="22"/>
        </w:rPr>
        <w:t xml:space="preserve">5% 滲透（11,800 家）：1,180 × $7,500 + 10,620 × $1,548 = </w:t>
      </w:r>
      <w:r>
        <w:rPr>
          <w:rFonts w:eastAsia="等线" w:ascii="Arial" w:cs="Arial" w:hAnsi="Arial"/>
          <w:b w:val="true"/>
          <w:sz w:val="22"/>
        </w:rPr>
        <w:t>$25.3M ARR</w:t>
      </w:r>
    </w:p>
    <w:p>
      <w:pPr>
        <w:spacing w:before="120" w:after="120" w:line="288" w:lineRule="auto"/>
        <w:ind w:left="0"/>
        <w:jc w:val="left"/>
      </w:pPr>
      <w:r>
        <w:rPr>
          <w:rFonts w:eastAsia="等线" w:ascii="Arial" w:cs="Arial" w:hAnsi="Arial"/>
          <w:sz w:val="22"/>
        </w:rPr>
        <w:t>對應全球 Trade Compliance SaaS 市場 2029 預估 $3.09B，這個切片是個合理的入場規模。</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1" w:id="11"/>
      <w:r>
        <w:rPr>
          <w:rFonts w:eastAsia="等线" w:ascii="Arial" w:cs="Arial" w:hAnsi="Arial"/>
          <w:color w:val="3370ff"/>
          <w:sz w:val="30"/>
        </w:rPr>
        <w:t xml:space="preserve">2.4.6 </w:t>
      </w:r>
      <w:r>
        <w:rPr>
          <w:rFonts w:eastAsia="等线" w:ascii="Arial" w:cs="Arial" w:hAnsi="Arial"/>
          <w:b w:val="true"/>
          <w:sz w:val="30"/>
        </w:rPr>
        <w:t>其他參考資料</w:t>
      </w:r>
      <w:bookmarkEnd w:id="11"/>
    </w:p>
    <w:p>
      <w:pPr>
        <w:numPr>
          <w:numId w:val="20"/>
        </w:numPr>
        <w:spacing w:before="120" w:after="120" w:line="288" w:lineRule="auto"/>
        <w:ind w:left="0"/>
        <w:jc w:val="left"/>
      </w:pPr>
      <w:r>
        <w:rPr>
          <w:rFonts w:eastAsia="等线" w:ascii="Arial" w:cs="Arial" w:hAnsi="Arial"/>
          <w:b w:val="true"/>
          <w:sz w:val="22"/>
        </w:rPr>
        <w:t>避免金額損失</w:t>
      </w:r>
      <w:r>
        <w:rPr>
          <w:rFonts w:eastAsia="等线" w:ascii="Arial" w:cs="Arial" w:hAnsi="Arial"/>
          <w:sz w:val="22"/>
        </w:rPr>
        <w:br/>
        <w:t>數據錨點：</w:t>
        <w:br/>
        <w:t>1. 19 USC § 1592 規定 HTS 誤分類最高罰款為「過失 2 倍關稅」「重過失 4 倍關稅」「詐欺 4 倍進口價值」。</w:t>
        <w:br/>
        <w:t>2. CBP FY2024 完成 435 次 audit，總罰金 $114.5M，平均單次 $260K。</w:t>
        <w:br/>
        <w:t>3. Ford Transit Connect 案因車輛分類誤判，4 年累計 $365M 和解。</w:t>
        <w:br/>
        <w:t>4. 美國主要港口 demurrage 第 1 至 4 天 $100 / 天，第 5 至 9 天 $150 / 天，單櫃滯留 7 天即增 $700 至 $1,050 成本。</w:t>
        <w:br/>
        <w:t>5. Center for American Progress 數據：2024/03 至 2025/02 平均每家小進口商被多收 $306K 關稅成本。</w:t>
        <w:br/>
        <w:br/>
      </w:r>
      <w:r>
        <w:rPr>
          <w:rFonts w:eastAsia="等线" w:ascii="Arial" w:cs="Arial" w:hAnsi="Arial"/>
          <w:b w:val="true"/>
          <w:sz w:val="22"/>
        </w:rPr>
        <w:t>中等情境：每年 100 批貨，5% 觸發率，平均單次失誤 $50K，年度可避免損失約 $250K。</w:t>
      </w:r>
    </w:p>
    <w:p>
      <w:pPr>
        <w:spacing w:before="120" w:after="120" w:line="288" w:lineRule="auto"/>
        <w:ind w:left="0"/>
        <w:jc w:val="left"/>
      </w:pPr>
    </w:p>
    <w:p>
      <w:pPr>
        <w:numPr>
          <w:numId w:val="21"/>
        </w:numPr>
        <w:spacing w:before="120" w:after="120" w:line="288" w:lineRule="auto"/>
        <w:ind w:left="0"/>
        <w:jc w:val="left"/>
      </w:pPr>
      <w:r>
        <w:rPr>
          <w:rFonts w:eastAsia="等线" w:ascii="Arial" w:cs="Arial" w:hAnsi="Arial"/>
          <w:b w:val="true"/>
          <w:sz w:val="22"/>
        </w:rPr>
        <w:t>節省工時</w:t>
      </w:r>
      <w:r>
        <w:rPr>
          <w:rFonts w:eastAsia="等线" w:ascii="Arial" w:cs="Arial" w:hAnsi="Arial"/>
          <w:sz w:val="22"/>
        </w:rPr>
        <w:br/>
        <w:br/>
        <w:t>數據錨點：</w:t>
        <w:br/>
        <w:t>1. Fortune 2025/12 引述 OMSutra CEO：每批貨關稅行政從 8 至 10 小時上升至 10 至 15 小時。</w:t>
        <w:br/>
        <w:t>2. NBER 30691（Trebbi &amp; Zhang 2022）：美國法規合規成本佔薪資 1.34%。</w:t>
        <w:br/>
        <w:t>3. Forrester TEI Thomson Reuters ONESOURCE：自動化使人工審查時間下降 50%，誤判下降 75%，3 年 ROI 199%。</w:t>
        <w:br/>
        <w:t>4. EY 報告：技術導入後處理成本下降 20 至 30%。</w:t>
        <w:br/>
        <w:br/>
      </w:r>
      <w:r>
        <w:rPr>
          <w:rFonts w:eastAsia="等线" w:ascii="Arial" w:cs="Arial" w:hAnsi="Arial"/>
          <w:b w:val="true"/>
          <w:sz w:val="22"/>
        </w:rPr>
        <w:t>GingerControl Monitoring 預期消除 70% 的人工監控時間（每日 3.5 小時 至 1.05 小時），中等情境下，以 $75 / 小時 fully-loaded 員工成本計算，年度節省 $40K。</w:t>
      </w:r>
      <w:r>
        <w:rPr>
          <w:rFonts w:eastAsia="等线" w:ascii="Arial" w:cs="Arial" w:hAnsi="Arial"/>
          <w:sz w:val="22"/>
        </w:rPr>
        <w:br/>
      </w:r>
    </w:p>
    <w:p>
      <w:pPr>
        <w:numPr>
          <w:numId w:val="22"/>
        </w:numPr>
        <w:spacing w:before="120" w:after="120" w:line="288" w:lineRule="auto"/>
        <w:ind w:left="0"/>
        <w:jc w:val="left"/>
      </w:pPr>
      <w:r>
        <w:rPr>
          <w:rFonts w:eastAsia="等线" w:ascii="Arial" w:cs="Arial" w:hAnsi="Arial"/>
          <w:b w:val="true"/>
          <w:sz w:val="22"/>
        </w:rPr>
        <w:t>為什麼現在做</w:t>
      </w:r>
    </w:p>
    <w:p>
      <w:pPr>
        <w:numPr>
          <w:numId w:val="23"/>
        </w:numPr>
        <w:spacing w:before="120" w:after="120" w:line="288" w:lineRule="auto"/>
        <w:ind w:left="0"/>
        <w:jc w:val="left"/>
      </w:pPr>
      <w:r>
        <w:rPr>
          <w:rFonts w:eastAsia="等线" w:ascii="Arial" w:cs="Arial" w:hAnsi="Arial"/>
          <w:sz w:val="22"/>
        </w:rPr>
        <w:t>Trump 第二任期至 2025 年底已簽 35 項 EO + 8 項 Proclamation，過去 12 月有 8 次重大關稅調整。在川普任期內，關稅變動是常態，因此企業要替自家產品捕捉關稅變動會是常態且繁瑣的工作，正好我們的功能可以把握目前的情勢。</w:t>
        <w:br/>
      </w:r>
    </w:p>
    <w:p>
      <w:pPr>
        <w:pStyle w:val="1"/>
        <w:spacing w:before="380" w:after="140" w:line="288" w:lineRule="auto"/>
        <w:ind w:left="0"/>
        <w:jc w:val="left"/>
        <w:outlineLvl w:val="0"/>
      </w:pPr>
      <w:bookmarkStart w:name="heading_12" w:id="12"/>
      <w:r>
        <w:rPr>
          <w:rFonts w:eastAsia="等线" w:ascii="Arial" w:cs="Arial" w:hAnsi="Arial"/>
          <w:color w:val="3370ff"/>
          <w:sz w:val="36"/>
        </w:rPr>
        <w:t xml:space="preserve">3. </w:t>
      </w:r>
      <w:r>
        <w:rPr>
          <w:rFonts w:eastAsia="等线" w:ascii="Arial" w:cs="Arial" w:hAnsi="Arial"/>
          <w:b w:val="true"/>
          <w:sz w:val="36"/>
        </w:rPr>
        <w:t>個功能交互說明與API 規格</w:t>
      </w:r>
      <w:bookmarkEnd w:id="12"/>
    </w:p>
    <w:p>
      <w:pPr>
        <w:pStyle w:val="2"/>
        <w:spacing w:before="320" w:after="120" w:line="288" w:lineRule="auto"/>
        <w:ind w:left="0"/>
        <w:jc w:val="left"/>
        <w:outlineLvl w:val="1"/>
      </w:pPr>
      <w:bookmarkStart w:name="heading_13" w:id="13"/>
      <w:r>
        <w:rPr>
          <w:rFonts w:eastAsia="等线" w:ascii="Arial" w:cs="Arial" w:hAnsi="Arial"/>
          <w:color w:val="3370ff"/>
          <w:sz w:val="32"/>
        </w:rPr>
        <w:t xml:space="preserve">3.1 </w:t>
      </w:r>
      <w:r>
        <w:rPr>
          <w:rFonts w:eastAsia="等线" w:ascii="Arial" w:cs="Arial" w:hAnsi="Arial"/>
          <w:b w:val="true"/>
          <w:sz w:val="32"/>
        </w:rPr>
        <w:t>總流程概覽</w:t>
      </w:r>
      <w:bookmarkEnd w:id="13"/>
    </w:p>
    <w:tbl>
      <w:tblPr>
        <w:tblW w:w="0" w:type="auto"/>
        <w:tblInd w:w="0" w:type="dxa"/>
        <w:tblBorders>
          <w:top w:val="single" w:color=""/>
          <w:left w:val="single" w:color=""/>
          <w:bottom w:val="single" w:color=""/>
          <w:right w:val="single" w:color=""/>
          <w:insideH w:val="single" w:color=""/>
          <w:insideV w:val="single" w:color=""/>
        </w:tblBorders>
        <w:tblLayout w:type="fixed"/>
      </w:tblPr>
      <w:tblGrid>
        <w:gridCol w:w="8280"/>
      </w:tblGrid>
      <w:tr>
        <w:tc>
          <w:tcPr>
            <w:tcW w:w="8280" w:type="dxa"/>
            <w:shd w:color="auto" w:val="clear" w:fill="fefff0"/>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必備知識:</w:t>
            </w:r>
            <w:r>
              <w:rPr>
                <w:rFonts w:eastAsia="等线" w:ascii="Arial" w:cs="Arial" w:hAnsi="Arial"/>
                <w:sz w:val="22"/>
              </w:rPr>
              <w:br/>
            </w:r>
            <w:r>
              <w:rPr>
                <w:rFonts w:eastAsia="等线" w:ascii="Arial" w:cs="Arial" w:hAnsi="Arial"/>
                <w:sz w:val="22"/>
              </w:rPr>
              <w:t>通常來講一個法案要從宣佈到詳細執行是需要經過以下節點的：白宮 → 眾議院 / 國會 → Federal Register（法律）→ CSMS（海關易讀版）。</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640"/>
        <w:gridCol w:w="3630"/>
        <w:gridCol w:w="2010"/>
      </w:tblGrid>
      <w:tr>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類別</w:t>
            </w:r>
          </w:p>
        </w:tc>
        <w:tc>
          <w:tcPr>
            <w:tcW w:w="3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對應數據源</w:t>
            </w:r>
          </w:p>
        </w:tc>
        <w:tc>
          <w:tcPr>
            <w:tcW w:w="20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數據源說明</w:t>
            </w:r>
          </w:p>
        </w:tc>
      </w:tr>
      <w:tr>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重新計算估稅</w:t>
            </w:r>
          </w:p>
        </w:tc>
        <w:tc>
          <w:tcPr>
            <w:tcW w:w="3630" w:type="dxa"/>
            <w:vMerge w:val="restart"/>
            <w:tcMar>
              <w:top w:type="dxa" w:w="60"/>
              <w:left w:type="dxa" w:w="120"/>
              <w:bottom w:type="dxa" w:w="30"/>
              <w:right w:type="dxa" w:w="120"/>
            </w:tcMar>
          </w:tcPr>
          <w:p>
            <w:pPr>
              <w:numPr>
                <w:numId w:val="24"/>
              </w:numPr>
              <w:spacing w:before="120" w:after="120" w:line="288" w:lineRule="auto"/>
              <w:ind w:left="0"/>
              <w:jc w:val="left"/>
            </w:pPr>
            <w:r>
              <w:rPr>
                <w:rFonts w:eastAsia="等线" w:ascii="Arial" w:cs="Arial" w:hAnsi="Arial"/>
                <w:sz w:val="22"/>
              </w:rPr>
              <w:t xml:space="preserve">[立法層]   Federal Register → 正式法律，已通過國會               </w:t>
            </w:r>
          </w:p>
          <w:p>
            <w:pPr>
              <w:numPr>
                <w:numId w:val="25"/>
              </w:numPr>
              <w:spacing w:before="120" w:after="120" w:line="288" w:lineRule="auto"/>
              <w:ind w:left="0"/>
              <w:jc w:val="left"/>
            </w:pPr>
            <w:r>
              <w:rPr>
                <w:rFonts w:eastAsia="等线" w:ascii="Arial" w:cs="Arial" w:hAnsi="Arial"/>
                <w:sz w:val="22"/>
              </w:rPr>
              <w:t xml:space="preserve"> [執行層]   CSMS  → 美國海關易讀版指引，可操作性最高; USTR → 重要，獨立追蹤</w:t>
            </w:r>
          </w:p>
        </w:tc>
        <w:tc>
          <w:tcPr>
            <w:tcW w:w="2010" w:type="dxa"/>
            <w:tcMar>
              <w:top w:type="dxa" w:w="60"/>
              <w:left w:type="dxa" w:w="120"/>
              <w:bottom w:type="dxa" w:w="30"/>
              <w:right w:type="dxa" w:w="120"/>
            </w:tcMar>
          </w:tcPr>
          <w:p>
            <w:pPr>
              <w:spacing w:before="120" w:after="120" w:line="288" w:lineRule="auto"/>
              <w:ind w:left="0"/>
              <w:jc w:val="left"/>
            </w:pPr>
          </w:p>
        </w:tc>
      </w:tr>
      <w:tr>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重新分類(重新適配新的 HTS CODE)</w:t>
            </w:r>
          </w:p>
        </w:tc>
        <w:tc>
          <w:tcPr>
            <w:tcW w:w="3630" w:type="dxa"/>
            <w:vMerge w:val="continue"/>
            <w:tcMar>
              <w:top w:type="dxa" w:w="60"/>
              <w:left w:type="dxa" w:w="120"/>
              <w:bottom w:type="dxa" w:w="30"/>
              <w:right w:type="dxa" w:w="120"/>
            </w:tcMar>
          </w:tcPr>
          <w:p>
            <w:pPr>
              <w:spacing w:before="120" w:after="120" w:line="288" w:lineRule="auto"/>
              <w:ind w:left="0"/>
              <w:jc w:val="left"/>
            </w:pPr>
          </w:p>
        </w:tc>
        <w:tc>
          <w:tcPr>
            <w:tcW w:w="2010" w:type="dxa"/>
            <w:tcMar>
              <w:top w:type="dxa" w:w="60"/>
              <w:left w:type="dxa" w:w="120"/>
              <w:bottom w:type="dxa" w:w="30"/>
              <w:right w:type="dxa" w:w="120"/>
            </w:tcMar>
          </w:tcPr>
          <w:p>
            <w:pPr>
              <w:spacing w:before="120" w:after="120" w:line="288" w:lineRule="auto"/>
              <w:ind w:left="0"/>
              <w:jc w:val="left"/>
            </w:pPr>
          </w:p>
        </w:tc>
      </w:tr>
      <w:tr>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未來動向告警</w:t>
            </w:r>
          </w:p>
          <w:p>
            <w:pPr>
              <w:spacing w:before="120" w:after="120" w:line="288" w:lineRule="auto"/>
              <w:ind w:left="0"/>
              <w:jc w:val="left"/>
            </w:pPr>
          </w:p>
        </w:tc>
        <w:tc>
          <w:tcPr>
            <w:tcW w:w="3630" w:type="dxa"/>
            <w:tcMar>
              <w:top w:type="dxa" w:w="60"/>
              <w:left w:type="dxa" w:w="120"/>
              <w:bottom w:type="dxa" w:w="30"/>
              <w:right w:type="dxa" w:w="120"/>
            </w:tcMar>
          </w:tcPr>
          <w:p>
            <w:pPr>
              <w:numPr>
                <w:numId w:val="26"/>
              </w:numPr>
              <w:spacing w:before="120" w:after="120" w:line="288" w:lineRule="auto"/>
              <w:ind w:left="0"/>
              <w:jc w:val="left"/>
            </w:pPr>
            <w:r>
              <w:rPr>
                <w:rFonts w:eastAsia="等线" w:ascii="Arial" w:cs="Arial" w:hAnsi="Arial"/>
                <w:sz w:val="22"/>
              </w:rPr>
              <w:t>White House → 趨勢觀察、提早佈局，但謹慎標示「非正式」</w:t>
            </w:r>
          </w:p>
        </w:tc>
        <w:tc>
          <w:tcPr>
            <w:tcW w:w="2010" w:type="dxa"/>
            <w:tcMar>
              <w:top w:type="dxa" w:w="60"/>
              <w:left w:type="dxa" w:w="120"/>
              <w:bottom w:type="dxa" w:w="30"/>
              <w:right w:type="dxa" w:w="120"/>
            </w:tcMar>
          </w:tcPr>
          <w:p>
            <w:pPr>
              <w:spacing w:before="120" w:after="120" w:line="288" w:lineRule="auto"/>
              <w:ind w:left="0"/>
              <w:jc w:val="left"/>
            </w:pPr>
          </w:p>
        </w:tc>
      </w:tr>
    </w:tbl>
    <w:p>
      <w:pPr>
        <w:pStyle w:val="2"/>
        <w:spacing w:before="320" w:after="120" w:line="288" w:lineRule="auto"/>
        <w:ind w:left="0"/>
        <w:jc w:val="left"/>
        <w:outlineLvl w:val="1"/>
      </w:pPr>
      <w:bookmarkStart w:name="heading_14" w:id="14"/>
      <w:r>
        <w:rPr>
          <w:rFonts w:eastAsia="等线" w:ascii="Arial" w:cs="Arial" w:hAnsi="Arial"/>
          <w:color w:val="3370ff"/>
          <w:sz w:val="32"/>
        </w:rPr>
        <w:t xml:space="preserve">3.2 </w:t>
      </w:r>
      <w:r>
        <w:rPr>
          <w:rFonts w:eastAsia="等线" w:ascii="Arial" w:cs="Arial" w:hAnsi="Arial"/>
          <w:b w:val="true"/>
          <w:sz w:val="32"/>
        </w:rPr>
        <w:t>功能總框架</w:t>
      </w:r>
      <w:bookmarkEnd w:id="14"/>
    </w:p>
    <w:p>
      <w:pPr>
        <w:spacing w:before="120" w:after="120" w:line="288" w:lineRule="auto"/>
        <w:ind w:left="0"/>
        <w:jc w:val="center"/>
      </w:pPr>
      <w:r>
        <w:drawing>
          <wp:inline distT="0" distR="0" distB="0" distL="0">
            <wp:extent cx="5257800" cy="426720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11"/>
                    <a:stretch>
                      <a:fillRect/>
                    </a:stretch>
                  </pic:blipFill>
                  <pic:spPr>
                    <a:xfrm>
                      <a:off x="0" y="0"/>
                      <a:ext cx="5257800" cy="4267200"/>
                    </a:xfrm>
                    <a:prstGeom prst="rect">
                      <a:avLst/>
                    </a:prstGeom>
                  </pic:spPr>
                </pic:pic>
              </a:graphicData>
            </a:graphic>
          </wp:inline>
        </w:drawing>
      </w:r>
    </w:p>
    <w:p>
      <w:pPr>
        <w:pStyle w:val="2"/>
        <w:spacing w:before="320" w:after="120" w:line="288" w:lineRule="auto"/>
        <w:ind w:left="0"/>
        <w:jc w:val="left"/>
        <w:outlineLvl w:val="1"/>
      </w:pPr>
      <w:bookmarkStart w:name="heading_15" w:id="15"/>
      <w:r>
        <w:rPr>
          <w:rFonts w:eastAsia="等线" w:ascii="Arial" w:cs="Arial" w:hAnsi="Arial"/>
          <w:color w:val="3370ff"/>
          <w:sz w:val="32"/>
        </w:rPr>
        <w:t xml:space="preserve">3.3 </w:t>
      </w:r>
      <w:r>
        <w:rPr>
          <w:rFonts w:eastAsia="等线" w:ascii="Arial" w:cs="Arial" w:hAnsi="Arial"/>
          <w:b w:val="true"/>
          <w:sz w:val="32"/>
        </w:rPr>
        <w:t xml:space="preserve">數據源整理 </w:t>
      </w:r>
      <w:bookmarkEnd w:id="15"/>
    </w:p>
    <w:p>
      <w:pPr>
        <w:pStyle w:val="3"/>
        <w:spacing w:before="300" w:after="120" w:line="288" w:lineRule="auto"/>
        <w:ind w:left="453"/>
        <w:jc w:val="left"/>
        <w:outlineLvl w:val="2"/>
      </w:pPr>
      <w:bookmarkStart w:name="heading_16" w:id="16"/>
      <w:r>
        <w:rPr>
          <w:rFonts w:eastAsia="等线" w:ascii="Arial" w:cs="Arial" w:hAnsi="Arial"/>
          <w:color w:val="3370ff"/>
          <w:sz w:val="30"/>
        </w:rPr>
        <w:t xml:space="preserve">3.3.1 </w:t>
      </w:r>
      <w:r>
        <w:rPr>
          <w:rFonts w:eastAsia="等线" w:ascii="Arial" w:cs="Arial" w:hAnsi="Arial"/>
          <w:b w:val="true"/>
          <w:sz w:val="30"/>
        </w:rPr>
        <w:t>優先級</w:t>
      </w:r>
      <w:bookmarkEnd w:id="16"/>
    </w:p>
    <w:p>
      <w:pPr>
        <w:numPr>
          <w:numId w:val="27"/>
        </w:numPr>
        <w:spacing w:before="120" w:after="120" w:line="288" w:lineRule="auto"/>
        <w:ind w:left="453"/>
        <w:jc w:val="left"/>
      </w:pPr>
      <w:r>
        <w:rPr>
          <w:rFonts w:eastAsia="等线" w:ascii="Arial" w:cs="Arial" w:hAnsi="Arial"/>
          <w:sz w:val="22"/>
        </w:rPr>
        <w:t>[p0]近半年的數據都要入庫，並持續追蹤新數據</w:t>
      </w:r>
    </w:p>
    <w:p>
      <w:pPr>
        <w:numPr>
          <w:numId w:val="28"/>
        </w:numPr>
        <w:spacing w:before="120" w:after="120" w:line="288" w:lineRule="auto"/>
        <w:ind w:left="453"/>
        <w:jc w:val="left"/>
      </w:pPr>
      <w:r>
        <w:rPr>
          <w:rFonts w:eastAsia="等线" w:ascii="Arial" w:cs="Arial" w:hAnsi="Arial"/>
          <w:sz w:val="22"/>
        </w:rPr>
        <w:t>[p2]數據庫更新策略 (暫時先不做) (總不能隨著時間過去已經發布的檔案還要繼續放在數據庫當中，需要有淘汰以及對應的處理辦法，如被淘汰的就只能給你源文連結這樣。)</w:t>
      </w:r>
    </w:p>
    <w:p>
      <w:pPr>
        <w:pStyle w:val="3"/>
        <w:spacing w:before="300" w:after="120" w:line="288" w:lineRule="auto"/>
        <w:ind w:left="453"/>
        <w:jc w:val="left"/>
        <w:outlineLvl w:val="2"/>
      </w:pPr>
      <w:bookmarkStart w:name="heading_17" w:id="17"/>
      <w:r>
        <w:rPr>
          <w:rFonts w:eastAsia="等线" w:ascii="Arial" w:cs="Arial" w:hAnsi="Arial"/>
          <w:color w:val="3370ff"/>
          <w:sz w:val="30"/>
        </w:rPr>
        <w:t xml:space="preserve">3.3.2 </w:t>
      </w:r>
      <w:r>
        <w:rPr>
          <w:rFonts w:eastAsia="等线" w:ascii="Arial" w:cs="Arial" w:hAnsi="Arial"/>
          <w:b w:val="true"/>
          <w:sz w:val="30"/>
        </w:rPr>
        <w:t xml:space="preserve"> 既有資產</w:t>
      </w:r>
      <w:bookmarkEnd w:id="17"/>
    </w:p>
    <w:p>
      <w:pPr>
        <w:spacing w:before="120" w:after="120" w:line="288" w:lineRule="auto"/>
        <w:ind w:left="453"/>
        <w:jc w:val="left"/>
      </w:pPr>
      <w:r>
        <w:rPr>
          <w:rFonts w:eastAsia="等线" w:ascii="Arial" w:cs="Arial" w:hAnsi="Arial"/>
          <w:sz w:val="22"/>
        </w:rPr>
        <w:t>我們先前已上線「Tariff Briefing」功能，已從以下5個官方來源過濾出與美國進出口貿易相關的條目</w:t>
      </w:r>
    </w:p>
    <w:p>
      <w:pPr>
        <w:spacing w:before="120" w:after="120" w:line="288" w:lineRule="auto"/>
        <w:ind w:left="453"/>
        <w:jc w:val="left"/>
      </w:pPr>
      <w:r>
        <w:rPr>
          <w:rFonts w:eastAsia="等线" w:ascii="Arial" w:cs="Arial" w:hAnsi="Arial"/>
          <w:sz w:val="22"/>
        </w:rPr>
        <w:t>過濾後的條目即為本次「Compliance Rardar」的原始素材，不需重做過濾邏輯。</w:t>
      </w:r>
    </w:p>
    <w:p>
      <w:pPr>
        <w:spacing w:before="120" w:after="120" w:line="288" w:lineRule="auto"/>
        <w:ind w:left="453"/>
      </w:pPr>
      <w:r>
        <w:object>
          <v:shape id="_x0000_i1028" style="width:414pt;height:150pt;mso-width-percent:0;mso-height-percent:0;mso-width-percent:0;mso-height-percent:0" type="#_x0000_t75" o:ole="">
            <v:imagedata r:id="rId13" o:title=""/>
          </v:shape>
          <o:OLEObject DrawAspect="Icon" ObjectID="_1718471222" ProgID="Excel.Sheet.12" ShapeID="_x0000_i1028" Type="Embed" r:id="rId12"/>
        </w:object>
      </w:r>
    </w:p>
    <w:p>
      <w:pPr>
        <w:spacing w:after="120"/>
        <w:ind w:left="453"/>
        <w:jc w:val="center"/>
      </w:pPr>
      <w:r>
        <w:rPr>
          <w:rFonts w:eastAsia="等线" w:ascii="Arial" w:cs="Arial" w:hAnsi="Arial"/>
          <w:b w:val="true"/>
          <w:sz w:val="22"/>
        </w:rPr>
        <w:t>点击图片可查看完整电子表格</w:t>
      </w:r>
    </w:p>
    <w:p>
      <w:pPr>
        <w:pStyle w:val="3"/>
        <w:spacing w:before="300" w:after="120" w:line="288" w:lineRule="auto"/>
        <w:ind w:left="453"/>
        <w:jc w:val="left"/>
        <w:outlineLvl w:val="2"/>
      </w:pPr>
      <w:bookmarkStart w:name="heading_18" w:id="18"/>
      <w:r>
        <w:rPr>
          <w:rFonts w:eastAsia="等线" w:ascii="Arial" w:cs="Arial" w:hAnsi="Arial"/>
          <w:color w:val="3370ff"/>
          <w:sz w:val="30"/>
        </w:rPr>
        <w:t xml:space="preserve">3.3.3 </w:t>
      </w:r>
      <w:r>
        <w:rPr>
          <w:rFonts w:eastAsia="等线" w:ascii="Arial" w:cs="Arial" w:hAnsi="Arial"/>
          <w:b w:val="true"/>
          <w:sz w:val="30"/>
        </w:rPr>
        <w:t>本次升級需求</w:t>
      </w:r>
      <w:bookmarkEnd w:id="18"/>
    </w:p>
    <w:p>
      <w:pPr>
        <w:numPr>
          <w:numId w:val="29"/>
        </w:numPr>
        <w:spacing w:before="120" w:after="120" w:line="288" w:lineRule="auto"/>
        <w:ind w:left="907"/>
        <w:jc w:val="left"/>
      </w:pPr>
      <w:r>
        <w:rPr>
          <w:rFonts w:eastAsia="等线" w:ascii="Arial" w:cs="Arial" w:hAnsi="Arial"/>
          <w:b w:val="true"/>
          <w:sz w:val="22"/>
        </w:rPr>
        <w:t>半年內歷史入庫</w:t>
      </w:r>
      <w:r>
        <w:rPr>
          <w:rFonts w:eastAsia="等线" w:ascii="Arial" w:cs="Arial" w:hAnsi="Arial"/>
          <w:sz w:val="22"/>
        </w:rPr>
        <w:t>：將 Tariff Briefing 過濾後、近半年內的所有條目全量入庫，建立可被檢索的RAG 數據庫。</w:t>
      </w:r>
    </w:p>
    <w:p>
      <w:pPr>
        <w:numPr>
          <w:numId w:val="30"/>
        </w:numPr>
        <w:spacing w:before="120" w:after="120" w:line="288" w:lineRule="auto"/>
        <w:ind w:left="907"/>
        <w:jc w:val="left"/>
      </w:pPr>
      <w:r>
        <w:rPr>
          <w:rFonts w:eastAsia="等线" w:ascii="Arial" w:cs="Arial" w:hAnsi="Arial"/>
          <w:b w:val="true"/>
          <w:sz w:val="22"/>
        </w:rPr>
        <w:t>持續追蹤入庫</w:t>
      </w:r>
      <w:r>
        <w:rPr>
          <w:rFonts w:eastAsia="等线" w:ascii="Arial" w:cs="Arial" w:hAnsi="Arial"/>
          <w:sz w:val="22"/>
        </w:rPr>
        <w:t>：建立排程，將 Tariff Briefing 新過濾出的條目以固定頻率自動寫入資料庫，確保庫內資料即時。</w:t>
      </w:r>
    </w:p>
    <w:p>
      <w:pPr>
        <w:numPr>
          <w:numId w:val="31"/>
        </w:numPr>
        <w:spacing w:before="120" w:after="120" w:line="288" w:lineRule="auto"/>
        <w:ind w:left="907"/>
        <w:jc w:val="left"/>
      </w:pPr>
      <w:r>
        <w:rPr>
          <w:rFonts w:eastAsia="等线" w:ascii="Arial" w:cs="Arial" w:hAnsi="Arial"/>
          <w:b w:val="true"/>
          <w:sz w:val="22"/>
        </w:rPr>
        <w:t>資料庫淘汰策略 [P2]</w:t>
      </w:r>
      <w:r>
        <w:rPr>
          <w:rFonts w:eastAsia="等线" w:ascii="Arial" w:cs="Arial" w:hAnsi="Arial"/>
          <w:sz w:val="22"/>
        </w:rPr>
        <w:t>：超過半年的條目不再保留全文，僅保留 metadata（標題、發布日、來源、原文連結），以源文連結作為 fallback，避免資料庫無限增長。</w:t>
      </w:r>
    </w:p>
    <w:p>
      <w:pPr>
        <w:numPr>
          <w:numId w:val="32"/>
        </w:numPr>
        <w:spacing w:before="120" w:after="120" w:line="288" w:lineRule="auto"/>
        <w:ind w:left="907"/>
        <w:jc w:val="left"/>
      </w:pPr>
      <w:r>
        <w:rPr>
          <w:rFonts w:eastAsia="等线" w:ascii="Arial" w:cs="Arial" w:hAnsi="Arial"/>
          <w:b w:val="true"/>
          <w:sz w:val="22"/>
        </w:rPr>
        <w:t>入庫欄位需求</w:t>
      </w:r>
      <w:r>
        <w:rPr>
          <w:rFonts w:eastAsia="等线" w:ascii="Arial" w:cs="Arial" w:hAnsi="Arial"/>
          <w:sz w:val="22"/>
        </w:rPr>
        <w:t>：每筆條目至少保留以下欄位，供下游功能比對使用。</w:t>
      </w:r>
    </w:p>
    <w:p>
      <w:pPr>
        <w:spacing w:before="120" w:after="120" w:line="288" w:lineRule="auto"/>
        <w:ind w:left="907"/>
      </w:pPr>
      <w:r>
        <w:object>
          <v:shape id="_x0000_i1029" style="width:414pt;height:197pt;mso-width-percent:0;mso-height-percent:0;mso-width-percent:0;mso-height-percent:0" type="#_x0000_t75" o:ole="">
            <v:imagedata r:id="rId15" o:title=""/>
          </v:shape>
          <o:OLEObject DrawAspect="Icon" ObjectID="_1718471223" ProgID="Excel.Sheet.12" ShapeID="_x0000_i1029" Type="Embed" r:id="rId14"/>
        </w:object>
      </w:r>
    </w:p>
    <w:p>
      <w:pPr>
        <w:spacing w:after="120"/>
        <w:ind w:left="907"/>
        <w:jc w:val="center"/>
      </w:pPr>
      <w:r>
        <w:rPr>
          <w:rFonts w:eastAsia="等线" w:ascii="Arial" w:cs="Arial" w:hAnsi="Arial"/>
          <w:b w:val="true"/>
          <w:sz w:val="22"/>
        </w:rPr>
        <w:t>点击图片可查看完整电子表格</w:t>
      </w:r>
    </w:p>
    <w:p>
      <w:pPr>
        <w:pStyle w:val="2"/>
        <w:spacing w:before="320" w:after="120" w:line="288" w:lineRule="auto"/>
        <w:ind w:left="0"/>
        <w:jc w:val="left"/>
        <w:outlineLvl w:val="1"/>
      </w:pPr>
      <w:bookmarkStart w:name="heading_19" w:id="19"/>
      <w:r>
        <w:rPr>
          <w:rFonts w:eastAsia="等线" w:ascii="Arial" w:cs="Arial" w:hAnsi="Arial"/>
          <w:color w:val="3370ff"/>
          <w:sz w:val="32"/>
        </w:rPr>
        <w:t xml:space="preserve">3.4 </w:t>
      </w:r>
      <w:r>
        <w:rPr>
          <w:rFonts w:eastAsia="等线" w:ascii="Arial" w:cs="Arial" w:hAnsi="Arial"/>
          <w:b w:val="true"/>
          <w:sz w:val="32"/>
        </w:rPr>
        <w:t>近期政策更新 (Recent Policy Updates)</w:t>
      </w:r>
      <w:bookmarkEnd w:id="19"/>
    </w:p>
    <w:p>
      <w:pPr>
        <w:spacing w:before="120" w:after="120" w:line="288" w:lineRule="auto"/>
        <w:ind w:left="0"/>
        <w:jc w:val="left"/>
      </w:pPr>
      <w:r>
        <w:rPr>
          <w:rFonts w:eastAsia="等线" w:ascii="Arial" w:cs="Arial" w:hAnsi="Arial"/>
          <w:sz w:val="22"/>
        </w:rPr>
        <w:t>直接照搬tariff breifing 的輸出</w:t>
      </w:r>
    </w:p>
    <w:p>
      <w:pPr>
        <w:spacing w:before="120" w:after="120" w:line="288" w:lineRule="auto"/>
        <w:ind w:left="0"/>
        <w:jc w:val="center"/>
      </w:pPr>
      <w:r>
        <w:drawing>
          <wp:inline distT="0" distR="0" distB="0" distL="0">
            <wp:extent cx="5257800" cy="290512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16"/>
                    <a:stretch>
                      <a:fillRect/>
                    </a:stretch>
                  </pic:blipFill>
                  <pic:spPr>
                    <a:xfrm>
                      <a:off x="0" y="0"/>
                      <a:ext cx="5257800" cy="2905125"/>
                    </a:xfrm>
                    <a:prstGeom prst="rect">
                      <a:avLst/>
                    </a:prstGeom>
                  </pic:spPr>
                </pic:pic>
              </a:graphicData>
            </a:graphic>
          </wp:inline>
        </w:drawing>
      </w:r>
    </w:p>
    <w:p>
      <w:pPr>
        <w:spacing w:before="120" w:after="120" w:line="288" w:lineRule="auto"/>
        <w:ind w:left="0"/>
        <w:jc w:val="left"/>
      </w:pPr>
    </w:p>
    <w:p>
      <w:pPr>
        <w:pStyle w:val="2"/>
        <w:spacing w:before="320" w:after="120" w:line="288" w:lineRule="auto"/>
        <w:ind w:left="0"/>
        <w:jc w:val="left"/>
        <w:outlineLvl w:val="1"/>
      </w:pPr>
      <w:bookmarkStart w:name="heading_20" w:id="20"/>
      <w:r>
        <w:rPr>
          <w:rFonts w:eastAsia="等线" w:ascii="Arial" w:cs="Arial" w:hAnsi="Arial"/>
          <w:color w:val="3370ff"/>
          <w:sz w:val="32"/>
        </w:rPr>
        <w:t xml:space="preserve">3.5 </w:t>
      </w:r>
      <w:r>
        <w:rPr>
          <w:rFonts w:eastAsia="等线" w:ascii="Arial" w:cs="Arial" w:hAnsi="Arial"/>
          <w:b w:val="true"/>
          <w:sz w:val="32"/>
        </w:rPr>
        <w:t>Quick Check 回覆生成（給 AI 的 prompt 設計方向）</w:t>
      </w:r>
      <w:bookmarkEnd w:id="20"/>
    </w:p>
    <w:p>
      <w:pPr>
        <w:spacing w:before="120" w:after="120" w:line="288" w:lineRule="auto"/>
        <w:ind w:left="0"/>
        <w:jc w:val="left"/>
      </w:pPr>
      <w:r>
        <w:rPr>
          <w:rFonts w:eastAsia="等线" w:ascii="Arial" w:cs="Arial" w:hAnsi="Arial"/>
          <w:sz w:val="22"/>
        </w:rPr>
        <w:t>當用戶於 Quick Check 輸入 HTS code 或自由關鍵字後，AI 自庫內檢索所有相關條目，依下列結構生成一段繁體中文回覆。實際 prompt 由後端工程師依此擬出。</w:t>
      </w:r>
    </w:p>
    <w:p>
      <w:pPr>
        <w:spacing w:before="120" w:after="120" w:line="288" w:lineRule="auto"/>
        <w:ind w:left="0"/>
        <w:jc w:val="center"/>
      </w:pPr>
      <w:r>
        <w:drawing>
          <wp:inline distT="0" distR="0" distB="0" distL="0">
            <wp:extent cx="5257800" cy="2705100"/>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17"/>
                    <a:stretch>
                      <a:fillRect/>
                    </a:stretch>
                  </pic:blipFill>
                  <pic:spPr>
                    <a:xfrm>
                      <a:off x="0" y="0"/>
                      <a:ext cx="5257800" cy="2705100"/>
                    </a:xfrm>
                    <a:prstGeom prst="rect">
                      <a:avLst/>
                    </a:prstGeom>
                  </pic:spPr>
                </pic:pic>
              </a:graphicData>
            </a:graphic>
          </wp:inline>
        </w:drawing>
      </w:r>
    </w:p>
    <w:p>
      <w:pPr>
        <w:spacing w:before="120" w:after="120" w:line="288" w:lineRule="auto"/>
        <w:ind w:left="0"/>
        <w:jc w:val="left"/>
      </w:pPr>
      <w:r>
        <w:rPr>
          <w:rFonts w:eastAsia="等线" w:ascii="Arial" w:cs="Arial" w:hAnsi="Arial"/>
          <w:b w:val="true"/>
          <w:sz w:val="22"/>
        </w:rPr>
        <w:t>回覆結構：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220"/>
        <w:gridCol w:w="6060"/>
      </w:tblGrid>
      <w:tr>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w:t>
            </w:r>
          </w:p>
        </w:tc>
        <w:tc>
          <w:tcPr>
            <w:tcW w:w="60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說明</w:t>
            </w:r>
          </w:p>
        </w:tc>
      </w:tr>
      <w:tr>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Synthesis 主題狀態標題</w:t>
            </w:r>
          </w:p>
        </w:tc>
        <w:tc>
          <w:tcPr>
            <w:tcW w:w="60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用一句話總結該主題目前的狀態。 範例：「Section 301 China List 4A 正進入第二輪聽證，預計 2026-Q3 有調整。」</w:t>
            </w:r>
          </w:p>
          <w:p>
            <w:pPr>
              <w:spacing w:before="120" w:after="120" w:line="288" w:lineRule="auto"/>
              <w:ind w:left="0"/>
              <w:jc w:val="center"/>
            </w:pPr>
            <w:r>
              <w:drawing>
                <wp:inline distT="0" distR="0" distB="0" distL="0">
                  <wp:extent cx="3695700" cy="1762125"/>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18"/>
                          <a:stretch>
                            <a:fillRect/>
                          </a:stretch>
                        </pic:blipFill>
                        <pic:spPr>
                          <a:xfrm>
                            <a:off x="0" y="0"/>
                            <a:ext cx="3695700" cy="1762125"/>
                          </a:xfrm>
                          <a:prstGeom prst="rect">
                            <a:avLst/>
                          </a:prstGeom>
                        </pic:spPr>
                      </pic:pic>
                    </a:graphicData>
                  </a:graphic>
                </wp:inline>
              </w:drawing>
            </w:r>
          </w:p>
          <w:p>
            <w:pPr>
              <w:spacing w:before="120" w:after="120" w:line="288" w:lineRule="auto"/>
              <w:ind w:left="0"/>
              <w:jc w:val="left"/>
            </w:pPr>
          </w:p>
        </w:tc>
      </w:tr>
      <w:tr>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現況（已生效）</w:t>
            </w:r>
          </w:p>
          <w:p>
            <w:pPr>
              <w:spacing w:before="120" w:after="120" w:line="288" w:lineRule="auto"/>
              <w:ind w:left="0"/>
              <w:jc w:val="left"/>
            </w:pPr>
          </w:p>
        </w:tc>
        <w:tc>
          <w:tcPr>
            <w:tcW w:w="60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列出目前生效中、與該輸入相關的法規。每條包含：</w:t>
            </w:r>
          </w:p>
          <w:p>
            <w:pPr>
              <w:numPr>
                <w:numId w:val="33"/>
              </w:numPr>
              <w:spacing w:before="120" w:after="120" w:line="288" w:lineRule="auto"/>
              <w:ind w:left="453"/>
              <w:jc w:val="left"/>
            </w:pPr>
            <w:r>
              <w:rPr>
                <w:rFonts w:eastAsia="等线" w:ascii="Arial" w:cs="Arial" w:hAnsi="Arial"/>
                <w:sz w:val="22"/>
              </w:rPr>
              <w:t>來源、生效日、適用範圍（HTS chapter / 國家 / 產品類別）</w:t>
            </w:r>
          </w:p>
          <w:p>
            <w:pPr>
              <w:numPr>
                <w:numId w:val="34"/>
              </w:numPr>
              <w:spacing w:before="120" w:after="120" w:line="288" w:lineRule="auto"/>
              <w:ind w:left="453"/>
              <w:jc w:val="left"/>
            </w:pPr>
            <w:r>
              <w:rPr>
                <w:rFonts w:eastAsia="等线" w:ascii="Arial" w:cs="Arial" w:hAnsi="Arial"/>
                <w:sz w:val="22"/>
              </w:rPr>
              <w:t>一句話 So what：對用戶查詢標的的實務影響</w:t>
            </w:r>
          </w:p>
          <w:p>
            <w:pPr>
              <w:numPr>
                <w:numId w:val="35"/>
              </w:numPr>
              <w:spacing w:before="120" w:after="120" w:line="288" w:lineRule="auto"/>
              <w:ind w:left="453"/>
              <w:jc w:val="left"/>
            </w:pPr>
            <w:r>
              <w:rPr>
                <w:rFonts w:eastAsia="等线" w:ascii="Arial" w:cs="Arial" w:hAnsi="Arial"/>
                <w:sz w:val="22"/>
              </w:rPr>
              <w:t>原文連結</w:t>
            </w:r>
          </w:p>
          <w:p>
            <w:pPr>
              <w:spacing w:before="120" w:after="120" w:line="288" w:lineRule="auto"/>
              <w:ind w:left="0"/>
              <w:jc w:val="center"/>
            </w:pPr>
            <w:r>
              <w:drawing>
                <wp:inline distT="0" distR="0" distB="0" distL="0">
                  <wp:extent cx="3695700" cy="1200150"/>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19"/>
                          <a:stretch>
                            <a:fillRect/>
                          </a:stretch>
                        </pic:blipFill>
                        <pic:spPr>
                          <a:xfrm>
                            <a:off x="0" y="0"/>
                            <a:ext cx="3695700" cy="1200150"/>
                          </a:xfrm>
                          <a:prstGeom prst="rect">
                            <a:avLst/>
                          </a:prstGeom>
                        </pic:spPr>
                      </pic:pic>
                    </a:graphicData>
                  </a:graphic>
                </wp:inline>
              </w:drawing>
            </w:r>
          </w:p>
          <w:p>
            <w:pPr>
              <w:spacing w:before="120" w:after="120" w:line="288" w:lineRule="auto"/>
              <w:ind w:left="0"/>
              <w:jc w:val="left"/>
            </w:pPr>
          </w:p>
        </w:tc>
      </w:tr>
      <w:tr>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即將生效</w:t>
            </w:r>
          </w:p>
        </w:tc>
        <w:tc>
          <w:tcPr>
            <w:tcW w:w="6060" w:type="dxa"/>
            <w:tcMar>
              <w:top w:type="dxa" w:w="60"/>
              <w:left w:type="dxa" w:w="120"/>
              <w:bottom w:type="dxa" w:w="30"/>
              <w:right w:type="dxa" w:w="120"/>
            </w:tcMar>
          </w:tcPr>
          <w:p>
            <w:pPr>
              <w:numPr>
                <w:numId w:val="36"/>
              </w:numPr>
              <w:spacing w:before="120" w:after="120" w:line="288" w:lineRule="auto"/>
              <w:ind w:left="0"/>
              <w:jc w:val="left"/>
            </w:pPr>
            <w:r>
              <w:rPr>
                <w:rFonts w:eastAsia="等线" w:ascii="Arial" w:cs="Arial" w:hAnsi="Arial"/>
                <w:sz w:val="22"/>
              </w:rPr>
              <w:t>已公布但尚未到生效日的條目。每條包含：</w:t>
            </w:r>
          </w:p>
          <w:p>
            <w:pPr>
              <w:numPr>
                <w:numId w:val="37"/>
              </w:numPr>
              <w:spacing w:before="120" w:after="120" w:line="288" w:lineRule="auto"/>
              <w:ind w:left="453"/>
              <w:jc w:val="left"/>
            </w:pPr>
            <w:r>
              <w:rPr>
                <w:rFonts w:eastAsia="等线" w:ascii="Arial" w:cs="Arial" w:hAnsi="Arial"/>
                <w:sz w:val="22"/>
              </w:rPr>
              <w:t>公布日、生效日（倒數天數）</w:t>
            </w:r>
          </w:p>
          <w:p>
            <w:pPr>
              <w:numPr>
                <w:numId w:val="38"/>
              </w:numPr>
              <w:spacing w:before="120" w:after="120" w:line="288" w:lineRule="auto"/>
              <w:ind w:left="453"/>
              <w:jc w:val="left"/>
            </w:pPr>
            <w:r>
              <w:rPr>
                <w:rFonts w:eastAsia="等线" w:ascii="Arial" w:cs="Arial" w:hAnsi="Arial"/>
                <w:sz w:val="22"/>
              </w:rPr>
              <w:t>一句話建議行動時點。範例：「建議於生效前 2 週重新分類」</w:t>
            </w:r>
          </w:p>
          <w:p>
            <w:pPr>
              <w:numPr>
                <w:numId w:val="39"/>
              </w:numPr>
              <w:spacing w:before="120" w:after="120" w:line="288" w:lineRule="auto"/>
              <w:ind w:left="453"/>
              <w:jc w:val="left"/>
            </w:pPr>
            <w:r>
              <w:rPr>
                <w:rFonts w:eastAsia="等线" w:ascii="Arial" w:cs="Arial" w:hAnsi="Arial"/>
                <w:sz w:val="22"/>
              </w:rPr>
              <w:t>原文連結</w:t>
            </w:r>
          </w:p>
          <w:p>
            <w:pPr>
              <w:spacing w:before="120" w:after="120" w:line="288" w:lineRule="auto"/>
              <w:ind w:left="453"/>
              <w:jc w:val="center"/>
            </w:pPr>
            <w:r>
              <w:drawing>
                <wp:inline distT="0" distR="0" distB="0" distL="0">
                  <wp:extent cx="3695700" cy="1200150"/>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9"/>
                          <a:stretch>
                            <a:fillRect/>
                          </a:stretch>
                        </pic:blipFill>
                        <pic:spPr>
                          <a:xfrm>
                            <a:off x="0" y="0"/>
                            <a:ext cx="3695700" cy="1200150"/>
                          </a:xfrm>
                          <a:prstGeom prst="rect">
                            <a:avLst/>
                          </a:prstGeom>
                        </pic:spPr>
                      </pic:pic>
                    </a:graphicData>
                  </a:graphic>
                </wp:inline>
              </w:drawing>
            </w:r>
          </w:p>
          <w:p>
            <w:pPr>
              <w:spacing w:before="120" w:after="120" w:line="288" w:lineRule="auto"/>
              <w:ind w:left="453"/>
              <w:jc w:val="left"/>
            </w:pPr>
          </w:p>
        </w:tc>
      </w:tr>
      <w:tr>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趨勢（非正式)(1.0不實作)</w:t>
            </w:r>
          </w:p>
          <w:p>
            <w:pPr>
              <w:spacing w:before="120" w:after="120" w:line="288" w:lineRule="auto"/>
              <w:ind w:left="0"/>
              <w:jc w:val="left"/>
            </w:pPr>
          </w:p>
        </w:tc>
        <w:tc>
          <w:tcPr>
            <w:tcW w:w="60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白宮 / 國會層級(來源是 White House 或者 Proclamation)已透露但尚未進入 Federal Register 的訊號。每條包含：</w:t>
            </w:r>
          </w:p>
          <w:p>
            <w:pPr>
              <w:numPr>
                <w:numId w:val="40"/>
              </w:numPr>
              <w:spacing w:before="120" w:after="120" w:line="288" w:lineRule="auto"/>
              <w:ind w:left="453"/>
              <w:jc w:val="left"/>
            </w:pPr>
            <w:r>
              <w:rPr>
                <w:rFonts w:eastAsia="等线" w:ascii="Arial" w:cs="Arial" w:hAnsi="Arial"/>
                <w:sz w:val="22"/>
              </w:rPr>
              <w:t>預計生效時間（如有）</w:t>
            </w:r>
          </w:p>
          <w:p>
            <w:pPr>
              <w:numPr>
                <w:numId w:val="41"/>
              </w:numPr>
              <w:spacing w:before="120" w:after="120" w:line="288" w:lineRule="auto"/>
              <w:ind w:left="453"/>
              <w:jc w:val="left"/>
            </w:pPr>
            <w:r>
              <w:rPr>
                <w:rFonts w:eastAsia="等线" w:ascii="Arial" w:cs="Arial" w:hAnsi="Arial"/>
                <w:sz w:val="22"/>
              </w:rPr>
              <w:t>醒目標示「非正式」字樣</w:t>
            </w:r>
          </w:p>
          <w:p>
            <w:pPr>
              <w:numPr>
                <w:numId w:val="42"/>
              </w:numPr>
              <w:spacing w:before="120" w:after="120" w:line="288" w:lineRule="auto"/>
              <w:ind w:left="453"/>
              <w:jc w:val="left"/>
            </w:pPr>
            <w:r>
              <w:rPr>
                <w:rFonts w:eastAsia="等线" w:ascii="Arial" w:cs="Arial" w:hAnsi="Arial"/>
                <w:sz w:val="22"/>
              </w:rPr>
              <w:t>原文連結</w:t>
            </w:r>
          </w:p>
          <w:p>
            <w:pPr>
              <w:spacing w:before="120" w:after="120" w:line="288" w:lineRule="auto"/>
              <w:ind w:left="453"/>
              <w:jc w:val="center"/>
            </w:pPr>
            <w:r>
              <w:drawing>
                <wp:inline distT="0" distR="0" distB="0" distL="0">
                  <wp:extent cx="3695700" cy="1200150"/>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9"/>
                          <a:stretch>
                            <a:fillRect/>
                          </a:stretch>
                        </pic:blipFill>
                        <pic:spPr>
                          <a:xfrm>
                            <a:off x="0" y="0"/>
                            <a:ext cx="3695700" cy="1200150"/>
                          </a:xfrm>
                          <a:prstGeom prst="rect">
                            <a:avLst/>
                          </a:prstGeom>
                        </pic:spPr>
                      </pic:pic>
                    </a:graphicData>
                  </a:graphic>
                </wp:inline>
              </w:drawing>
            </w:r>
          </w:p>
          <w:p>
            <w:pPr>
              <w:spacing w:before="120" w:after="120" w:line="288" w:lineRule="auto"/>
              <w:ind w:left="453"/>
              <w:jc w:val="left"/>
            </w:pPr>
          </w:p>
        </w:tc>
      </w:tr>
      <w:tr>
        <w:tc>
          <w:tcPr>
            <w:tcW w:w="2220" w:type="dxa"/>
            <w:tcMar>
              <w:top w:type="dxa" w:w="60"/>
              <w:left w:type="dxa" w:w="120"/>
              <w:bottom w:type="dxa" w:w="30"/>
              <w:right w:type="dxa" w:w="120"/>
            </w:tcMar>
          </w:tcPr>
          <w:p>
            <w:pPr>
              <w:numPr>
                <w:numId w:val="43"/>
              </w:numPr>
              <w:spacing w:before="120" w:after="120" w:line="288" w:lineRule="auto"/>
              <w:ind w:left="0"/>
              <w:jc w:val="left"/>
            </w:pPr>
            <w:r>
              <w:rPr>
                <w:rFonts w:eastAsia="等线" w:ascii="Arial" w:cs="Arial" w:hAnsi="Arial"/>
                <w:b w:val="true"/>
                <w:sz w:val="22"/>
              </w:rPr>
              <w:t>建議行動</w:t>
            </w:r>
          </w:p>
        </w:tc>
        <w:tc>
          <w:tcPr>
            <w:tcW w:w="60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根據以上彙整，給出 1 到 3 條具體建議。範例：「建議重新分類至 8542.32」「建議於 2026-06 前重新計算合金總含量」。</w:t>
            </w:r>
          </w:p>
        </w:tc>
      </w:tr>
    </w:tbl>
    <w:p>
      <w:pPr>
        <w:spacing w:before="120" w:after="120" w:line="288" w:lineRule="auto"/>
        <w:ind w:left="0"/>
        <w:jc w:val="left"/>
      </w:pPr>
      <w:r>
        <w:rPr>
          <w:rFonts w:eastAsia="等线" w:ascii="Arial" w:cs="Arial" w:hAnsi="Arial"/>
          <w:b w:val="true"/>
          <w:sz w:val="22"/>
        </w:rPr>
        <w:t>額外處理規則：</w:t>
      </w:r>
    </w:p>
    <w:p>
      <w:pPr>
        <w:numPr>
          <w:numId w:val="44"/>
        </w:numPr>
        <w:spacing w:before="120" w:after="120" w:line="288" w:lineRule="auto"/>
        <w:ind w:left="0"/>
        <w:jc w:val="left"/>
      </w:pPr>
      <w:r>
        <w:rPr>
          <w:rFonts w:eastAsia="等线" w:ascii="Arial" w:cs="Arial" w:hAnsi="Arial"/>
          <w:b w:val="true"/>
          <w:color w:val="d83931"/>
          <w:sz w:val="22"/>
        </w:rPr>
        <w:t>庫內無相關條目</w:t>
      </w:r>
      <w:r>
        <w:rPr>
          <w:rFonts w:eastAsia="等线" w:ascii="Arial" w:cs="Arial" w:hAnsi="Arial"/>
          <w:sz w:val="22"/>
        </w:rPr>
        <w:t>：明確告知「目前庫內未找到與此查詢相關的內容」</w:t>
      </w:r>
    </w:p>
    <w:p>
      <w:pPr>
        <w:numPr>
          <w:numId w:val="45"/>
        </w:numPr>
        <w:spacing w:before="120" w:after="120" w:line="288" w:lineRule="auto"/>
        <w:ind w:left="0"/>
        <w:jc w:val="left"/>
      </w:pPr>
      <w:r>
        <w:rPr>
          <w:rFonts w:eastAsia="等线" w:ascii="Arial" w:cs="Arial" w:hAnsi="Arial"/>
          <w:b w:val="true"/>
          <w:sz w:val="22"/>
        </w:rPr>
        <w:t>完整 HTS code 輸入</w:t>
      </w:r>
      <w:r>
        <w:rPr>
          <w:rFonts w:eastAsia="等线" w:ascii="Arial" w:cs="Arial" w:hAnsi="Arial"/>
          <w:sz w:val="22"/>
        </w:rPr>
        <w:t>：若用戶輸入 8 位以上完整 HTS code，需擴展檢索至同 chapter（前 2 碼）與 heading（前 4 碼）層級，確保不漏掉間接相關的法規。</w:t>
      </w:r>
    </w:p>
    <w:p>
      <w:pPr>
        <w:spacing w:before="120" w:after="120" w:line="288" w:lineRule="auto"/>
        <w:ind w:left="0"/>
        <w:jc w:val="left"/>
      </w:pPr>
    </w:p>
    <w:p>
      <w:pPr>
        <w:numPr>
          <w:numId w:val="46"/>
        </w:numPr>
        <w:spacing w:before="120" w:after="120" w:line="288" w:lineRule="auto"/>
        <w:ind w:left="0"/>
        <w:jc w:val="left"/>
      </w:pPr>
      <w:r>
        <w:rPr>
          <w:rFonts w:eastAsia="等线" w:ascii="Arial" w:cs="Arial" w:hAnsi="Arial"/>
          <w:b w:val="true"/>
          <w:sz w:val="22"/>
        </w:rPr>
        <w:t>[V1.0 不實作]趨勢類條目</w:t>
      </w:r>
      <w:r>
        <w:rPr>
          <w:rFonts w:eastAsia="等线" w:ascii="Arial" w:cs="Arial" w:hAnsi="Arial"/>
          <w:sz w:val="22"/>
        </w:rPr>
        <w:t>：須清楚標示「非正式」，避免用戶誤判為已生效。</w:t>
      </w:r>
    </w:p>
    <w:p>
      <w:pPr>
        <w:spacing w:before="120" w:after="120" w:line="288" w:lineRule="auto"/>
        <w:ind w:left="0"/>
        <w:jc w:val="left"/>
      </w:pPr>
    </w:p>
    <w:p>
      <w:pPr>
        <w:numPr>
          <w:numId w:val="47"/>
        </w:numPr>
        <w:spacing w:before="120" w:after="120" w:line="288" w:lineRule="auto"/>
        <w:ind w:left="0"/>
        <w:jc w:val="left"/>
      </w:pPr>
      <w:r>
        <w:rPr>
          <w:rFonts w:eastAsia="等线" w:ascii="Arial" w:cs="Arial" w:hAnsi="Arial"/>
          <w:b w:val="true"/>
          <w:sz w:val="22"/>
        </w:rPr>
        <w:t>資訊密度</w:t>
      </w:r>
      <w:r>
        <w:rPr>
          <w:rFonts w:eastAsia="等线" w:ascii="Arial" w:cs="Arial" w:hAnsi="Arial"/>
          <w:sz w:val="22"/>
        </w:rPr>
        <w:t>：若同主題條目過多（例 &gt; 5 條），優先呈現「最近發布」與「即將生效」者，其餘以「另有 N 條相關條目」摺疊呈現，避免資訊過載。</w:t>
      </w:r>
    </w:p>
    <w:p>
      <w:pPr>
        <w:numPr>
          <w:numId w:val="48"/>
        </w:numPr>
        <w:spacing w:before="120" w:after="120" w:line="288" w:lineRule="auto"/>
        <w:ind w:left="0"/>
        <w:jc w:val="left"/>
      </w:pPr>
      <w:r>
        <w:rPr>
          <w:rFonts w:eastAsia="等线" w:ascii="Arial" w:cs="Arial" w:hAnsi="Arial"/>
          <w:b w:val="true"/>
          <w:sz w:val="22"/>
        </w:rPr>
        <w:t>(CSMS、White House ... 之類的信息源，並把所有跟進出口貿易相關的都入庫)</w:t>
      </w:r>
    </w:p>
    <w:p>
      <w:pPr>
        <w:pStyle w:val="2"/>
        <w:spacing w:before="320" w:after="120" w:line="288" w:lineRule="auto"/>
        <w:ind w:left="0"/>
        <w:jc w:val="left"/>
        <w:outlineLvl w:val="1"/>
      </w:pPr>
      <w:bookmarkStart w:name="heading_21" w:id="21"/>
      <w:r>
        <w:rPr>
          <w:rFonts w:eastAsia="等线" w:ascii="Arial" w:cs="Arial" w:hAnsi="Arial"/>
          <w:color w:val="3370ff"/>
          <w:sz w:val="32"/>
        </w:rPr>
        <w:t xml:space="preserve">3.6 </w:t>
      </w:r>
      <w:r>
        <w:rPr>
          <w:rFonts w:eastAsia="等线" w:ascii="Arial" w:cs="Arial" w:hAnsi="Arial"/>
          <w:b w:val="true"/>
          <w:sz w:val="32"/>
        </w:rPr>
        <w:t>訂閱主題 以及 快速查詢 (Topics and Quick Check)</w:t>
      </w:r>
      <w:bookmarkEnd w:id="21"/>
    </w:p>
    <w:p>
      <w:pPr>
        <w:pStyle w:val="3"/>
        <w:spacing w:before="300" w:after="120" w:line="288" w:lineRule="auto"/>
        <w:ind w:left="453"/>
        <w:jc w:val="left"/>
        <w:outlineLvl w:val="2"/>
      </w:pPr>
      <w:bookmarkStart w:name="heading_22" w:id="22"/>
      <w:r>
        <w:rPr>
          <w:rFonts w:eastAsia="等线" w:ascii="Arial" w:cs="Arial" w:hAnsi="Arial"/>
          <w:color w:val="3370ff"/>
          <w:sz w:val="30"/>
        </w:rPr>
        <w:t xml:space="preserve">3.6.1 </w:t>
      </w:r>
      <w:r>
        <w:rPr>
          <w:rFonts w:eastAsia="等线" w:ascii="Arial" w:cs="Arial" w:hAnsi="Arial"/>
          <w:b w:val="true"/>
          <w:sz w:val="30"/>
        </w:rPr>
        <w:t>訂閱類型總覽</w:t>
      </w:r>
      <w:bookmarkEnd w:id="22"/>
    </w:p>
    <w:p>
      <w:pPr>
        <w:spacing w:before="120" w:after="120" w:line="288" w:lineRule="auto"/>
        <w:ind w:left="453"/>
      </w:pPr>
      <w:r>
        <w:object>
          <v:shape id="_x0000_i1030" style="width:414pt;height:90pt;mso-width-percent:0;mso-height-percent:0;mso-width-percent:0;mso-height-percent:0" type="#_x0000_t75" o:ole="">
            <v:imagedata r:id="rId21" o:title=""/>
          </v:shape>
          <o:OLEObject DrawAspect="Icon" ObjectID="_1718471224" ProgID="Excel.Sheet.12" ShapeID="_x0000_i1030" Type="Embed" r:id="rId20"/>
        </w:object>
      </w:r>
    </w:p>
    <w:p>
      <w:pPr>
        <w:spacing w:after="120"/>
        <w:ind w:left="453"/>
        <w:jc w:val="center"/>
      </w:pPr>
      <w:r>
        <w:rPr>
          <w:rFonts w:eastAsia="等线" w:ascii="Arial" w:cs="Arial" w:hAnsi="Arial"/>
          <w:b w:val="true"/>
          <w:sz w:val="22"/>
        </w:rPr>
        <w:t>点击图片可查看完整电子表格</w:t>
      </w:r>
    </w:p>
    <w:p>
      <w:pPr>
        <w:spacing w:before="120" w:after="120" w:line="288" w:lineRule="auto"/>
        <w:ind w:left="453"/>
        <w:jc w:val="left"/>
      </w:pPr>
      <w:r>
        <w:rPr>
          <w:rFonts w:eastAsia="等线" w:ascii="Arial" w:cs="Arial" w:hAnsi="Arial"/>
          <w:b w:val="true"/>
          <w:sz w:val="22"/>
        </w:rPr>
        <w:t>共通原則：訂閱不是內容開關，而是過濾器。</w:t>
      </w:r>
      <w:r>
        <w:rPr>
          <w:rFonts w:eastAsia="等线" w:ascii="Arial" w:cs="Arial" w:hAnsi="Arial"/>
          <w:sz w:val="22"/>
        </w:rPr>
        <w:t xml:space="preserve"> 不管用戶有沒有訂閱任何 topic / tariff / HTS code，4.1 過濾出的所有美國政府官方進出口相關內容</w:t>
      </w:r>
      <w:r>
        <w:rPr>
          <w:rFonts w:eastAsia="等线" w:ascii="Arial" w:cs="Arial" w:hAnsi="Arial"/>
          <w:b w:val="true"/>
          <w:sz w:val="22"/>
        </w:rPr>
        <w:t>都會</w:t>
      </w:r>
      <w:r>
        <w:rPr>
          <w:rFonts w:eastAsia="等线" w:ascii="Arial" w:cs="Arial" w:hAnsi="Arial"/>
          <w:sz w:val="22"/>
        </w:rPr>
        <w:t>進入 Recent Policy Updates 列表。訂閱的作用是：</w:t>
      </w:r>
    </w:p>
    <w:p>
      <w:pPr>
        <w:numPr>
          <w:numId w:val="49"/>
        </w:numPr>
        <w:spacing w:before="120" w:after="120" w:line="288" w:lineRule="auto"/>
        <w:ind w:left="453"/>
        <w:jc w:val="left"/>
      </w:pPr>
      <w:r>
        <w:rPr>
          <w:rFonts w:eastAsia="等线" w:ascii="Arial" w:cs="Arial" w:hAnsi="Arial"/>
          <w:sz w:val="22"/>
        </w:rPr>
        <w:t>在 Recent Policy Updates 中以該訂閱項目為條件</w:t>
      </w:r>
      <w:r>
        <w:rPr>
          <w:rFonts w:eastAsia="等线" w:ascii="Arial" w:cs="Arial" w:hAnsi="Arial"/>
          <w:b w:val="true"/>
          <w:sz w:val="22"/>
        </w:rPr>
        <w:t>過濾</w:t>
      </w:r>
      <w:r>
        <w:rPr>
          <w:rFonts w:eastAsia="等线" w:ascii="Arial" w:cs="Arial" w:hAnsi="Arial"/>
          <w:sz w:val="22"/>
        </w:rPr>
        <w:t>，只看用戶關心的子集。</w:t>
      </w:r>
    </w:p>
    <w:p>
      <w:pPr>
        <w:numPr>
          <w:numId w:val="50"/>
        </w:numPr>
        <w:spacing w:before="120" w:after="120" w:line="288" w:lineRule="auto"/>
        <w:ind w:left="453"/>
        <w:jc w:val="left"/>
      </w:pPr>
      <w:r>
        <w:rPr>
          <w:rFonts w:eastAsia="等线" w:ascii="Arial" w:cs="Arial" w:hAnsi="Arial"/>
          <w:sz w:val="22"/>
        </w:rPr>
        <w:t>觸發 4.3 行動建議比對與 4.4 Agent 通知（email、Calendar）。</w:t>
      </w:r>
    </w:p>
    <w:p>
      <w:pPr>
        <w:pStyle w:val="3"/>
        <w:spacing w:before="300" w:after="120" w:line="288" w:lineRule="auto"/>
        <w:ind w:left="453"/>
        <w:jc w:val="left"/>
        <w:outlineLvl w:val="2"/>
      </w:pPr>
      <w:bookmarkStart w:name="heading_23" w:id="23"/>
      <w:r>
        <w:rPr>
          <w:rFonts w:eastAsia="等线" w:ascii="Arial" w:cs="Arial" w:hAnsi="Arial"/>
          <w:color w:val="3370ff"/>
          <w:sz w:val="30"/>
        </w:rPr>
        <w:t xml:space="preserve">3.6.2 </w:t>
      </w:r>
      <w:r>
        <w:rPr>
          <w:rFonts w:eastAsia="等线" w:ascii="Arial" w:cs="Arial" w:hAnsi="Arial"/>
          <w:b w:val="true"/>
          <w:sz w:val="30"/>
        </w:rPr>
        <w:t>Topics 訂閱</w:t>
      </w:r>
      <w:bookmarkEnd w:id="23"/>
    </w:p>
    <w:p>
      <w:pPr>
        <w:pStyle w:val="4"/>
        <w:spacing w:before="260" w:after="120" w:line="288" w:lineRule="auto"/>
        <w:ind w:left="453"/>
        <w:jc w:val="left"/>
        <w:outlineLvl w:val="3"/>
      </w:pPr>
      <w:bookmarkStart w:name="heading_24" w:id="24"/>
      <w:r>
        <w:rPr>
          <w:rFonts w:eastAsia="等线" w:ascii="Arial" w:cs="Arial" w:hAnsi="Arial"/>
          <w:b w:val="true"/>
          <w:sz w:val="28"/>
        </w:rPr>
        <w:t>訂閱入口</w:t>
      </w:r>
      <w:bookmarkEnd w:id="24"/>
    </w:p>
    <w:p>
      <w:pPr>
        <w:numPr>
          <w:numId w:val="51"/>
        </w:numPr>
        <w:spacing w:before="120" w:after="120" w:line="288" w:lineRule="auto"/>
        <w:ind w:left="453"/>
        <w:jc w:val="left"/>
      </w:pPr>
      <w:r>
        <w:rPr>
          <w:rFonts w:eastAsia="等线" w:ascii="Arial" w:cs="Arial" w:hAnsi="Arial"/>
          <w:b w:val="true"/>
          <w:sz w:val="22"/>
        </w:rPr>
        <w:t>入口 A：Sidebar Topics 加號</w:t>
      </w:r>
    </w:p>
    <w:tbl>
      <w:tblPr>
        <w:tblW w:w="0" w:type="auto"/>
        <w:tblInd w:w="453" w:type="dxa"/>
        <w:tblBorders>
          <w:top w:val="none" w:space="4"/>
          <w:left w:val="none" w:space="4"/>
          <w:bottom w:val="none" w:space="4"/>
          <w:right w:val="none" w:space="4"/>
          <w:insideH w:val="none" w:space="4"/>
          <w:insideV w:val="none" w:space="4"/>
        </w:tblBorders>
        <w:tblLayout w:type="fixed"/>
      </w:tblPr>
      <w:tblGrid>
        <w:gridCol w:w="3417"/>
        <w:gridCol w:w="4862"/>
      </w:tblGrid>
      <w:tr>
        <w:tc>
          <w:tcPr>
            <w:tcW w:w="3417" w:type="dxa"/>
            <w:tcMar>
              <w:top w:type="dxa" w:w="60"/>
              <w:left w:type="dxa" w:w="120"/>
              <w:bottom w:type="dxa" w:w="30"/>
              <w:right w:type="dxa" w:w="120"/>
            </w:tcMar>
          </w:tcPr>
          <w:p>
            <w:pPr>
              <w:spacing w:before="120" w:after="120" w:line="288" w:lineRule="auto"/>
              <w:ind w:left="0"/>
              <w:jc w:val="center"/>
            </w:pPr>
            <w:r>
              <w:drawing>
                <wp:inline distT="0" distR="0" distB="0" distL="0">
                  <wp:extent cx="2009775" cy="838200"/>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22"/>
                          <a:stretch>
                            <a:fillRect/>
                          </a:stretch>
                        </pic:blipFill>
                        <pic:spPr>
                          <a:xfrm>
                            <a:off x="0" y="0"/>
                            <a:ext cx="2009775" cy="83820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p>
        </w:tc>
        <w:tc>
          <w:tcPr>
            <w:tcW w:w="4862" w:type="dxa"/>
            <w:tcMar>
              <w:top w:type="dxa" w:w="60"/>
              <w:left w:type="dxa" w:w="120"/>
              <w:bottom w:type="dxa" w:w="30"/>
              <w:right w:type="dxa" w:w="120"/>
            </w:tcMar>
          </w:tcPr>
          <w:p>
            <w:pPr>
              <w:spacing w:before="120" w:after="120" w:line="288" w:lineRule="auto"/>
              <w:ind w:left="0"/>
            </w:pPr>
            <w:r>
              <w:object>
                <v:shape id="_x0000_i1031" style="width:231pt;height:65pt;mso-width-percent:0;mso-height-percent:0;mso-width-percent:0;mso-height-percent:0" type="#_x0000_t75" o:ole="">
                  <v:imagedata r:id="rId24" o:title=""/>
                </v:shape>
                <o:OLEObject DrawAspect="Icon" ObjectID="_1718471225" ProgID="Excel.Sheet.12" ShapeID="_x0000_i1031" Type="Embed" r:id="rId23"/>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p>
        </w:tc>
      </w:tr>
    </w:tbl>
    <w:p>
      <w:pPr>
        <w:numPr>
          <w:numId w:val="52"/>
        </w:numPr>
        <w:spacing w:before="120" w:after="120" w:line="288" w:lineRule="auto"/>
        <w:ind w:left="453"/>
        <w:jc w:val="left"/>
      </w:pPr>
      <w:r>
        <w:rPr>
          <w:rFonts w:eastAsia="等线" w:ascii="Arial" w:cs="Arial" w:hAnsi="Arial"/>
          <w:b w:val="true"/>
          <w:sz w:val="22"/>
        </w:rPr>
        <w:t>入口 B：Quick Check「Subscribe to this topic」</w:t>
      </w:r>
    </w:p>
    <w:tbl>
      <w:tblPr>
        <w:tblW w:w="0" w:type="auto"/>
        <w:tblInd w:w="453" w:type="dxa"/>
        <w:tblBorders>
          <w:top w:val="none" w:space="4"/>
          <w:left w:val="none" w:space="4"/>
          <w:bottom w:val="none" w:space="4"/>
          <w:right w:val="none" w:space="4"/>
          <w:insideH w:val="none" w:space="4"/>
          <w:insideV w:val="none" w:space="4"/>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center"/>
            </w:pPr>
            <w:r>
              <w:drawing>
                <wp:inline distT="0" distR="0" distB="0" distL="0">
                  <wp:extent cx="2476500" cy="1276350"/>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25"/>
                          <a:stretch>
                            <a:fillRect/>
                          </a:stretch>
                        </pic:blipFill>
                        <pic:spPr>
                          <a:xfrm>
                            <a:off x="0" y="0"/>
                            <a:ext cx="2476500" cy="1276350"/>
                          </a:xfrm>
                          <a:prstGeom prst="rect">
                            <a:avLst/>
                          </a:prstGeom>
                        </pic:spPr>
                      </pic:pic>
                    </a:graphicData>
                  </a:graphic>
                </wp:inline>
              </w:drawing>
            </w:r>
          </w:p>
          <w:p>
            <w:pPr>
              <w:spacing w:before="120" w:after="120" w:line="288" w:lineRule="auto"/>
              <w:ind w:left="0"/>
              <w:jc w:val="left"/>
            </w:pPr>
          </w:p>
        </w:tc>
        <w:tc>
          <w:tcPr>
            <w:tcW w:w="4140" w:type="dxa"/>
            <w:tcMar>
              <w:top w:type="dxa" w:w="60"/>
              <w:left w:type="dxa" w:w="120"/>
              <w:bottom w:type="dxa" w:w="30"/>
              <w:right w:type="dxa" w:w="120"/>
            </w:tcMar>
          </w:tcPr>
          <w:p>
            <w:pPr>
              <w:spacing w:before="120" w:after="120" w:line="288" w:lineRule="auto"/>
              <w:ind w:left="0"/>
            </w:pPr>
            <w:r>
              <w:object>
                <v:shape id="_x0000_i1032" style="width:195pt;height:48pt;mso-width-percent:0;mso-height-percent:0;mso-width-percent:0;mso-height-percent:0" type="#_x0000_t75" o:ole="">
                  <v:imagedata r:id="rId27" o:title=""/>
                </v:shape>
                <o:OLEObject DrawAspect="Icon" ObjectID="_1718471226" ProgID="Excel.Sheet.12" ShapeID="_x0000_i1032" Type="Embed" r:id="rId26"/>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p>
          <w:p>
            <w:pPr>
              <w:spacing w:before="120" w:after="120" w:line="288" w:lineRule="auto"/>
              <w:ind w:left="0"/>
              <w:jc w:val="left"/>
            </w:pPr>
          </w:p>
        </w:tc>
      </w:tr>
    </w:tbl>
    <w:p>
      <w:pPr>
        <w:pStyle w:val="4"/>
        <w:spacing w:before="260" w:after="120" w:line="288" w:lineRule="auto"/>
        <w:ind w:left="453"/>
        <w:jc w:val="left"/>
        <w:outlineLvl w:val="3"/>
      </w:pPr>
      <w:bookmarkStart w:name="heading_25" w:id="25"/>
      <w:r>
        <w:rPr>
          <w:rFonts w:eastAsia="等线" w:ascii="Arial" w:cs="Arial" w:hAnsi="Arial"/>
          <w:b w:val="true"/>
          <w:sz w:val="28"/>
        </w:rPr>
        <w:t>訂閱規則</w:t>
      </w:r>
      <w:bookmarkEnd w:id="25"/>
    </w:p>
    <w:p>
      <w:pPr>
        <w:numPr>
          <w:numId w:val="53"/>
        </w:numPr>
        <w:spacing w:before="120" w:after="120" w:line="288" w:lineRule="auto"/>
        <w:ind w:left="453"/>
        <w:jc w:val="left"/>
      </w:pPr>
      <w:r>
        <w:rPr>
          <w:rFonts w:eastAsia="等线" w:ascii="Arial" w:cs="Arial" w:hAnsi="Arial"/>
          <w:b w:val="true"/>
          <w:sz w:val="22"/>
        </w:rPr>
        <w:t>數量上限</w:t>
      </w:r>
      <w:r>
        <w:rPr>
          <w:rFonts w:eastAsia="等线" w:ascii="Arial" w:cs="Arial" w:hAnsi="Arial"/>
          <w:sz w:val="22"/>
        </w:rPr>
        <w:t>：</w:t>
      </w:r>
    </w:p>
    <w:p>
      <w:pPr>
        <w:numPr>
          <w:numId w:val="54"/>
        </w:numPr>
        <w:spacing w:before="120" w:after="120" w:line="288" w:lineRule="auto"/>
        <w:ind w:left="453"/>
        <w:jc w:val="left"/>
      </w:pPr>
      <w:r>
        <w:rPr>
          <w:rFonts w:eastAsia="等线" w:ascii="Arial" w:cs="Arial" w:hAnsi="Arial"/>
          <w:sz w:val="22"/>
        </w:rPr>
        <w:t xml:space="preserve">預設每位付費用戶最多 5 個 topic 訂閱（與付費方案掛勾，未來可放寬）。達到上限時，POST 回 </w:t>
      </w:r>
      <w:r>
        <w:rPr>
          <w:rFonts w:eastAsia="Consolas" w:ascii="Consolas" w:cs="Consolas" w:hAnsi="Consolas"/>
          <w:sz w:val="22"/>
          <w:shd w:fill="EFF0F1"/>
        </w:rPr>
        <w:t>403</w:t>
      </w:r>
      <w:r>
        <w:rPr>
          <w:rFonts w:eastAsia="等线" w:ascii="Arial" w:cs="Arial" w:hAnsi="Arial"/>
          <w:sz w:val="22"/>
        </w:rPr>
        <w:t>。</w:t>
      </w:r>
    </w:p>
    <w:p>
      <w:pPr>
        <w:numPr>
          <w:numId w:val="55"/>
        </w:numPr>
        <w:spacing w:before="120" w:after="120" w:line="288" w:lineRule="auto"/>
        <w:ind w:left="453"/>
        <w:jc w:val="left"/>
      </w:pPr>
      <w:r>
        <w:rPr>
          <w:rFonts w:eastAsia="等线" w:ascii="Arial" w:cs="Arial" w:hAnsi="Arial"/>
          <w:sz w:val="22"/>
        </w:rPr>
        <w:t>免費版用戶 最多1個 topic 訂閱。</w:t>
      </w:r>
    </w:p>
    <w:p>
      <w:pPr>
        <w:numPr>
          <w:numId w:val="56"/>
        </w:numPr>
        <w:spacing w:before="120" w:after="120" w:line="288" w:lineRule="auto"/>
        <w:ind w:left="453"/>
        <w:jc w:val="left"/>
      </w:pPr>
      <w:r>
        <w:rPr>
          <w:rFonts w:eastAsia="等线" w:ascii="Arial" w:cs="Arial" w:hAnsi="Arial"/>
          <w:b w:val="true"/>
          <w:sz w:val="22"/>
        </w:rPr>
        <w:t>重複偵測</w:t>
      </w:r>
      <w:r>
        <w:rPr>
          <w:rFonts w:eastAsia="等线" w:ascii="Arial" w:cs="Arial" w:hAnsi="Arial"/>
          <w:sz w:val="22"/>
        </w:rPr>
        <w:t xml:space="preserve">：以正規化（小寫、去前後空白）後比對。若用戶已訂閱相同 topic，POST 回 </w:t>
      </w:r>
      <w:r>
        <w:rPr>
          <w:rFonts w:eastAsia="Consolas" w:ascii="Consolas" w:cs="Consolas" w:hAnsi="Consolas"/>
          <w:sz w:val="22"/>
          <w:shd w:fill="EFF0F1"/>
        </w:rPr>
        <w:t>409</w:t>
      </w:r>
      <w:r>
        <w:rPr>
          <w:rFonts w:eastAsia="等线" w:ascii="Arial" w:cs="Arial" w:hAnsi="Arial"/>
          <w:sz w:val="22"/>
        </w:rPr>
        <w:t>。</w:t>
      </w:r>
    </w:p>
    <w:p>
      <w:pPr>
        <w:numPr>
          <w:numId w:val="57"/>
        </w:numPr>
        <w:spacing w:before="120" w:after="120" w:line="288" w:lineRule="auto"/>
        <w:ind w:left="453"/>
        <w:jc w:val="left"/>
      </w:pPr>
      <w:r>
        <w:rPr>
          <w:rFonts w:eastAsia="等线" w:ascii="Arial" w:cs="Arial" w:hAnsi="Arial"/>
          <w:b w:val="true"/>
          <w:sz w:val="22"/>
        </w:rPr>
        <w:t>移除</w:t>
      </w:r>
      <w:r>
        <w:rPr>
          <w:rFonts w:eastAsia="等线" w:ascii="Arial" w:cs="Arial" w:hAnsi="Arial"/>
          <w:sz w:val="22"/>
        </w:rPr>
        <w:t xml:space="preserve">：用戶可在 Sidebar 該 topic 旁的移除按鈕觸發 </w:t>
      </w:r>
      <w:r>
        <w:rPr>
          <w:rFonts w:eastAsia="Consolas" w:ascii="Consolas" w:cs="Consolas" w:hAnsi="Consolas"/>
          <w:sz w:val="22"/>
          <w:shd w:fill="EFF0F1"/>
        </w:rPr>
        <w:t>DELETE</w:t>
      </w:r>
      <w:r>
        <w:rPr>
          <w:rFonts w:eastAsia="等线" w:ascii="Arial" w:cs="Arial" w:hAnsi="Arial"/>
          <w:sz w:val="22"/>
        </w:rPr>
        <w:t>，無確認流程外的限制。</w:t>
      </w:r>
    </w:p>
    <w:p>
      <w:pPr>
        <w:pStyle w:val="4"/>
        <w:spacing w:before="260" w:after="120" w:line="288" w:lineRule="auto"/>
        <w:ind w:left="453"/>
        <w:jc w:val="left"/>
        <w:outlineLvl w:val="3"/>
      </w:pPr>
      <w:bookmarkStart w:name="heading_26" w:id="26"/>
      <w:r>
        <w:rPr>
          <w:rFonts w:eastAsia="等线" w:ascii="Arial" w:cs="Arial" w:hAnsi="Arial"/>
          <w:b w:val="true"/>
          <w:sz w:val="28"/>
        </w:rPr>
        <w:t>Topic 比對邏輯（後端）</w:t>
      </w:r>
      <w:bookmarkEnd w:id="26"/>
    </w:p>
    <w:p>
      <w:pPr>
        <w:numPr>
          <w:numId w:val="58"/>
        </w:numPr>
        <w:spacing w:before="120" w:after="120" w:line="288" w:lineRule="auto"/>
        <w:ind w:left="453"/>
        <w:jc w:val="left"/>
      </w:pPr>
      <w:r>
        <w:rPr>
          <w:rFonts w:eastAsia="等线" w:ascii="Arial" w:cs="Arial" w:hAnsi="Arial"/>
          <w:sz w:val="22"/>
        </w:rPr>
        <w:t xml:space="preserve">入庫時，每筆條目產出 </w:t>
      </w:r>
      <w:r>
        <w:rPr>
          <w:rFonts w:eastAsia="Consolas" w:ascii="Consolas" w:cs="Consolas" w:hAnsi="Consolas"/>
          <w:sz w:val="22"/>
          <w:shd w:fill="EFF0F1"/>
        </w:rPr>
        <w:t>keywords[]</w:t>
      </w:r>
      <w:r>
        <w:rPr>
          <w:rFonts w:eastAsia="等线" w:ascii="Arial" w:cs="Arial" w:hAnsi="Arial"/>
          <w:sz w:val="22"/>
        </w:rPr>
        <w:t xml:space="preserve"> 索引（依條目標題、摘要、HTS chapter、國家做斷詞與抽取）。</w:t>
      </w:r>
    </w:p>
    <w:p>
      <w:pPr>
        <w:numPr>
          <w:numId w:val="59"/>
        </w:numPr>
        <w:spacing w:before="120" w:after="120" w:line="288" w:lineRule="auto"/>
        <w:ind w:left="453"/>
        <w:jc w:val="left"/>
      </w:pPr>
      <w:r>
        <w:rPr>
          <w:rFonts w:eastAsia="等线" w:ascii="Arial" w:cs="Arial" w:hAnsi="Arial"/>
          <w:sz w:val="22"/>
        </w:rPr>
        <w:t xml:space="preserve">用戶新增訂閱時，對庫內條目掃描，建立 </w:t>
      </w:r>
      <w:r>
        <w:rPr>
          <w:rFonts w:eastAsia="Consolas" w:ascii="Consolas" w:cs="Consolas" w:hAnsi="Consolas"/>
          <w:sz w:val="22"/>
          <w:shd w:fill="EFF0F1"/>
        </w:rPr>
        <w:t>topic ↔ briefing_id</w:t>
      </w:r>
      <w:r>
        <w:rPr>
          <w:rFonts w:eastAsia="等线" w:ascii="Arial" w:cs="Arial" w:hAnsi="Arial"/>
          <w:sz w:val="22"/>
        </w:rPr>
        <w:t xml:space="preserve"> 關聯表。</w:t>
      </w:r>
    </w:p>
    <w:p>
      <w:pPr>
        <w:pStyle w:val="3"/>
        <w:spacing w:before="300" w:after="120" w:line="288" w:lineRule="auto"/>
        <w:ind w:left="453"/>
        <w:jc w:val="left"/>
        <w:outlineLvl w:val="2"/>
      </w:pPr>
      <w:bookmarkStart w:name="heading_27" w:id="27"/>
      <w:r>
        <w:rPr>
          <w:rFonts w:eastAsia="等线" w:ascii="Arial" w:cs="Arial" w:hAnsi="Arial"/>
          <w:color w:val="3370ff"/>
          <w:sz w:val="30"/>
        </w:rPr>
        <w:t xml:space="preserve">3.6.3 </w:t>
      </w:r>
      <w:r>
        <w:rPr>
          <w:rFonts w:eastAsia="等线" w:ascii="Arial" w:cs="Arial" w:hAnsi="Arial"/>
          <w:b w:val="true"/>
          <w:sz w:val="30"/>
        </w:rPr>
        <w:t>及時查詢（Quick Check）</w:t>
      </w:r>
      <w:bookmarkEnd w:id="27"/>
    </w:p>
    <w:p>
      <w:pPr>
        <w:spacing w:before="120" w:after="120" w:line="288" w:lineRule="auto"/>
        <w:ind w:left="453"/>
      </w:pPr>
      <w:r>
        <w:object>
          <v:shape id="_x0000_i1033" style="width:414pt;height:117pt;mso-width-percent:0;mso-height-percent:0;mso-width-percent:0;mso-height-percent:0" type="#_x0000_t75" o:ole="">
            <v:imagedata r:id="rId29" o:title=""/>
          </v:shape>
          <o:OLEObject DrawAspect="Icon" ObjectID="_1718471227" ProgID="Excel.Sheet.12" ShapeID="_x0000_i1033" Type="Embed" r:id="rId28"/>
        </w:object>
      </w:r>
    </w:p>
    <w:p>
      <w:pPr>
        <w:spacing w:after="120"/>
        <w:ind w:left="453"/>
        <w:jc w:val="center"/>
      </w:pPr>
      <w:r>
        <w:rPr>
          <w:rFonts w:eastAsia="等线" w:ascii="Arial" w:cs="Arial" w:hAnsi="Arial"/>
          <w:b w:val="true"/>
          <w:sz w:val="22"/>
        </w:rPr>
        <w:t>点击图片可查看完整电子表格</w:t>
      </w:r>
    </w:p>
    <w:p>
      <w:pPr>
        <w:spacing w:before="120" w:after="120" w:line="288" w:lineRule="auto"/>
        <w:ind w:left="453"/>
        <w:jc w:val="left"/>
      </w:pPr>
      <w:r>
        <w:rPr>
          <w:rFonts w:eastAsia="等线" w:ascii="Arial" w:cs="Arial" w:hAnsi="Arial"/>
          <w:b w:val="true"/>
          <w:sz w:val="22"/>
        </w:rPr>
        <w:t>訂閱按鈕規則：</w:t>
      </w:r>
      <w:r>
        <w:rPr>
          <w:rFonts w:eastAsia="等线" w:ascii="Arial" w:cs="Arial" w:hAnsi="Arial"/>
          <w:sz w:val="22"/>
        </w:rPr>
        <w:t xml:space="preserve"> 當 </w:t>
      </w:r>
      <w:r>
        <w:rPr>
          <w:rFonts w:eastAsia="Consolas" w:ascii="Consolas" w:cs="Consolas" w:hAnsi="Consolas"/>
          <w:sz w:val="22"/>
          <w:shd w:fill="EFF0F1"/>
        </w:rPr>
        <w:t>query_type=topic</w:t>
      </w:r>
      <w:r>
        <w:rPr>
          <w:rFonts w:eastAsia="等线" w:ascii="Arial" w:cs="Arial" w:hAnsi="Arial"/>
          <w:sz w:val="22"/>
        </w:rPr>
        <w:t xml:space="preserve"> 時，回覆內附帶 </w:t>
      </w:r>
      <w:r>
        <w:rPr>
          <w:rFonts w:eastAsia="Consolas" w:ascii="Consolas" w:cs="Consolas" w:hAnsi="Consolas"/>
          <w:sz w:val="22"/>
          <w:shd w:fill="EFF0F1"/>
        </w:rPr>
        <w:t>can_subscribe=true</w:t>
      </w:r>
      <w:r>
        <w:rPr>
          <w:rFonts w:eastAsia="等线" w:ascii="Arial" w:cs="Arial" w:hAnsi="Arial"/>
          <w:sz w:val="22"/>
        </w:rPr>
        <w:t>，前端據此顯示「Subscribe to this topic」按鈕（即 4.2.2 入口 B）。</w:t>
      </w:r>
    </w:p>
    <w:p>
      <w:pPr>
        <w:pStyle w:val="3"/>
        <w:spacing w:before="300" w:after="120" w:line="288" w:lineRule="auto"/>
        <w:ind w:left="453"/>
        <w:jc w:val="left"/>
        <w:outlineLvl w:val="2"/>
      </w:pPr>
      <w:bookmarkStart w:name="heading_28" w:id="28"/>
      <w:r>
        <w:rPr>
          <w:rFonts w:eastAsia="等线" w:ascii="Arial" w:cs="Arial" w:hAnsi="Arial"/>
          <w:color w:val="3370ff"/>
          <w:sz w:val="30"/>
        </w:rPr>
        <w:t xml:space="preserve">3.6.4 </w:t>
      </w:r>
      <w:r>
        <w:rPr>
          <w:rFonts w:eastAsia="等线" w:ascii="Arial" w:cs="Arial" w:hAnsi="Arial"/>
          <w:b w:val="true"/>
          <w:sz w:val="30"/>
        </w:rPr>
        <w:t>API 規格</w:t>
      </w:r>
      <w:bookmarkEnd w:id="28"/>
    </w:p>
    <w:p>
      <w:pPr>
        <w:spacing w:before="120" w:after="120" w:line="288" w:lineRule="auto"/>
        <w:ind w:left="453"/>
      </w:pPr>
      <w:r>
        <w:object>
          <v:shape id="_x0000_i1034" style="width:414pt;height:136pt;mso-width-percent:0;mso-height-percent:0;mso-width-percent:0;mso-height-percent:0" type="#_x0000_t75" o:ole="">
            <v:imagedata r:id="rId31" o:title=""/>
          </v:shape>
          <o:OLEObject DrawAspect="Icon" ObjectID="_1718471228" ProgID="Excel.Sheet.12" ShapeID="_x0000_i1034" Type="Embed" r:id="rId30"/>
        </w:object>
      </w:r>
    </w:p>
    <w:p>
      <w:pPr>
        <w:spacing w:after="120"/>
        <w:ind w:left="453"/>
        <w:jc w:val="center"/>
      </w:pPr>
      <w:r>
        <w:rPr>
          <w:rFonts w:eastAsia="等线" w:ascii="Arial" w:cs="Arial" w:hAnsi="Arial"/>
          <w:b w:val="true"/>
          <w:sz w:val="22"/>
        </w:rPr>
        <w:t>点击图片可查看完整电子表格</w:t>
      </w:r>
    </w:p>
    <w:p>
      <w:pPr>
        <w:pStyle w:val="4"/>
        <w:spacing w:before="260" w:after="120" w:line="288" w:lineRule="auto"/>
        <w:ind w:left="453"/>
        <w:jc w:val="left"/>
        <w:outlineLvl w:val="3"/>
      </w:pPr>
      <w:bookmarkStart w:name="heading_29" w:id="29"/>
      <w:r>
        <w:rPr>
          <w:rFonts w:eastAsia="等线" w:ascii="Arial" w:cs="Arial" w:hAnsi="Arial"/>
          <w:b w:val="true"/>
          <w:sz w:val="28"/>
        </w:rPr>
        <w:t>TopicSubscription（訂閱列表單筆條目）</w:t>
      </w:r>
      <w:bookmarkEnd w:id="29"/>
    </w:p>
    <w:tbl>
      <w:tblPr>
        <w:tblW w:w="0" w:type="auto"/>
        <w:tblInd w:w="453" w:type="dxa"/>
        <w:tblBorders>
          <w:top w:val="none" w:space="4"/>
          <w:left w:val="none" w:space="4"/>
          <w:bottom w:val="none" w:space="4"/>
          <w:right w:val="none" w:space="4"/>
          <w:insideH w:val="none" w:space="4"/>
          <w:insideV w:val="none" w:space="4"/>
        </w:tblBorders>
        <w:tblLayout w:type="fixed"/>
      </w:tblPr>
      <w:tblGrid>
        <w:gridCol w:w="2673"/>
        <w:gridCol w:w="5606"/>
      </w:tblGrid>
      <w:tr>
        <w:tc>
          <w:tcPr>
            <w:tcW w:w="2673" w:type="dxa"/>
            <w:tcMar>
              <w:top w:type="dxa" w:w="60"/>
              <w:left w:type="dxa" w:w="120"/>
              <w:bottom w:type="dxa" w:w="30"/>
              <w:right w:type="dxa" w:w="120"/>
            </w:tcMar>
          </w:tcPr>
          <w:p>
            <w:pPr>
              <w:spacing w:before="120" w:after="120" w:line="288" w:lineRule="auto"/>
              <w:ind w:left="0"/>
              <w:jc w:val="center"/>
            </w:pPr>
            <w:r>
              <w:drawing>
                <wp:inline distT="0" distR="0" distB="0" distL="0">
                  <wp:extent cx="1543050" cy="600075"/>
                  <wp:docPr id="9" name="Drawing 9" descr=""/>
                  <a:graphic xmlns:a="http://schemas.openxmlformats.org/drawingml/2006/main">
                    <a:graphicData uri="http://schemas.openxmlformats.org/drawingml/2006/picture">
                      <pic:pic xmlns:pic="http://schemas.openxmlformats.org/drawingml/2006/picture">
                        <pic:nvPicPr>
                          <pic:cNvPr id="0" name="Picture 9" descr=""/>
                          <pic:cNvPicPr>
                            <a:picLocks noChangeAspect="true"/>
                          </pic:cNvPicPr>
                        </pic:nvPicPr>
                        <pic:blipFill>
                          <a:blip r:embed="rId32"/>
                          <a:stretch>
                            <a:fillRect/>
                          </a:stretch>
                        </pic:blipFill>
                        <pic:spPr>
                          <a:xfrm>
                            <a:off x="0" y="0"/>
                            <a:ext cx="1543050" cy="600075"/>
                          </a:xfrm>
                          <a:prstGeom prst="rect">
                            <a:avLst/>
                          </a:prstGeom>
                        </pic:spPr>
                      </pic:pic>
                    </a:graphicData>
                  </a:graphic>
                </wp:inline>
              </w:drawing>
            </w:r>
          </w:p>
          <w:p>
            <w:pPr>
              <w:spacing w:before="120" w:after="120" w:line="288" w:lineRule="auto"/>
              <w:ind w:left="0"/>
              <w:jc w:val="left"/>
            </w:pPr>
          </w:p>
        </w:tc>
        <w:tc>
          <w:tcPr>
            <w:tcW w:w="5606" w:type="dxa"/>
            <w:tcMar>
              <w:top w:type="dxa" w:w="60"/>
              <w:left w:type="dxa" w:w="120"/>
              <w:bottom w:type="dxa" w:w="30"/>
              <w:right w:type="dxa" w:w="120"/>
            </w:tcMar>
          </w:tcPr>
          <w:p>
            <w:pPr>
              <w:spacing w:before="120" w:after="120" w:line="288" w:lineRule="auto"/>
              <w:ind w:left="0"/>
            </w:pPr>
            <w:r>
              <w:object>
                <v:shape id="_x0000_i1035" style="width:267pt;height:79pt;mso-width-percent:0;mso-height-percent:0;mso-width-percent:0;mso-height-percent:0" type="#_x0000_t75" o:ole="">
                  <v:imagedata r:id="rId34" o:title=""/>
                </v:shape>
                <o:OLEObject DrawAspect="Icon" ObjectID="_1718471229" ProgID="Excel.Sheet.12" ShapeID="_x0000_i1035" Type="Embed" r:id="rId33"/>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p>
        </w:tc>
      </w:tr>
    </w:tbl>
    <w:p>
      <w:pPr>
        <w:pStyle w:val="4"/>
        <w:spacing w:before="260" w:after="120" w:line="288" w:lineRule="auto"/>
        <w:ind w:left="453"/>
        <w:jc w:val="left"/>
        <w:outlineLvl w:val="3"/>
      </w:pPr>
      <w:bookmarkStart w:name="heading_30" w:id="30"/>
      <w:r>
        <w:rPr>
          <w:rFonts w:eastAsia="等线" w:ascii="Arial" w:cs="Arial" w:hAnsi="Arial"/>
          <w:b w:val="true"/>
          <w:sz w:val="28"/>
        </w:rPr>
        <w:t>POST /briefings/topic-subscriptions 請求參數</w:t>
      </w:r>
      <w:bookmarkEnd w:id="30"/>
    </w:p>
    <w:tbl>
      <w:tblPr>
        <w:tblW w:w="0" w:type="auto"/>
        <w:tblInd w:w="453" w:type="dxa"/>
        <w:tblBorders>
          <w:top w:val="none" w:space="4"/>
          <w:left w:val="none" w:space="4"/>
          <w:bottom w:val="none" w:space="4"/>
          <w:right w:val="none" w:space="4"/>
          <w:insideH w:val="none" w:space="4"/>
          <w:insideV w:val="none" w:space="4"/>
        </w:tblBorders>
        <w:tblLayout w:type="fixed"/>
      </w:tblPr>
      <w:tblGrid>
        <w:gridCol w:w="2892"/>
        <w:gridCol w:w="5387"/>
      </w:tblGrid>
      <w:tr>
        <w:tc>
          <w:tcPr>
            <w:tcW w:w="2892" w:type="dxa"/>
            <w:tcMar>
              <w:top w:type="dxa" w:w="60"/>
              <w:left w:type="dxa" w:w="120"/>
              <w:bottom w:type="dxa" w:w="30"/>
              <w:right w:type="dxa" w:w="120"/>
            </w:tcMar>
          </w:tcPr>
          <w:p>
            <w:pPr>
              <w:spacing w:before="120" w:after="120" w:line="288" w:lineRule="auto"/>
              <w:ind w:left="0"/>
              <w:jc w:val="center"/>
            </w:pPr>
            <w:r>
              <w:drawing>
                <wp:inline distT="0" distR="0" distB="0" distL="0">
                  <wp:extent cx="1676400" cy="695325"/>
                  <wp:docPr id="10" name="Drawing 10" descr=""/>
                  <a:graphic xmlns:a="http://schemas.openxmlformats.org/drawingml/2006/main">
                    <a:graphicData uri="http://schemas.openxmlformats.org/drawingml/2006/picture">
                      <pic:pic xmlns:pic="http://schemas.openxmlformats.org/drawingml/2006/picture">
                        <pic:nvPicPr>
                          <pic:cNvPr id="0" name="Picture 10" descr=""/>
                          <pic:cNvPicPr>
                            <a:picLocks noChangeAspect="true"/>
                          </pic:cNvPicPr>
                        </pic:nvPicPr>
                        <pic:blipFill>
                          <a:blip r:embed="rId22"/>
                          <a:stretch>
                            <a:fillRect/>
                          </a:stretch>
                        </pic:blipFill>
                        <pic:spPr>
                          <a:xfrm>
                            <a:off x="0" y="0"/>
                            <a:ext cx="1676400" cy="695325"/>
                          </a:xfrm>
                          <a:prstGeom prst="rect">
                            <a:avLst/>
                          </a:prstGeom>
                        </pic:spPr>
                      </pic:pic>
                    </a:graphicData>
                  </a:graphic>
                </wp:inline>
              </w:drawing>
            </w:r>
          </w:p>
          <w:p>
            <w:pPr>
              <w:spacing w:before="120" w:after="120" w:line="288" w:lineRule="auto"/>
              <w:ind w:left="0"/>
              <w:jc w:val="left"/>
            </w:pPr>
          </w:p>
        </w:tc>
        <w:tc>
          <w:tcPr>
            <w:tcW w:w="5387" w:type="dxa"/>
            <w:tcMar>
              <w:top w:type="dxa" w:w="60"/>
              <w:left w:type="dxa" w:w="120"/>
              <w:bottom w:type="dxa" w:w="30"/>
              <w:right w:type="dxa" w:w="120"/>
            </w:tcMar>
          </w:tcPr>
          <w:p>
            <w:pPr>
              <w:spacing w:before="120" w:after="120" w:line="288" w:lineRule="auto"/>
              <w:ind w:left="0"/>
            </w:pPr>
            <w:r>
              <w:object>
                <v:shape id="_x0000_i1036" style="width:257pt;height:53pt;mso-width-percent:0;mso-height-percent:0;mso-width-percent:0;mso-height-percent:0" type="#_x0000_t75" o:ole="">
                  <v:imagedata r:id="rId36" o:title=""/>
                </v:shape>
                <o:OLEObject DrawAspect="Icon" ObjectID="_1718471230" ProgID="Excel.Sheet.12" ShapeID="_x0000_i1036" Type="Embed" r:id="rId35"/>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p>
        </w:tc>
      </w:tr>
    </w:tbl>
    <w:p>
      <w:pPr>
        <w:pStyle w:val="4"/>
        <w:spacing w:before="260" w:after="120" w:line="288" w:lineRule="auto"/>
        <w:ind w:left="453"/>
        <w:jc w:val="left"/>
        <w:outlineLvl w:val="3"/>
      </w:pPr>
      <w:bookmarkStart w:name="heading_31" w:id="31"/>
      <w:r>
        <w:rPr>
          <w:rFonts w:eastAsia="等线" w:ascii="Arial" w:cs="Arial" w:hAnsi="Arial"/>
          <w:b w:val="true"/>
          <w:sz w:val="28"/>
        </w:rPr>
        <w:t>POST /briefings/quick-check 請求參數</w:t>
      </w:r>
      <w:bookmarkEnd w:id="31"/>
    </w:p>
    <w:tbl>
      <w:tblPr>
        <w:tblW w:w="0" w:type="auto"/>
        <w:tblInd w:w="453" w:type="dxa"/>
        <w:tblBorders>
          <w:top w:val="none" w:space="4"/>
          <w:left w:val="none" w:space="4"/>
          <w:bottom w:val="none" w:space="4"/>
          <w:right w:val="none" w:space="4"/>
          <w:insideH w:val="none" w:space="4"/>
          <w:insideV w:val="none" w:space="4"/>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center"/>
            </w:pPr>
            <w:r>
              <w:drawing>
                <wp:inline distT="0" distR="0" distB="0" distL="0">
                  <wp:extent cx="2476500" cy="723900"/>
                  <wp:docPr id="11" name="Drawing 11" descr=""/>
                  <a:graphic xmlns:a="http://schemas.openxmlformats.org/drawingml/2006/main">
                    <a:graphicData uri="http://schemas.openxmlformats.org/drawingml/2006/picture">
                      <pic:pic xmlns:pic="http://schemas.openxmlformats.org/drawingml/2006/picture">
                        <pic:nvPicPr>
                          <pic:cNvPr id="0" name="Picture 11" descr=""/>
                          <pic:cNvPicPr>
                            <a:picLocks noChangeAspect="true"/>
                          </pic:cNvPicPr>
                        </pic:nvPicPr>
                        <pic:blipFill>
                          <a:blip r:embed="rId37"/>
                          <a:stretch>
                            <a:fillRect/>
                          </a:stretch>
                        </pic:blipFill>
                        <pic:spPr>
                          <a:xfrm>
                            <a:off x="0" y="0"/>
                            <a:ext cx="2476500" cy="723900"/>
                          </a:xfrm>
                          <a:prstGeom prst="rect">
                            <a:avLst/>
                          </a:prstGeom>
                        </pic:spPr>
                      </pic:pic>
                    </a:graphicData>
                  </a:graphic>
                </wp:inline>
              </w:drawing>
            </w:r>
          </w:p>
          <w:p>
            <w:pPr>
              <w:spacing w:before="120" w:after="120" w:line="288" w:lineRule="auto"/>
              <w:ind w:left="0"/>
              <w:jc w:val="left"/>
            </w:pPr>
          </w:p>
        </w:tc>
        <w:tc>
          <w:tcPr>
            <w:tcW w:w="4140" w:type="dxa"/>
            <w:tcMar>
              <w:top w:type="dxa" w:w="60"/>
              <w:left w:type="dxa" w:w="120"/>
              <w:bottom w:type="dxa" w:w="30"/>
              <w:right w:type="dxa" w:w="120"/>
            </w:tcMar>
          </w:tcPr>
          <w:p>
            <w:pPr>
              <w:spacing w:before="120" w:after="120" w:line="288" w:lineRule="auto"/>
              <w:ind w:left="0"/>
            </w:pPr>
            <w:r>
              <w:object>
                <v:shape id="_x0000_i1037" style="width:195pt;height:24pt;mso-width-percent:0;mso-height-percent:0;mso-width-percent:0;mso-height-percent:0" type="#_x0000_t75" o:ole="">
                  <v:imagedata r:id="rId39" o:title=""/>
                </v:shape>
                <o:OLEObject DrawAspect="Icon" ObjectID="_1718471231" ProgID="Excel.Sheet.12" ShapeID="_x0000_i1037" Type="Embed" r:id="rId38"/>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p>
        </w:tc>
      </w:tr>
    </w:tbl>
    <w:p>
      <w:pPr>
        <w:pStyle w:val="4"/>
        <w:spacing w:before="260" w:after="120" w:line="288" w:lineRule="auto"/>
        <w:ind w:left="453"/>
        <w:jc w:val="left"/>
        <w:outlineLvl w:val="3"/>
      </w:pPr>
      <w:bookmarkStart w:name="heading_32" w:id="32"/>
      <w:r>
        <w:rPr>
          <w:rFonts w:eastAsia="等线" w:ascii="Arial" w:cs="Arial" w:hAnsi="Arial"/>
          <w:b w:val="true"/>
          <w:sz w:val="28"/>
        </w:rPr>
        <w:t>Quick Check Response</w:t>
      </w:r>
      <w:bookmarkEnd w:id="32"/>
    </w:p>
    <w:p>
      <w:pPr>
        <w:spacing w:before="120" w:after="120" w:line="288" w:lineRule="auto"/>
        <w:ind w:left="453"/>
      </w:pPr>
      <w:r>
        <w:object>
          <v:shape id="_x0000_i1038" style="width:414pt;height:134pt;mso-width-percent:0;mso-height-percent:0;mso-width-percent:0;mso-height-percent:0" type="#_x0000_t75" o:ole="">
            <v:imagedata r:id="rId41" o:title=""/>
          </v:shape>
          <o:OLEObject DrawAspect="Icon" ObjectID="_1718471232" ProgID="Excel.Sheet.12" ShapeID="_x0000_i1038" Type="Embed" r:id="rId40"/>
        </w:object>
      </w:r>
    </w:p>
    <w:p>
      <w:pPr>
        <w:spacing w:after="120"/>
        <w:ind w:left="453"/>
        <w:jc w:val="center"/>
      </w:pPr>
      <w:r>
        <w:rPr>
          <w:rFonts w:eastAsia="等线" w:ascii="Arial" w:cs="Arial" w:hAnsi="Arial"/>
          <w:b w:val="true"/>
          <w:sz w:val="22"/>
        </w:rPr>
        <w:t>点击图片可查看完整电子表格</w:t>
      </w:r>
    </w:p>
    <w:p>
      <w:pPr>
        <w:pStyle w:val="2"/>
        <w:spacing w:before="320" w:after="120" w:line="288" w:lineRule="auto"/>
        <w:ind w:left="0"/>
        <w:jc w:val="left"/>
        <w:outlineLvl w:val="1"/>
      </w:pPr>
      <w:bookmarkStart w:name="heading_33" w:id="33"/>
      <w:r>
        <w:rPr>
          <w:rFonts w:eastAsia="等线" w:ascii="Arial" w:cs="Arial" w:hAnsi="Arial"/>
          <w:color w:val="3370ff"/>
          <w:sz w:val="32"/>
        </w:rPr>
        <w:t xml:space="preserve">3.7 </w:t>
      </w:r>
      <w:r>
        <w:rPr>
          <w:rFonts w:eastAsia="等线" w:ascii="Arial" w:cs="Arial" w:hAnsi="Arial"/>
          <w:b w:val="true"/>
          <w:sz w:val="32"/>
        </w:rPr>
        <w:t>Actions - 行動建議撰寫</w:t>
      </w:r>
      <w:bookmarkEnd w:id="33"/>
    </w:p>
    <w:p>
      <w:pPr>
        <w:spacing w:before="120" w:after="120" w:line="288" w:lineRule="auto"/>
        <w:ind w:left="0"/>
        <w:jc w:val="center"/>
      </w:pPr>
      <w:r>
        <w:drawing>
          <wp:inline distT="0" distR="0" distB="0" distL="0">
            <wp:extent cx="5257800" cy="2724150"/>
            <wp:docPr id="12" name="Drawing 12" descr=""/>
            <a:graphic xmlns:a="http://schemas.openxmlformats.org/drawingml/2006/main">
              <a:graphicData uri="http://schemas.openxmlformats.org/drawingml/2006/picture">
                <pic:pic xmlns:pic="http://schemas.openxmlformats.org/drawingml/2006/picture">
                  <pic:nvPicPr>
                    <pic:cNvPr id="0" name="Picture 12" descr=""/>
                    <pic:cNvPicPr>
                      <a:picLocks noChangeAspect="true"/>
                    </pic:cNvPicPr>
                  </pic:nvPicPr>
                  <pic:blipFill>
                    <a:blip r:embed="rId42"/>
                    <a:stretch>
                      <a:fillRect/>
                    </a:stretch>
                  </pic:blipFill>
                  <pic:spPr>
                    <a:xfrm>
                      <a:off x="0" y="0"/>
                      <a:ext cx="5257800" cy="2724150"/>
                    </a:xfrm>
                    <a:prstGeom prst="rect">
                      <a:avLst/>
                    </a:prstGeom>
                  </pic:spPr>
                </pic:pic>
              </a:graphicData>
            </a:graphic>
          </wp:inline>
        </w:drawing>
      </w:r>
    </w:p>
    <w:p>
      <w:pPr>
        <w:pStyle w:val="3"/>
        <w:spacing w:before="300" w:after="120" w:line="288" w:lineRule="auto"/>
        <w:ind w:left="0"/>
        <w:jc w:val="left"/>
        <w:outlineLvl w:val="2"/>
      </w:pPr>
      <w:bookmarkStart w:name="heading_34" w:id="34"/>
      <w:r>
        <w:rPr>
          <w:rFonts w:eastAsia="等线" w:ascii="Arial" w:cs="Arial" w:hAnsi="Arial"/>
          <w:color w:val="3370ff"/>
          <w:sz w:val="30"/>
        </w:rPr>
        <w:t xml:space="preserve">3.7.1 </w:t>
      </w:r>
      <w:r>
        <w:rPr>
          <w:rFonts w:eastAsia="等线" w:ascii="Arial" w:cs="Arial" w:hAnsi="Arial"/>
          <w:b w:val="true"/>
          <w:sz w:val="30"/>
        </w:rPr>
        <w:t>觸發條件與比對邏輯</w:t>
      </w:r>
      <w:bookmarkEnd w:id="34"/>
    </w:p>
    <w:p>
      <w:pPr>
        <w:spacing w:before="120" w:after="120" w:line="288" w:lineRule="auto"/>
        <w:ind w:left="0"/>
        <w:jc w:val="left"/>
      </w:pPr>
      <w:r>
        <w:rPr>
          <w:rFonts w:eastAsia="等线" w:ascii="Arial" w:cs="Arial" w:hAnsi="Arial"/>
          <w:b w:val="true"/>
          <w:sz w:val="22"/>
        </w:rPr>
        <w:t>觸發時機：</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每當 policy updates 入庫新增任一條目（不論來源），後端立即掃描該用戶 Product Sandbox 中的所有產品。</w:t>
      </w:r>
    </w:p>
    <w:p>
      <w:pPr>
        <w:spacing w:before="120" w:after="120" w:line="288" w:lineRule="auto"/>
        <w:ind w:left="0"/>
        <w:jc w:val="left"/>
      </w:pPr>
      <w:r>
        <w:rPr>
          <w:rFonts w:eastAsia="等线" w:ascii="Arial" w:cs="Arial" w:hAnsi="Arial"/>
          <w:b w:val="true"/>
          <w:sz w:val="22"/>
        </w:rPr>
        <w:t>比對維度（任一命中即生成 Impact Actions）：</w:t>
      </w:r>
    </w:p>
    <w:p>
      <w:pPr>
        <w:spacing w:before="120" w:after="120" w:line="288" w:lineRule="auto"/>
        <w:ind w:left="0"/>
      </w:pPr>
      <w:r>
        <w:object>
          <v:shape id="_x0000_i1039" style="width:414pt;height:131pt;mso-width-percent:0;mso-height-percent:0;mso-width-percent:0;mso-height-percent:0" type="#_x0000_t75" o:ole="">
            <v:imagedata r:id="rId44" o:title=""/>
          </v:shape>
          <o:OLEObject DrawAspect="Icon" ObjectID="_1718471233" ProgID="Excel.Sheet.12" ShapeID="_x0000_i1039" Type="Embed" r:id="rId43"/>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只要任一維度命中，即視為該產品被本次政策波及，生成一筆 Impact Actions 並關聯到對應產品。</w:t>
      </w:r>
    </w:p>
    <w:p>
      <w:pPr>
        <w:spacing w:before="120" w:after="120" w:line="288" w:lineRule="auto"/>
        <w:ind w:left="0"/>
        <w:jc w:val="left"/>
      </w:pPr>
      <w:r>
        <w:rPr>
          <w:rFonts w:eastAsia="等线" w:ascii="Arial" w:cs="Arial" w:hAnsi="Arial"/>
          <w:b w:val="true"/>
          <w:sz w:val="22"/>
        </w:rPr>
        <w:t>比對結果分流（決定行動建議類型）：</w:t>
      </w:r>
    </w:p>
    <w:p>
      <w:pPr>
        <w:spacing w:before="120" w:after="120" w:line="288" w:lineRule="auto"/>
        <w:ind w:left="0"/>
      </w:pPr>
      <w:r>
        <w:object>
          <v:shape id="_x0000_i1040" style="width:414pt;height:131pt;mso-width-percent:0;mso-height-percent:0;mso-width-percent:0;mso-height-percent:0" type="#_x0000_t75" o:ole="">
            <v:imagedata r:id="rId46" o:title=""/>
          </v:shape>
          <o:OLEObject DrawAspect="Icon" ObjectID="_1718471234" ProgID="Excel.Sheet.12" ShapeID="_x0000_i1040" Type="Embed" r:id="rId45"/>
        </w:object>
      </w:r>
    </w:p>
    <w:p>
      <w:pPr>
        <w:spacing w:after="120"/>
        <w:ind w:left="0"/>
        <w:jc w:val="center"/>
      </w:pPr>
      <w:r>
        <w:rPr>
          <w:rFonts w:eastAsia="等线" w:ascii="Arial" w:cs="Arial" w:hAnsi="Arial"/>
          <w:b w:val="true"/>
          <w:sz w:val="22"/>
        </w:rPr>
        <w:t>点击图片可查看完整电子表格</w:t>
      </w:r>
    </w:p>
    <w:p>
      <w:pPr>
        <w:pStyle w:val="3"/>
        <w:spacing w:before="300" w:after="120" w:line="288" w:lineRule="auto"/>
        <w:ind w:left="0"/>
        <w:jc w:val="left"/>
        <w:outlineLvl w:val="2"/>
      </w:pPr>
      <w:bookmarkStart w:name="heading_35" w:id="35"/>
      <w:r>
        <w:rPr>
          <w:rFonts w:eastAsia="等线" w:ascii="Arial" w:cs="Arial" w:hAnsi="Arial"/>
          <w:color w:val="3370ff"/>
          <w:sz w:val="30"/>
        </w:rPr>
        <w:t xml:space="preserve">3.7.2 </w:t>
      </w:r>
      <w:r>
        <w:rPr>
          <w:rFonts w:eastAsia="等线" w:ascii="Arial" w:cs="Arial" w:hAnsi="Arial"/>
          <w:b w:val="true"/>
          <w:sz w:val="30"/>
        </w:rPr>
        <w:t>Impact Actions 卡片結構</w:t>
      </w:r>
      <w:bookmarkEnd w:id="35"/>
    </w:p>
    <w:p>
      <w:pPr>
        <w:spacing w:before="120" w:after="120" w:line="288" w:lineRule="auto"/>
        <w:ind w:left="0"/>
        <w:jc w:val="left"/>
      </w:pPr>
      <w:r>
        <w:rPr>
          <w:rFonts w:eastAsia="等线" w:ascii="Arial" w:cs="Arial" w:hAnsi="Arial"/>
          <w:sz w:val="22"/>
        </w:rPr>
        <w:t>每筆 Impact Actions 在「Actions」列表中以卡片形式呈現，包含以下欄位：</w:t>
      </w:r>
    </w:p>
    <w:p>
      <w:pPr>
        <w:spacing w:before="120" w:after="120" w:line="288" w:lineRule="auto"/>
        <w:ind w:left="0"/>
        <w:jc w:val="center"/>
      </w:pPr>
      <w:r>
        <w:drawing>
          <wp:inline distT="0" distR="0" distB="0" distL="0">
            <wp:extent cx="5257800" cy="2133600"/>
            <wp:docPr id="13" name="Drawing 13" descr=""/>
            <a:graphic xmlns:a="http://schemas.openxmlformats.org/drawingml/2006/main">
              <a:graphicData uri="http://schemas.openxmlformats.org/drawingml/2006/picture">
                <pic:pic xmlns:pic="http://schemas.openxmlformats.org/drawingml/2006/picture">
                  <pic:nvPicPr>
                    <pic:cNvPr id="0" name="Picture 13" descr=""/>
                    <pic:cNvPicPr>
                      <a:picLocks noChangeAspect="true"/>
                    </pic:cNvPicPr>
                  </pic:nvPicPr>
                  <pic:blipFill>
                    <a:blip r:embed="rId47"/>
                    <a:stretch>
                      <a:fillRect/>
                    </a:stretch>
                  </pic:blipFill>
                  <pic:spPr>
                    <a:xfrm>
                      <a:off x="0" y="0"/>
                      <a:ext cx="5257800" cy="2133600"/>
                    </a:xfrm>
                    <a:prstGeom prst="rect">
                      <a:avLst/>
                    </a:prstGeom>
                  </pic:spPr>
                </pic:pic>
              </a:graphicData>
            </a:graphic>
          </wp:inline>
        </w:drawing>
      </w:r>
    </w:p>
    <w:p>
      <w:pPr>
        <w:spacing w:before="120" w:after="120" w:line="288" w:lineRule="auto"/>
        <w:ind w:left="0"/>
      </w:pPr>
      <w:r>
        <w:object>
          <v:shape id="_x0000_i1041" style="width:414pt;height:197pt;mso-width-percent:0;mso-height-percent:0;mso-width-percent:0;mso-height-percent:0" type="#_x0000_t75" o:ole="">
            <v:imagedata r:id="rId49" o:title=""/>
          </v:shape>
          <o:OLEObject DrawAspect="Icon" ObjectID="_1718471235" ProgID="Excel.Sheet.12" ShapeID="_x0000_i1041" Type="Embed" r:id="rId48"/>
        </w:object>
      </w:r>
    </w:p>
    <w:p>
      <w:pPr>
        <w:spacing w:after="120"/>
        <w:ind w:left="0"/>
        <w:jc w:val="center"/>
      </w:pPr>
      <w:r>
        <w:rPr>
          <w:rFonts w:eastAsia="等线" w:ascii="Arial" w:cs="Arial" w:hAnsi="Arial"/>
          <w:b w:val="true"/>
          <w:sz w:val="22"/>
        </w:rPr>
        <w:t>点击图片可查看完整电子表格</w:t>
      </w:r>
    </w:p>
    <w:p>
      <w:pPr>
        <w:numPr>
          <w:numId w:val="60"/>
        </w:numPr>
        <w:spacing w:before="120" w:after="120" w:line="288" w:lineRule="auto"/>
        <w:ind w:left="0"/>
        <w:jc w:val="left"/>
      </w:pPr>
      <w:r>
        <w:rPr>
          <w:rFonts w:eastAsia="Consolas" w:ascii="Consolas" w:cs="Consolas" w:hAnsi="Consolas"/>
          <w:b w:val="true"/>
          <w:sz w:val="22"/>
          <w:shd w:fill="EFF0F1"/>
        </w:rPr>
        <w:t>suggested_actions[]</w:t>
      </w:r>
      <w:r>
        <w:rPr>
          <w:rFonts w:eastAsia="等线" w:ascii="Arial" w:cs="Arial" w:hAnsi="Arial"/>
          <w:b w:val="true"/>
          <w:sz w:val="22"/>
        </w:rPr>
        <w:t xml:space="preserve"> 子欄位：</w:t>
      </w:r>
    </w:p>
    <w:p>
      <w:pPr>
        <w:spacing w:before="120" w:after="120" w:line="288" w:lineRule="auto"/>
        <w:ind w:left="453"/>
        <w:jc w:val="center"/>
      </w:pPr>
      <w:r>
        <w:drawing>
          <wp:inline distT="0" distR="0" distB="0" distL="0">
            <wp:extent cx="5257800" cy="2209800"/>
            <wp:docPr id="14" name="Drawing 14" descr=""/>
            <a:graphic xmlns:a="http://schemas.openxmlformats.org/drawingml/2006/main">
              <a:graphicData uri="http://schemas.openxmlformats.org/drawingml/2006/picture">
                <pic:pic xmlns:pic="http://schemas.openxmlformats.org/drawingml/2006/picture">
                  <pic:nvPicPr>
                    <pic:cNvPr id="0" name="Picture 14" descr=""/>
                    <pic:cNvPicPr>
                      <a:picLocks noChangeAspect="true"/>
                    </pic:cNvPicPr>
                  </pic:nvPicPr>
                  <pic:blipFill>
                    <a:blip r:embed="rId50"/>
                    <a:stretch>
                      <a:fillRect/>
                    </a:stretch>
                  </pic:blipFill>
                  <pic:spPr>
                    <a:xfrm>
                      <a:off x="0" y="0"/>
                      <a:ext cx="5257800" cy="2209800"/>
                    </a:xfrm>
                    <a:prstGeom prst="rect">
                      <a:avLst/>
                    </a:prstGeom>
                  </pic:spPr>
                </pic:pic>
              </a:graphicData>
            </a:graphic>
          </wp:inline>
        </w:drawing>
      </w:r>
    </w:p>
    <w:p>
      <w:pPr>
        <w:spacing w:before="120" w:after="120" w:line="288" w:lineRule="auto"/>
        <w:ind w:left="453"/>
      </w:pPr>
      <w:r>
        <w:object>
          <v:shape id="_x0000_i1042" style="width:414pt;height:192pt;mso-width-percent:0;mso-height-percent:0;mso-width-percent:0;mso-height-percent:0" type="#_x0000_t75" o:ole="">
            <v:imagedata r:id="rId52" o:title=""/>
          </v:shape>
          <o:OLEObject DrawAspect="Icon" ObjectID="_1718471236" ProgID="Excel.Sheet.12" ShapeID="_x0000_i1042" Type="Embed" r:id="rId51"/>
        </w:object>
      </w:r>
    </w:p>
    <w:p>
      <w:pPr>
        <w:spacing w:after="120"/>
        <w:ind w:left="453"/>
        <w:jc w:val="center"/>
      </w:pPr>
      <w:r>
        <w:rPr>
          <w:rFonts w:eastAsia="等线" w:ascii="Arial" w:cs="Arial" w:hAnsi="Arial"/>
          <w:b w:val="true"/>
          <w:sz w:val="22"/>
        </w:rPr>
        <w:t>点击图片可查看完整电子表格</w:t>
      </w:r>
    </w:p>
    <w:p>
      <w:pPr>
        <w:pStyle w:val="3"/>
        <w:spacing w:before="300" w:after="120" w:line="288" w:lineRule="auto"/>
        <w:ind w:left="0"/>
        <w:jc w:val="left"/>
        <w:outlineLvl w:val="2"/>
      </w:pPr>
      <w:bookmarkStart w:name="heading_36" w:id="36"/>
      <w:r>
        <w:rPr>
          <w:rFonts w:eastAsia="等线" w:ascii="Arial" w:cs="Arial" w:hAnsi="Arial"/>
          <w:color w:val="3370ff"/>
          <w:sz w:val="30"/>
        </w:rPr>
        <w:t xml:space="preserve">3.7.3 </w:t>
      </w:r>
      <w:r>
        <w:rPr>
          <w:rFonts w:eastAsia="等线" w:ascii="Arial" w:cs="Arial" w:hAnsi="Arial"/>
          <w:b w:val="true"/>
          <w:sz w:val="30"/>
        </w:rPr>
        <w:t>完成狀態與 Audit 紀錄</w:t>
      </w:r>
      <w:bookmarkEnd w:id="36"/>
    </w:p>
    <w:p>
      <w:pPr>
        <w:spacing w:before="120" w:after="120" w:line="288" w:lineRule="auto"/>
        <w:ind w:left="0"/>
        <w:jc w:val="left"/>
      </w:pPr>
      <w:r>
        <w:rPr>
          <w:rFonts w:eastAsia="等线" w:ascii="Arial" w:cs="Arial" w:hAnsi="Arial"/>
          <w:b w:val="true"/>
          <w:sz w:val="22"/>
        </w:rPr>
        <w:t>單一 action 完成 toggle：</w:t>
      </w:r>
    </w:p>
    <w:p>
      <w:pPr>
        <w:spacing w:before="120" w:after="120" w:line="288" w:lineRule="auto"/>
        <w:ind w:left="0"/>
        <w:jc w:val="center"/>
      </w:pPr>
      <w:r>
        <w:drawing>
          <wp:inline distT="0" distR="0" distB="0" distL="0">
            <wp:extent cx="5257800" cy="2228850"/>
            <wp:docPr id="15" name="Drawing 15" descr=""/>
            <a:graphic xmlns:a="http://schemas.openxmlformats.org/drawingml/2006/main">
              <a:graphicData uri="http://schemas.openxmlformats.org/drawingml/2006/picture">
                <pic:pic xmlns:pic="http://schemas.openxmlformats.org/drawingml/2006/picture">
                  <pic:nvPicPr>
                    <pic:cNvPr id="0" name="Picture 15" descr=""/>
                    <pic:cNvPicPr>
                      <a:picLocks noChangeAspect="true"/>
                    </pic:cNvPicPr>
                  </pic:nvPicPr>
                  <pic:blipFill>
                    <a:blip r:embed="rId53"/>
                    <a:stretch>
                      <a:fillRect/>
                    </a:stretch>
                  </pic:blipFill>
                  <pic:spPr>
                    <a:xfrm>
                      <a:off x="0" y="0"/>
                      <a:ext cx="5257800" cy="2228850"/>
                    </a:xfrm>
                    <a:prstGeom prst="rect">
                      <a:avLst/>
                    </a:prstGeom>
                  </pic:spPr>
                </pic:pic>
              </a:graphicData>
            </a:graphic>
          </wp:inline>
        </w:drawing>
      </w:r>
    </w:p>
    <w:p>
      <w:pPr>
        <w:numPr>
          <w:numId w:val="61"/>
        </w:numPr>
        <w:spacing w:before="120" w:after="120" w:line="288" w:lineRule="auto"/>
        <w:ind w:left="0"/>
        <w:jc w:val="left"/>
      </w:pPr>
      <w:r>
        <w:rPr>
          <w:rFonts w:eastAsia="等线" w:ascii="Arial" w:cs="Arial" w:hAnsi="Arial"/>
          <w:sz w:val="22"/>
        </w:rPr>
        <w:t xml:space="preserve">每個 </w:t>
      </w:r>
      <w:r>
        <w:rPr>
          <w:rFonts w:eastAsia="Consolas" w:ascii="Consolas" w:cs="Consolas" w:hAnsi="Consolas"/>
          <w:sz w:val="22"/>
          <w:shd w:fill="EFF0F1"/>
        </w:rPr>
        <w:t>suggested_action</w:t>
      </w:r>
      <w:r>
        <w:rPr>
          <w:rFonts w:eastAsia="等线" w:ascii="Arial" w:cs="Arial" w:hAnsi="Arial"/>
          <w:sz w:val="22"/>
        </w:rPr>
        <w:t xml:space="preserve"> 各自有 </w:t>
      </w:r>
      <w:r>
        <w:rPr>
          <w:rFonts w:eastAsia="Consolas" w:ascii="Consolas" w:cs="Consolas" w:hAnsi="Consolas"/>
          <w:sz w:val="22"/>
          <w:shd w:fill="EFF0F1"/>
        </w:rPr>
        <w:t>status</w:t>
      </w:r>
      <w:r>
        <w:rPr>
          <w:rFonts w:eastAsia="等线" w:ascii="Arial" w:cs="Arial" w:hAnsi="Arial"/>
          <w:sz w:val="22"/>
        </w:rPr>
        <w:t>，互不影響。</w:t>
      </w:r>
    </w:p>
    <w:p>
      <w:pPr>
        <w:numPr>
          <w:numId w:val="62"/>
        </w:numPr>
        <w:spacing w:before="120" w:after="120" w:line="288" w:lineRule="auto"/>
        <w:ind w:left="0"/>
        <w:jc w:val="left"/>
      </w:pPr>
      <w:r>
        <w:rPr>
          <w:rFonts w:eastAsia="等线" w:ascii="Arial" w:cs="Arial" w:hAnsi="Arial"/>
          <w:sz w:val="22"/>
        </w:rPr>
        <w:t>例：同一筆 Actions 有 reclassify 和 recalculate 兩個 action，用戶可單獨勾選 reclassify 完成而 recalculate 仍 pending。</w:t>
      </w:r>
    </w:p>
    <w:p>
      <w:pPr>
        <w:numPr>
          <w:numId w:val="63"/>
        </w:numPr>
        <w:spacing w:before="120" w:after="120" w:line="288" w:lineRule="auto"/>
        <w:ind w:left="0"/>
        <w:jc w:val="left"/>
      </w:pPr>
      <w:r>
        <w:rPr>
          <w:rFonts w:eastAsia="等线" w:ascii="Arial" w:cs="Arial" w:hAnsi="Arial"/>
          <w:sz w:val="22"/>
        </w:rPr>
        <w:t xml:space="preserve">用戶在卡片上勾選「Check off to mark done」即呼叫 </w:t>
      </w:r>
      <w:r>
        <w:rPr>
          <w:rFonts w:eastAsia="Consolas" w:ascii="Consolas" w:cs="Consolas" w:hAnsi="Consolas"/>
          <w:sz w:val="22"/>
          <w:shd w:fill="EFF0F1"/>
        </w:rPr>
        <w:t>POST /briefings/impact-actions/{action_id}/complete</w:t>
      </w:r>
      <w:r>
        <w:rPr>
          <w:rFonts w:eastAsia="等线" w:ascii="Arial" w:cs="Arial" w:hAnsi="Arial"/>
          <w:sz w:val="22"/>
        </w:rPr>
        <w:t>。</w:t>
      </w:r>
    </w:p>
    <w:p>
      <w:pPr>
        <w:numPr>
          <w:numId w:val="64"/>
        </w:numPr>
        <w:spacing w:before="120" w:after="120" w:line="288" w:lineRule="auto"/>
        <w:ind w:left="0"/>
        <w:jc w:val="left"/>
      </w:pPr>
      <w:r>
        <w:rPr>
          <w:rFonts w:eastAsia="等线" w:ascii="Arial" w:cs="Arial" w:hAnsi="Arial"/>
          <w:sz w:val="22"/>
        </w:rPr>
        <w:t xml:space="preserve">取消勾選即呼叫 </w:t>
      </w:r>
      <w:r>
        <w:rPr>
          <w:rFonts w:eastAsia="Consolas" w:ascii="Consolas" w:cs="Consolas" w:hAnsi="Consolas"/>
          <w:sz w:val="22"/>
          <w:shd w:fill="EFF0F1"/>
        </w:rPr>
        <w:t>DELETE /briefings/impact-actions/{action_id}/complete</w:t>
      </w:r>
      <w:r>
        <w:rPr>
          <w:rFonts w:eastAsia="等线" w:ascii="Arial" w:cs="Arial" w:hAnsi="Arial"/>
          <w:sz w:val="22"/>
        </w:rPr>
        <w:t xml:space="preserve">，恢復 </w:t>
      </w:r>
      <w:r>
        <w:rPr>
          <w:rFonts w:eastAsia="Consolas" w:ascii="Consolas" w:cs="Consolas" w:hAnsi="Consolas"/>
          <w:sz w:val="22"/>
          <w:shd w:fill="EFF0F1"/>
        </w:rPr>
        <w:t>action_needed</w:t>
      </w:r>
      <w:r>
        <w:rPr>
          <w:rFonts w:eastAsia="等线" w:ascii="Arial" w:cs="Arial" w:hAnsi="Arial"/>
          <w:sz w:val="22"/>
        </w:rPr>
        <w:t>。</w:t>
      </w:r>
    </w:p>
    <w:p>
      <w:pPr>
        <w:numPr>
          <w:numId w:val="65"/>
        </w:numPr>
        <w:spacing w:before="120" w:after="120" w:line="288" w:lineRule="auto"/>
        <w:ind w:left="0"/>
        <w:jc w:val="left"/>
      </w:pPr>
      <w:r>
        <w:rPr>
          <w:rFonts w:eastAsia="等线" w:ascii="Arial" w:cs="Arial" w:hAnsi="Arial"/>
          <w:sz w:val="22"/>
        </w:rPr>
        <w:t xml:space="preserve">當該 Actions 下所有 actions 皆為 </w:t>
      </w:r>
      <w:r>
        <w:rPr>
          <w:rFonts w:eastAsia="Consolas" w:ascii="Consolas" w:cs="Consolas" w:hAnsi="Consolas"/>
          <w:sz w:val="22"/>
          <w:shd w:fill="EFF0F1"/>
        </w:rPr>
        <w:t>completed</w:t>
      </w:r>
      <w:r>
        <w:rPr>
          <w:rFonts w:eastAsia="等线" w:ascii="Arial" w:cs="Arial" w:hAnsi="Arial"/>
          <w:sz w:val="22"/>
        </w:rPr>
        <w:t xml:space="preserve">，整筆 Actions 自動移至「Completed」分頁；只要任一 action 仍是 </w:t>
      </w:r>
      <w:r>
        <w:rPr>
          <w:rFonts w:eastAsia="Consolas" w:ascii="Consolas" w:cs="Consolas" w:hAnsi="Consolas"/>
          <w:sz w:val="22"/>
          <w:shd w:fill="EFF0F1"/>
        </w:rPr>
        <w:t>action_needed</w:t>
      </w:r>
      <w:r>
        <w:rPr>
          <w:rFonts w:eastAsia="等线" w:ascii="Arial" w:cs="Arial" w:hAnsi="Arial"/>
          <w:sz w:val="22"/>
        </w:rPr>
        <w:t>，整筆 Actions 留在「Action needed」分頁。</w:t>
      </w:r>
    </w:p>
    <w:p>
      <w:pPr>
        <w:spacing w:before="120" w:after="120" w:line="288" w:lineRule="auto"/>
        <w:ind w:left="0"/>
        <w:jc w:val="left"/>
      </w:pPr>
      <w:r>
        <w:rPr>
          <w:rFonts w:eastAsia="等线" w:ascii="Arial" w:cs="Arial" w:hAnsi="Arial"/>
          <w:b w:val="true"/>
          <w:sz w:val="22"/>
        </w:rPr>
        <w:t>Reclassify 的審計需求（CBP 海關審查用）：</w:t>
      </w:r>
    </w:p>
    <w:p>
      <w:pPr>
        <w:numPr>
          <w:numId w:val="66"/>
        </w:numPr>
        <w:spacing w:before="120" w:after="120" w:line="288" w:lineRule="auto"/>
        <w:ind w:left="0"/>
        <w:jc w:val="left"/>
      </w:pPr>
      <w:r>
        <w:rPr>
          <w:rFonts w:eastAsia="等线" w:ascii="Arial" w:cs="Arial" w:hAnsi="Arial"/>
          <w:sz w:val="22"/>
        </w:rPr>
        <w:t>本次同步開放：用戶可針對同一個 Classification Case 重新分類多次。</w:t>
      </w:r>
    </w:p>
    <w:p>
      <w:pPr>
        <w:numPr>
          <w:numId w:val="67"/>
        </w:numPr>
        <w:spacing w:before="120" w:after="120" w:line="288" w:lineRule="auto"/>
        <w:ind w:left="0"/>
        <w:jc w:val="left"/>
      </w:pPr>
      <w:r>
        <w:rPr>
          <w:rFonts w:eastAsia="等线" w:ascii="Arial" w:cs="Arial" w:hAnsi="Arial"/>
          <w:sz w:val="22"/>
        </w:rPr>
        <w:t xml:space="preserve">每次重新分類後，後端必須記錄該 case 的 </w:t>
      </w:r>
      <w:r>
        <w:rPr>
          <w:rFonts w:eastAsia="Consolas" w:ascii="Consolas" w:cs="Consolas" w:hAnsi="Consolas"/>
          <w:sz w:val="22"/>
          <w:shd w:fill="EFF0F1"/>
        </w:rPr>
        <w:t>last_classified_at</w:t>
      </w:r>
      <w:r>
        <w:rPr>
          <w:rFonts w:eastAsia="等线" w:ascii="Arial" w:cs="Arial" w:hAnsi="Arial"/>
          <w:sz w:val="22"/>
        </w:rPr>
        <w:t xml:space="preserve"> 時間戳（覆寫式更新即可，不需保留歷史每一次的時間，但若日後審計需要完整歷史，可改為 append-only log）。</w:t>
      </w:r>
    </w:p>
    <w:p>
      <w:pPr>
        <w:numPr>
          <w:numId w:val="68"/>
        </w:numPr>
        <w:spacing w:before="120" w:after="120" w:line="288" w:lineRule="auto"/>
        <w:ind w:left="0"/>
        <w:jc w:val="left"/>
      </w:pPr>
      <w:r>
        <w:rPr>
          <w:rFonts w:eastAsia="等线" w:ascii="Arial" w:cs="Arial" w:hAnsi="Arial"/>
          <w:sz w:val="22"/>
        </w:rPr>
        <w:t>此時間戳需可由 Classifier 模組查詢，作為 CBP 審查時的「我何時最後一次基於最新法規重新分類」的證據。</w:t>
      </w:r>
    </w:p>
    <w:p>
      <w:pPr>
        <w:numPr>
          <w:numId w:val="69"/>
        </w:numPr>
        <w:spacing w:before="120" w:after="120" w:line="288" w:lineRule="auto"/>
        <w:ind w:left="0"/>
        <w:jc w:val="left"/>
      </w:pPr>
      <w:r>
        <w:rPr>
          <w:rFonts w:eastAsia="等线" w:ascii="Arial" w:cs="Arial" w:hAnsi="Arial"/>
          <w:sz w:val="22"/>
        </w:rPr>
        <w:t>Reclassify action 完成 trigger 與 Classifier 模組重新分類動作的關係：完成 toggle 是用戶端</w:t>
      </w:r>
      <w:r>
        <w:rPr>
          <w:rFonts w:eastAsia="等线" w:ascii="Arial" w:cs="Arial" w:hAnsi="Arial"/>
          <w:b w:val="true"/>
          <w:sz w:val="22"/>
        </w:rPr>
        <w:t>自我宣告</w:t>
      </w:r>
      <w:r>
        <w:rPr>
          <w:rFonts w:eastAsia="等线" w:ascii="Arial" w:cs="Arial" w:hAnsi="Arial"/>
          <w:sz w:val="22"/>
        </w:rPr>
        <w:t xml:space="preserve">已處理，並不自動更新 </w:t>
      </w:r>
      <w:r>
        <w:rPr>
          <w:rFonts w:eastAsia="Consolas" w:ascii="Consolas" w:cs="Consolas" w:hAnsi="Consolas"/>
          <w:sz w:val="22"/>
          <w:shd w:fill="EFF0F1"/>
        </w:rPr>
        <w:t>last_classified_at</w:t>
      </w:r>
      <w:r>
        <w:rPr>
          <w:rFonts w:eastAsia="等线" w:ascii="Arial" w:cs="Arial" w:hAnsi="Arial"/>
          <w:sz w:val="22"/>
        </w:rPr>
        <w:t>；</w:t>
      </w:r>
      <w:r>
        <w:rPr>
          <w:rFonts w:eastAsia="Consolas" w:ascii="Consolas" w:cs="Consolas" w:hAnsi="Consolas"/>
          <w:sz w:val="22"/>
          <w:shd w:fill="EFF0F1"/>
        </w:rPr>
        <w:t>last_classified_at</w:t>
      </w:r>
      <w:r>
        <w:rPr>
          <w:rFonts w:eastAsia="等线" w:ascii="Arial" w:cs="Arial" w:hAnsi="Arial"/>
          <w:sz w:val="22"/>
        </w:rPr>
        <w:t xml:space="preserve"> 仍由 Classifier 模組在實際重新分類時更新。</w:t>
      </w:r>
    </w:p>
    <w:p>
      <w:pPr>
        <w:pStyle w:val="3"/>
        <w:spacing w:before="300" w:after="120" w:line="288" w:lineRule="auto"/>
        <w:ind w:left="0"/>
        <w:jc w:val="left"/>
        <w:outlineLvl w:val="2"/>
      </w:pPr>
      <w:bookmarkStart w:name="heading_37" w:id="37"/>
      <w:r>
        <w:rPr>
          <w:rFonts w:eastAsia="等线" w:ascii="Arial" w:cs="Arial" w:hAnsi="Arial"/>
          <w:color w:val="3370ff"/>
          <w:sz w:val="30"/>
        </w:rPr>
        <w:t xml:space="preserve">3.7.4 </w:t>
      </w:r>
      <w:r>
        <w:rPr>
          <w:rFonts w:eastAsia="等线" w:ascii="Arial" w:cs="Arial" w:hAnsi="Arial"/>
          <w:b w:val="true"/>
          <w:sz w:val="30"/>
        </w:rPr>
        <w:t>View Details</w:t>
      </w:r>
      <w:bookmarkEnd w:id="37"/>
    </w:p>
    <w:p>
      <w:pPr>
        <w:spacing w:before="120" w:after="120" w:line="288" w:lineRule="auto"/>
        <w:ind w:left="0"/>
        <w:jc w:val="left"/>
      </w:pPr>
      <w:r>
        <w:rPr>
          <w:rFonts w:eastAsia="等线" w:ascii="Arial" w:cs="Arial" w:hAnsi="Arial"/>
          <w:sz w:val="22"/>
        </w:rPr>
        <w:t xml:space="preserve">點擊卡片右上 </w:t>
      </w:r>
      <w:r>
        <w:rPr>
          <w:rFonts w:eastAsia="Consolas" w:ascii="Consolas" w:cs="Consolas" w:hAnsi="Consolas"/>
          <w:sz w:val="22"/>
          <w:shd w:fill="EFF0F1"/>
        </w:rPr>
        <w:t>View Details</w:t>
      </w:r>
      <w:r>
        <w:rPr>
          <w:rFonts w:eastAsia="等线" w:ascii="Arial" w:cs="Arial" w:hAnsi="Arial"/>
          <w:sz w:val="22"/>
        </w:rPr>
        <w:t xml:space="preserve"> 開啟 modal，顯示該 Actions 對應的完整 briefing 內容。</w:t>
      </w:r>
    </w:p>
    <w:p>
      <w:pPr>
        <w:spacing w:before="120" w:after="120" w:line="288" w:lineRule="auto"/>
        <w:ind w:left="0"/>
        <w:jc w:val="center"/>
      </w:pPr>
      <w:r>
        <w:drawing>
          <wp:inline distT="0" distR="0" distB="0" distL="0">
            <wp:extent cx="5257800" cy="1952625"/>
            <wp:docPr id="16" name="Drawing 16" descr=""/>
            <a:graphic xmlns:a="http://schemas.openxmlformats.org/drawingml/2006/main">
              <a:graphicData uri="http://schemas.openxmlformats.org/drawingml/2006/picture">
                <pic:pic xmlns:pic="http://schemas.openxmlformats.org/drawingml/2006/picture">
                  <pic:nvPicPr>
                    <pic:cNvPr id="0" name="Picture 16" descr=""/>
                    <pic:cNvPicPr>
                      <a:picLocks noChangeAspect="true"/>
                    </pic:cNvPicPr>
                  </pic:nvPicPr>
                  <pic:blipFill>
                    <a:blip r:embed="rId54"/>
                    <a:stretch>
                      <a:fillRect/>
                    </a:stretch>
                  </pic:blipFill>
                  <pic:spPr>
                    <a:xfrm>
                      <a:off x="0" y="0"/>
                      <a:ext cx="5257800" cy="1952625"/>
                    </a:xfrm>
                    <a:prstGeom prst="rect">
                      <a:avLst/>
                    </a:prstGeom>
                  </pic:spPr>
                </pic:pic>
              </a:graphicData>
            </a:graphic>
          </wp:inline>
        </w:drawing>
      </w:r>
    </w:p>
    <w:p>
      <w:pPr>
        <w:spacing w:before="120" w:after="120" w:line="288" w:lineRule="auto"/>
        <w:ind w:left="0"/>
      </w:pPr>
      <w:r>
        <w:object>
          <v:shape id="_x0000_i1043" style="width:414pt;height:90pt;mso-width-percent:0;mso-height-percent:0;mso-width-percent:0;mso-height-percent:0" type="#_x0000_t75" o:ole="">
            <v:imagedata r:id="rId56" o:title=""/>
          </v:shape>
          <o:OLEObject DrawAspect="Icon" ObjectID="_1718471237" ProgID="Excel.Sheet.12" ShapeID="_x0000_i1043" Type="Embed" r:id="rId55"/>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實作上，</w:t>
      </w:r>
      <w:r>
        <w:rPr>
          <w:rFonts w:eastAsia="Consolas" w:ascii="Consolas" w:cs="Consolas" w:hAnsi="Consolas"/>
          <w:sz w:val="22"/>
          <w:shd w:fill="EFF0F1"/>
        </w:rPr>
        <w:t>View Details</w:t>
      </w:r>
      <w:r>
        <w:rPr>
          <w:rFonts w:eastAsia="等线" w:ascii="Arial" w:cs="Arial" w:hAnsi="Arial"/>
          <w:sz w:val="22"/>
        </w:rPr>
        <w:t xml:space="preserve"> 帶 </w:t>
      </w:r>
      <w:r>
        <w:rPr>
          <w:rFonts w:eastAsia="Consolas" w:ascii="Consolas" w:cs="Consolas" w:hAnsi="Consolas"/>
          <w:sz w:val="22"/>
          <w:shd w:fill="EFF0F1"/>
        </w:rPr>
        <w:t>briefing_id</w:t>
      </w:r>
      <w:r>
        <w:rPr>
          <w:rFonts w:eastAsia="等线" w:ascii="Arial" w:cs="Arial" w:hAnsi="Arial"/>
          <w:sz w:val="22"/>
        </w:rPr>
        <w:t xml:space="preserve"> 呼叫 </w:t>
      </w:r>
      <w:r>
        <w:rPr>
          <w:rFonts w:eastAsia="Consolas" w:ascii="Consolas" w:cs="Consolas" w:hAnsi="Consolas"/>
          <w:sz w:val="22"/>
          <w:shd w:fill="EFF0F1"/>
        </w:rPr>
        <w:t>GET /briefings/policy-updates/{briefing_id}</w:t>
      </w:r>
      <w:r>
        <w:rPr>
          <w:rFonts w:eastAsia="等线" w:ascii="Arial" w:cs="Arial" w:hAnsi="Arial"/>
          <w:sz w:val="22"/>
        </w:rPr>
        <w:t>，回應結構與 Recent Policy Updates 點開的 detail 完全一致，不另開一條 Impact Actions 專屬的 detail endpoint。</w:t>
      </w:r>
    </w:p>
    <w:p>
      <w:pPr>
        <w:pStyle w:val="3"/>
        <w:spacing w:before="300" w:after="120" w:line="288" w:lineRule="auto"/>
        <w:ind w:left="0"/>
        <w:jc w:val="left"/>
        <w:outlineLvl w:val="2"/>
      </w:pPr>
      <w:bookmarkStart w:name="heading_38" w:id="38"/>
      <w:r>
        <w:rPr>
          <w:rFonts w:eastAsia="等线" w:ascii="Arial" w:cs="Arial" w:hAnsi="Arial"/>
          <w:color w:val="3370ff"/>
          <w:sz w:val="30"/>
        </w:rPr>
        <w:t xml:space="preserve">3.7.5 </w:t>
      </w:r>
      <w:r>
        <w:rPr>
          <w:rFonts w:eastAsia="等线" w:ascii="Arial" w:cs="Arial" w:hAnsi="Arial"/>
          <w:b w:val="true"/>
          <w:sz w:val="30"/>
        </w:rPr>
        <w:t>API 規格</w:t>
      </w:r>
      <w:bookmarkEnd w:id="38"/>
    </w:p>
    <w:p>
      <w:pPr>
        <w:spacing w:before="120" w:after="120" w:line="288" w:lineRule="auto"/>
        <w:ind w:left="0"/>
      </w:pPr>
      <w:r>
        <w:object>
          <v:shape id="_x0000_i1044" style="width:414pt;height:197pt;mso-width-percent:0;mso-height-percent:0;mso-width-percent:0;mso-height-percent:0" type="#_x0000_t75" o:ole="">
            <v:imagedata r:id="rId58" o:title=""/>
          </v:shape>
          <o:OLEObject DrawAspect="Icon" ObjectID="_1718471238" ProgID="Excel.Sheet.12" ShapeID="_x0000_i1044" Type="Embed" r:id="rId57"/>
        </w:object>
      </w:r>
    </w:p>
    <w:p>
      <w:pPr>
        <w:spacing w:after="120"/>
        <w:ind w:left="0"/>
        <w:jc w:val="center"/>
      </w:pPr>
      <w:r>
        <w:rPr>
          <w:rFonts w:eastAsia="等线" w:ascii="Arial" w:cs="Arial" w:hAnsi="Arial"/>
          <w:b w:val="true"/>
          <w:sz w:val="22"/>
        </w:rPr>
        <w:t>点击图片可查看完整电子表格</w:t>
      </w:r>
    </w:p>
    <w:p>
      <w:pPr>
        <w:pStyle w:val="4"/>
        <w:spacing w:before="260" w:after="120" w:line="288" w:lineRule="auto"/>
        <w:ind w:left="0"/>
        <w:jc w:val="left"/>
        <w:outlineLvl w:val="3"/>
      </w:pPr>
      <w:bookmarkStart w:name="heading_39" w:id="39"/>
      <w:r>
        <w:rPr>
          <w:rFonts w:eastAsia="等线" w:ascii="Arial" w:cs="Arial" w:hAnsi="Arial"/>
          <w:color w:val="3370ff"/>
          <w:sz w:val="28"/>
        </w:rPr>
        <w:t xml:space="preserve">3.7.5.1 </w:t>
      </w:r>
      <w:r>
        <w:rPr>
          <w:rFonts w:eastAsia="等线" w:ascii="Arial" w:cs="Arial" w:hAnsi="Arial"/>
          <w:b w:val="true"/>
          <w:sz w:val="28"/>
        </w:rPr>
        <w:t xml:space="preserve"> 字段說明表格</w:t>
      </w:r>
      <w:bookmarkEnd w:id="39"/>
    </w:p>
    <w:p>
      <w:pPr>
        <w:pStyle w:val="5"/>
        <w:spacing w:before="240" w:after="120" w:line="288" w:lineRule="auto"/>
        <w:ind w:left="0"/>
        <w:jc w:val="left"/>
        <w:outlineLvl w:val="4"/>
      </w:pPr>
      <w:bookmarkStart w:name="heading_40" w:id="40"/>
      <w:r>
        <w:rPr>
          <w:rFonts w:eastAsia="等线" w:ascii="Arial" w:cs="Arial" w:hAnsi="Arial"/>
          <w:b w:val="true"/>
          <w:sz w:val="24"/>
        </w:rPr>
        <w:t>ImpactActions（單筆 Actions）</w:t>
      </w:r>
      <w:bookmarkEnd w:id="40"/>
    </w:p>
    <w:p>
      <w:pPr>
        <w:spacing w:before="120" w:after="120" w:line="288" w:lineRule="auto"/>
        <w:ind w:left="0"/>
      </w:pPr>
      <w:r>
        <w:object>
          <v:shape id="_x0000_i1045" style="width:414pt;height:197pt;mso-width-percent:0;mso-height-percent:0;mso-width-percent:0;mso-height-percent:0" type="#_x0000_t75" o:ole="">
            <v:imagedata r:id="rId60" o:title=""/>
          </v:shape>
          <o:OLEObject DrawAspect="Icon" ObjectID="_1718471239" ProgID="Excel.Sheet.12" ShapeID="_x0000_i1045" Type="Embed" r:id="rId59"/>
        </w:object>
      </w:r>
    </w:p>
    <w:p>
      <w:pPr>
        <w:spacing w:after="120"/>
        <w:ind w:left="0"/>
        <w:jc w:val="center"/>
      </w:pPr>
      <w:r>
        <w:rPr>
          <w:rFonts w:eastAsia="等线" w:ascii="Arial" w:cs="Arial" w:hAnsi="Arial"/>
          <w:b w:val="true"/>
          <w:sz w:val="22"/>
        </w:rPr>
        <w:t>点击图片可查看完整电子表格</w:t>
      </w:r>
    </w:p>
    <w:p>
      <w:pPr>
        <w:numPr>
          <w:numId w:val="70"/>
        </w:numPr>
        <w:spacing w:before="120" w:after="120" w:line="288" w:lineRule="auto"/>
        <w:ind w:left="0"/>
        <w:jc w:val="left"/>
      </w:pPr>
      <w:r>
        <w:rPr>
          <w:rFonts w:eastAsia="等线" w:ascii="Arial" w:cs="Arial" w:hAnsi="Arial"/>
          <w:b w:val="true"/>
          <w:sz w:val="22"/>
        </w:rPr>
        <w:t>子字段 : AffectedProduct</w:t>
      </w:r>
    </w:p>
    <w:p>
      <w:pPr>
        <w:spacing w:before="120" w:after="120" w:line="288" w:lineRule="auto"/>
        <w:ind w:left="453"/>
      </w:pPr>
      <w:r>
        <w:object>
          <v:shape id="_x0000_i1046" style="width:414pt;height:136pt;mso-width-percent:0;mso-height-percent:0;mso-width-percent:0;mso-height-percent:0" type="#_x0000_t75" o:ole="">
            <v:imagedata r:id="rId62" o:title=""/>
          </v:shape>
          <o:OLEObject DrawAspect="Icon" ObjectID="_1718471240" ProgID="Excel.Sheet.12" ShapeID="_x0000_i1046" Type="Embed" r:id="rId61"/>
        </w:object>
      </w:r>
    </w:p>
    <w:p>
      <w:pPr>
        <w:spacing w:after="120"/>
        <w:ind w:left="453"/>
        <w:jc w:val="center"/>
      </w:pPr>
      <w:r>
        <w:rPr>
          <w:rFonts w:eastAsia="等线" w:ascii="Arial" w:cs="Arial" w:hAnsi="Arial"/>
          <w:b w:val="true"/>
          <w:sz w:val="22"/>
        </w:rPr>
        <w:t>点击图片可查看完整电子表格</w:t>
      </w:r>
    </w:p>
    <w:p>
      <w:pPr>
        <w:numPr>
          <w:numId w:val="71"/>
        </w:numPr>
        <w:spacing w:before="120" w:after="120" w:line="288" w:lineRule="auto"/>
        <w:ind w:left="0"/>
        <w:jc w:val="left"/>
      </w:pPr>
      <w:r>
        <w:rPr>
          <w:rFonts w:eastAsia="等线" w:ascii="Arial" w:cs="Arial" w:hAnsi="Arial"/>
          <w:b w:val="true"/>
          <w:sz w:val="22"/>
        </w:rPr>
        <w:t>子字段 :</w:t>
      </w:r>
      <w:r>
        <w:rPr>
          <w:rFonts w:eastAsia="等线" w:ascii="Arial" w:cs="Arial" w:hAnsi="Arial"/>
          <w:sz w:val="22"/>
        </w:rPr>
        <w:t>SuggestedAction</w:t>
      </w:r>
    </w:p>
    <w:p>
      <w:pPr>
        <w:spacing w:before="120" w:after="120" w:line="288" w:lineRule="auto"/>
        <w:ind w:left="453"/>
      </w:pPr>
      <w:r>
        <w:object>
          <v:shape id="_x0000_i1047" style="width:414pt;height:166pt;mso-width-percent:0;mso-height-percent:0;mso-width-percent:0;mso-height-percent:0" type="#_x0000_t75" o:ole="">
            <v:imagedata r:id="rId64" o:title=""/>
          </v:shape>
          <o:OLEObject DrawAspect="Icon" ObjectID="_1718471241" ProgID="Excel.Sheet.12" ShapeID="_x0000_i1047" Type="Embed" r:id="rId63"/>
        </w:object>
      </w:r>
    </w:p>
    <w:p>
      <w:pPr>
        <w:spacing w:after="120"/>
        <w:ind w:left="453"/>
        <w:jc w:val="center"/>
      </w:pPr>
      <w:r>
        <w:rPr>
          <w:rFonts w:eastAsia="等线" w:ascii="Arial" w:cs="Arial" w:hAnsi="Arial"/>
          <w:b w:val="true"/>
          <w:sz w:val="22"/>
        </w:rPr>
        <w:t>点击图片可查看完整电子表格</w:t>
      </w:r>
    </w:p>
    <w:p>
      <w:pPr>
        <w:spacing w:before="120" w:after="120" w:line="288" w:lineRule="auto"/>
        <w:ind w:left="0"/>
        <w:jc w:val="left"/>
      </w:pPr>
    </w:p>
    <w:p>
      <w:pPr>
        <w:pStyle w:val="2"/>
        <w:spacing w:before="320" w:after="120" w:line="288" w:lineRule="auto"/>
        <w:ind w:left="0"/>
        <w:jc w:val="left"/>
        <w:outlineLvl w:val="1"/>
      </w:pPr>
      <w:bookmarkStart w:name="heading_41" w:id="41"/>
      <w:r>
        <w:rPr>
          <w:rFonts w:eastAsia="等线" w:ascii="Arial" w:cs="Arial" w:hAnsi="Arial"/>
          <w:color w:val="3370ff"/>
          <w:sz w:val="32"/>
        </w:rPr>
        <w:t xml:space="preserve">3.8 </w:t>
      </w:r>
      <w:r>
        <w:rPr>
          <w:rFonts w:eastAsia="等线" w:ascii="Arial" w:cs="Arial" w:hAnsi="Arial"/>
          <w:b w:val="true"/>
          <w:sz w:val="32"/>
        </w:rPr>
        <w:t>Agent 輔助行為</w:t>
      </w:r>
      <w:bookmarkEnd w:id="41"/>
    </w:p>
    <w:p>
      <w:pPr>
        <w:pStyle w:val="3"/>
        <w:spacing w:before="300" w:after="120" w:line="288" w:lineRule="auto"/>
        <w:ind w:left="453"/>
        <w:jc w:val="left"/>
        <w:outlineLvl w:val="2"/>
      </w:pPr>
      <w:bookmarkStart w:name="heading_42" w:id="42"/>
      <w:r>
        <w:rPr>
          <w:rFonts w:eastAsia="等线" w:ascii="Arial" w:cs="Arial" w:hAnsi="Arial"/>
          <w:color w:val="3370ff"/>
          <w:sz w:val="30"/>
        </w:rPr>
        <w:t xml:space="preserve">3.8.1 </w:t>
      </w:r>
      <w:r>
        <w:rPr>
          <w:rFonts w:eastAsia="等线" w:ascii="Arial" w:cs="Arial" w:hAnsi="Arial"/>
          <w:b w:val="true"/>
          <w:sz w:val="30"/>
        </w:rPr>
        <w:t>收件人結構（帳號擁有者 ↔ 通知收件人）</w:t>
      </w:r>
      <w:bookmarkEnd w:id="42"/>
    </w:p>
    <w:p>
      <w:pPr>
        <w:spacing w:before="120" w:after="120" w:line="288" w:lineRule="auto"/>
        <w:ind w:left="453"/>
        <w:jc w:val="center"/>
      </w:pPr>
      <w:r>
        <w:drawing>
          <wp:inline distT="0" distR="0" distB="0" distL="0">
            <wp:extent cx="5257800" cy="2190750"/>
            <wp:docPr id="17" name="Drawing 17" descr=""/>
            <a:graphic xmlns:a="http://schemas.openxmlformats.org/drawingml/2006/main">
              <a:graphicData uri="http://schemas.openxmlformats.org/drawingml/2006/picture">
                <pic:pic xmlns:pic="http://schemas.openxmlformats.org/drawingml/2006/picture">
                  <pic:nvPicPr>
                    <pic:cNvPr id="0" name="Picture 17" descr=""/>
                    <pic:cNvPicPr>
                      <a:picLocks noChangeAspect="true"/>
                    </pic:cNvPicPr>
                  </pic:nvPicPr>
                  <pic:blipFill>
                    <a:blip r:embed="rId65"/>
                    <a:stretch>
                      <a:fillRect/>
                    </a:stretch>
                  </pic:blipFill>
                  <pic:spPr>
                    <a:xfrm>
                      <a:off x="0" y="0"/>
                      <a:ext cx="5257800" cy="2190750"/>
                    </a:xfrm>
                    <a:prstGeom prst="rect">
                      <a:avLst/>
                    </a:prstGeom>
                  </pic:spPr>
                </pic:pic>
              </a:graphicData>
            </a:graphic>
          </wp:inline>
        </w:drawing>
      </w:r>
    </w:p>
    <w:p>
      <w:pPr>
        <w:spacing w:before="120" w:after="120" w:line="288" w:lineRule="auto"/>
        <w:ind w:left="453"/>
        <w:jc w:val="left"/>
      </w:pPr>
      <w:r>
        <w:rPr>
          <w:rFonts w:eastAsia="等线" w:ascii="Arial" w:cs="Arial" w:hAnsi="Arial"/>
          <w:b w:val="true"/>
          <w:sz w:val="22"/>
        </w:rPr>
        <w:t>設計原則：</w:t>
      </w:r>
      <w:r>
        <w:rPr>
          <w:rFonts w:eastAsia="等线" w:ascii="Arial" w:cs="Arial" w:hAnsi="Arial"/>
          <w:sz w:val="22"/>
        </w:rPr>
        <w:t xml:space="preserve"> 每個 GingerControl 帳號有一位「帳號擁有者」（即登入該帳號的 email，例：</w:t>
      </w:r>
      <w:r>
        <w:rPr>
          <w:rFonts w:eastAsia="Consolas" w:ascii="Consolas" w:cs="Consolas" w:hAnsi="Consolas"/>
          <w:sz w:val="22"/>
          <w:shd w:fill="EFF0F1"/>
        </w:rPr>
        <w:t>tiffany@gingercontrol.com</w:t>
      </w:r>
      <w:r>
        <w:rPr>
          <w:rFonts w:eastAsia="等线" w:ascii="Arial" w:cs="Arial" w:hAnsi="Arial"/>
          <w:sz w:val="22"/>
        </w:rPr>
        <w:t>），擁有 Product Sandbox、訂閱 Topics、產生 Actions。同一個帳號下可加掛多位「通知收件人」（Notification Recipient），收件人不需登入也不能登入此帳號，僅接收該帳號名下產生的所有 email 通知。</w:t>
      </w:r>
    </w:p>
    <w:p>
      <w:pPr>
        <w:spacing w:before="120" w:after="120" w:line="288" w:lineRule="auto"/>
        <w:ind w:left="453"/>
      </w:pPr>
      <w:r>
        <w:object>
          <v:shape id="_x0000_i1048" style="width:414pt;height:126pt;mso-width-percent:0;mso-height-percent:0;mso-width-percent:0;mso-height-percent:0" type="#_x0000_t75" o:ole="">
            <v:imagedata r:id="rId67" o:title=""/>
          </v:shape>
          <o:OLEObject DrawAspect="Icon" ObjectID="_1718471242" ProgID="Excel.Sheet.12" ShapeID="_x0000_i1048" Type="Embed" r:id="rId66"/>
        </w:object>
      </w:r>
    </w:p>
    <w:p>
      <w:pPr>
        <w:spacing w:after="120"/>
        <w:ind w:left="453"/>
        <w:jc w:val="center"/>
      </w:pPr>
      <w:r>
        <w:rPr>
          <w:rFonts w:eastAsia="等线" w:ascii="Arial" w:cs="Arial" w:hAnsi="Arial"/>
          <w:b w:val="true"/>
          <w:sz w:val="22"/>
        </w:rPr>
        <w:t>点击图片可查看完整电子表格</w:t>
      </w:r>
    </w:p>
    <w:p>
      <w:pPr>
        <w:spacing w:before="120" w:after="120" w:line="288" w:lineRule="auto"/>
        <w:ind w:left="453"/>
        <w:jc w:val="left"/>
      </w:pPr>
      <w:r>
        <w:rPr>
          <w:rFonts w:eastAsia="等线" w:ascii="Arial" w:cs="Arial" w:hAnsi="Arial"/>
          <w:b w:val="true"/>
          <w:sz w:val="22"/>
        </w:rPr>
        <w:t>綁定關係：</w:t>
      </w:r>
      <w:r>
        <w:rPr>
          <w:rFonts w:eastAsia="等线" w:ascii="Arial" w:cs="Arial" w:hAnsi="Arial"/>
          <w:sz w:val="22"/>
        </w:rPr>
        <w:t xml:space="preserve"> 通知收件人列表 belongs to 帳號擁有者。當 </w:t>
      </w:r>
      <w:r>
        <w:rPr>
          <w:rFonts w:eastAsia="Consolas" w:ascii="Consolas" w:cs="Consolas" w:hAnsi="Consolas"/>
          <w:sz w:val="22"/>
          <w:shd w:fill="EFF0F1"/>
        </w:rPr>
        <w:t>tiffany@gingercontrol.com</w:t>
      </w:r>
      <w:r>
        <w:rPr>
          <w:rFonts w:eastAsia="等线" w:ascii="Arial" w:cs="Arial" w:hAnsi="Arial"/>
          <w:sz w:val="22"/>
        </w:rPr>
        <w:t xml:space="preserve"> 在自己的帳號下加掛 </w:t>
      </w:r>
      <w:r>
        <w:rPr>
          <w:rFonts w:eastAsia="Consolas" w:ascii="Consolas" w:cs="Consolas" w:hAnsi="Consolas"/>
          <w:sz w:val="22"/>
          <w:shd w:fill="EFF0F1"/>
        </w:rPr>
        <w:t>alice@example.com</w:t>
      </w:r>
      <w:r>
        <w:rPr>
          <w:rFonts w:eastAsia="等线" w:ascii="Arial" w:cs="Arial" w:hAnsi="Arial"/>
          <w:sz w:val="22"/>
        </w:rPr>
        <w:t>、</w:t>
      </w:r>
      <w:r>
        <w:rPr>
          <w:rFonts w:eastAsia="Consolas" w:ascii="Consolas" w:cs="Consolas" w:hAnsi="Consolas"/>
          <w:sz w:val="22"/>
          <w:shd w:fill="EFF0F1"/>
        </w:rPr>
        <w:t>bob@example.com</w:t>
      </w:r>
      <w:r>
        <w:rPr>
          <w:rFonts w:eastAsia="等线" w:ascii="Arial" w:cs="Arial" w:hAnsi="Arial"/>
          <w:sz w:val="22"/>
        </w:rPr>
        <w:t>，則本帳號名下任何 Action 或 Topic 觸發的 email 都寄到這份列表上的所有地址。</w:t>
      </w:r>
      <w:r>
        <w:rPr>
          <w:rFonts w:eastAsia="Consolas" w:ascii="Consolas" w:cs="Consolas" w:hAnsi="Consolas"/>
          <w:sz w:val="22"/>
          <w:shd w:fill="EFF0F1"/>
        </w:rPr>
        <w:t>alice@example.com</w:t>
      </w:r>
      <w:r>
        <w:rPr>
          <w:rFonts w:eastAsia="等线" w:ascii="Arial" w:cs="Arial" w:hAnsi="Arial"/>
          <w:sz w:val="22"/>
        </w:rPr>
        <w:t xml:space="preserve"> 若另外有自己的 GingerControl 帳號，那是獨立關係，不互通。</w:t>
      </w:r>
    </w:p>
    <w:p>
      <w:pPr>
        <w:spacing w:before="120" w:after="120" w:line="288" w:lineRule="auto"/>
        <w:ind w:left="453"/>
        <w:jc w:val="left"/>
      </w:pPr>
      <w:r>
        <w:rPr>
          <w:rFonts w:eastAsia="等线" w:ascii="Arial" w:cs="Arial" w:hAnsi="Arial"/>
          <w:b w:val="true"/>
          <w:sz w:val="22"/>
        </w:rPr>
        <w:t>預設行為：</w:t>
      </w:r>
      <w:r>
        <w:rPr>
          <w:rFonts w:eastAsia="等线" w:ascii="Arial" w:cs="Arial" w:hAnsi="Arial"/>
          <w:sz w:val="22"/>
        </w:rPr>
        <w:t xml:space="preserve"> 帳號擁有者並</w:t>
      </w:r>
      <w:r>
        <w:rPr>
          <w:rFonts w:eastAsia="等线" w:ascii="Arial" w:cs="Arial" w:hAnsi="Arial"/>
          <w:b w:val="true"/>
          <w:sz w:val="22"/>
        </w:rPr>
        <w:t>非</w:t>
      </w:r>
      <w:r>
        <w:rPr>
          <w:rFonts w:eastAsia="等线" w:ascii="Arial" w:cs="Arial" w:hAnsi="Arial"/>
          <w:sz w:val="22"/>
        </w:rPr>
        <w:t>預設加入收件人列表。是否要把自己（</w:t>
      </w:r>
      <w:r>
        <w:rPr>
          <w:rFonts w:eastAsia="Consolas" w:ascii="Consolas" w:cs="Consolas" w:hAnsi="Consolas"/>
          <w:sz w:val="22"/>
          <w:shd w:fill="EFF0F1"/>
        </w:rPr>
        <w:t>tiffany@gingercontrol.com</w:t>
      </w:r>
      <w:r>
        <w:rPr>
          <w:rFonts w:eastAsia="等线" w:ascii="Arial" w:cs="Arial" w:hAnsi="Arial"/>
          <w:sz w:val="22"/>
        </w:rPr>
        <w:t>）加入由擁有者自行決定。空列表時系統仍照常產生 Action 與 Topic 紀錄但不寄送任何 email，直到列表上至少有一位收件人為止。</w:t>
      </w:r>
    </w:p>
    <w:p>
      <w:pPr>
        <w:spacing w:before="120" w:after="120" w:line="288" w:lineRule="auto"/>
        <w:ind w:left="453"/>
        <w:jc w:val="left"/>
      </w:pPr>
      <w:r>
        <w:rPr>
          <w:rFonts w:eastAsia="等线" w:ascii="Arial" w:cs="Arial" w:hAnsi="Arial"/>
          <w:b w:val="true"/>
          <w:sz w:val="22"/>
        </w:rPr>
        <w:t>驗證流程：</w:t>
      </w:r>
      <w:r>
        <w:rPr>
          <w:rFonts w:eastAsia="等线" w:ascii="Arial" w:cs="Arial" w:hAnsi="Arial"/>
          <w:sz w:val="22"/>
        </w:rPr>
        <w:t xml:space="preserve"> 1.0 不做 email 驗證。擁有者輸入任何合法格式的 email 即立刻啟用寄送，不需收件人確認。為防範惡意輸入，每封通知 email footer 必含 </w:t>
      </w:r>
      <w:r>
        <w:rPr>
          <w:rFonts w:eastAsia="Consolas" w:ascii="Consolas" w:cs="Consolas" w:hAnsi="Consolas"/>
          <w:sz w:val="22"/>
          <w:shd w:fill="EFF0F1"/>
        </w:rPr>
        <w:t>unsubscribe</w:t>
      </w:r>
      <w:r>
        <w:rPr>
          <w:rFonts w:eastAsia="等线" w:ascii="Arial" w:cs="Arial" w:hAnsi="Arial"/>
          <w:sz w:val="22"/>
        </w:rPr>
        <w:t xml:space="preserve"> 連結，收件人可一鍵自我退訂。</w:t>
      </w:r>
    </w:p>
    <w:p>
      <w:pPr>
        <w:spacing w:before="120" w:after="120" w:line="288" w:lineRule="auto"/>
        <w:ind w:left="453"/>
        <w:jc w:val="left"/>
      </w:pPr>
      <w:r>
        <w:rPr>
          <w:rFonts w:eastAsia="等线" w:ascii="Arial" w:cs="Arial" w:hAnsi="Arial"/>
          <w:b w:val="true"/>
          <w:sz w:val="22"/>
        </w:rPr>
        <w:t>數量上限：</w:t>
      </w:r>
      <w:r>
        <w:rPr>
          <w:rFonts w:eastAsia="等线" w:ascii="Arial" w:cs="Arial" w:hAnsi="Arial"/>
          <w:sz w:val="22"/>
        </w:rPr>
        <w:t xml:space="preserve"> 每帳號最多 5 位收件人，與付費方案掛勾，未來可放寬。</w:t>
      </w:r>
    </w:p>
    <w:p>
      <w:pPr>
        <w:pStyle w:val="3"/>
        <w:spacing w:before="300" w:after="120" w:line="288" w:lineRule="auto"/>
        <w:ind w:left="453"/>
        <w:jc w:val="left"/>
        <w:outlineLvl w:val="2"/>
      </w:pPr>
      <w:bookmarkStart w:name="heading_43" w:id="43"/>
      <w:r>
        <w:rPr>
          <w:rFonts w:eastAsia="等线" w:ascii="Arial" w:cs="Arial" w:hAnsi="Arial"/>
          <w:color w:val="3370ff"/>
          <w:sz w:val="30"/>
        </w:rPr>
        <w:t xml:space="preserve">3.8.2 </w:t>
      </w:r>
      <w:r>
        <w:rPr>
          <w:rFonts w:eastAsia="等线" w:ascii="Arial" w:cs="Arial" w:hAnsi="Arial"/>
          <w:b w:val="true"/>
          <w:sz w:val="30"/>
        </w:rPr>
        <w:t>觸發條件與寄送策略</w:t>
      </w:r>
      <w:bookmarkEnd w:id="43"/>
    </w:p>
    <w:p>
      <w:pPr>
        <w:spacing w:before="120" w:after="120" w:line="288" w:lineRule="auto"/>
        <w:ind w:left="453"/>
      </w:pPr>
      <w:r>
        <w:object>
          <v:shape id="_x0000_i1049" style="width:414pt;height:85pt;mso-width-percent:0;mso-height-percent:0;mso-width-percent:0;mso-height-percent:0" type="#_x0000_t75" o:ole="">
            <v:imagedata r:id="rId69" o:title=""/>
          </v:shape>
          <o:OLEObject DrawAspect="Icon" ObjectID="_1718471243" ProgID="Excel.Sheet.12" ShapeID="_x0000_i1049" Type="Embed" r:id="rId68"/>
        </w:object>
      </w:r>
    </w:p>
    <w:p>
      <w:pPr>
        <w:spacing w:after="120"/>
        <w:ind w:left="453"/>
        <w:jc w:val="center"/>
      </w:pPr>
      <w:r>
        <w:rPr>
          <w:rFonts w:eastAsia="等线" w:ascii="Arial" w:cs="Arial" w:hAnsi="Arial"/>
          <w:b w:val="true"/>
          <w:sz w:val="22"/>
        </w:rPr>
        <w:t>点击图片可查看完整电子表格</w:t>
      </w:r>
    </w:p>
    <w:p>
      <w:pPr>
        <w:spacing w:before="120" w:after="120" w:line="288" w:lineRule="auto"/>
        <w:ind w:left="453"/>
        <w:jc w:val="left"/>
      </w:pPr>
      <w:r>
        <w:rPr>
          <w:rFonts w:eastAsia="等线" w:ascii="Arial" w:cs="Arial" w:hAnsi="Arial"/>
          <w:b w:val="true"/>
          <w:sz w:val="22"/>
        </w:rPr>
        <w:t>重要原則：</w:t>
      </w:r>
    </w:p>
    <w:p>
      <w:pPr>
        <w:numPr>
          <w:numId w:val="72"/>
        </w:numPr>
        <w:spacing w:before="120" w:after="120" w:line="288" w:lineRule="auto"/>
        <w:ind w:left="453"/>
        <w:jc w:val="left"/>
      </w:pPr>
      <w:r>
        <w:rPr>
          <w:rFonts w:eastAsia="等线" w:ascii="Arial" w:cs="Arial" w:hAnsi="Arial"/>
          <w:b w:val="true"/>
          <w:sz w:val="22"/>
        </w:rPr>
        <w:t>以 briefing(就是政策消息) 為單位寄送。</w:t>
      </w:r>
      <w:r>
        <w:rPr>
          <w:rFonts w:eastAsia="等线" w:ascii="Arial" w:cs="Arial" w:hAnsi="Arial"/>
          <w:sz w:val="22"/>
        </w:rPr>
        <w:t xml:space="preserve"> 一筆 briefing 對同一收件人最多寄一封 email，不論該 briefing 同時是 Action（命中產品）也是 Topic（命中關鍵字）、或是同時命中多個 topic，皆合併為單封寄送。寄送模板優先順序：若同時命中 Action 與 Topic，採用 Action 模板（資訊密度更高），footer 額外註明「This update also matches your topic subscription: {topic1, topic2, ...}」；若僅命中 Topic，採用 Topic 模板。</w:t>
      </w:r>
    </w:p>
    <w:p>
      <w:pPr>
        <w:spacing w:before="120" w:after="120" w:line="288" w:lineRule="auto"/>
        <w:ind w:left="453"/>
        <w:jc w:val="left"/>
      </w:pPr>
    </w:p>
    <w:p>
      <w:pPr>
        <w:numPr>
          <w:numId w:val="73"/>
        </w:numPr>
        <w:spacing w:before="120" w:after="120" w:line="288" w:lineRule="auto"/>
        <w:ind w:left="453"/>
        <w:jc w:val="left"/>
      </w:pPr>
      <w:r>
        <w:rPr>
          <w:rFonts w:eastAsia="等线" w:ascii="Arial" w:cs="Arial" w:hAnsi="Arial"/>
          <w:b w:val="true"/>
          <w:sz w:val="22"/>
        </w:rPr>
        <w:t>不批次彙整。</w:t>
      </w:r>
      <w:r>
        <w:rPr>
          <w:rFonts w:eastAsia="等线" w:ascii="Arial" w:cs="Arial" w:hAnsi="Arial"/>
          <w:sz w:val="22"/>
        </w:rPr>
        <w:t xml:space="preserve"> 即時觸發，不做每日摘要 / 週報式整理。理由：用戶要的是即時可行動的訊號，彙整會稀釋緊迫感。</w:t>
      </w:r>
    </w:p>
    <w:p>
      <w:pPr>
        <w:spacing w:before="120" w:after="120" w:line="288" w:lineRule="auto"/>
        <w:ind w:left="453"/>
        <w:jc w:val="left"/>
      </w:pPr>
    </w:p>
    <w:p>
      <w:pPr>
        <w:numPr>
          <w:numId w:val="74"/>
        </w:numPr>
        <w:spacing w:before="120" w:after="120" w:line="288" w:lineRule="auto"/>
        <w:ind w:left="453"/>
        <w:jc w:val="left"/>
      </w:pPr>
      <w:r>
        <w:rPr>
          <w:rFonts w:eastAsia="等线" w:ascii="Arial" w:cs="Arial" w:hAnsi="Arial"/>
          <w:b w:val="true"/>
          <w:sz w:val="22"/>
        </w:rPr>
        <w:t>頻率保護（60 秒 throttle）。</w:t>
      </w:r>
      <w:r>
        <w:rPr>
          <w:rFonts w:eastAsia="等线" w:ascii="Arial" w:cs="Arial" w:hAnsi="Arial"/>
          <w:sz w:val="22"/>
        </w:rPr>
        <w:t xml:space="preserve"> 後端對同一收件人在 60 秒內被觸發的多筆</w:t>
      </w:r>
      <w:r>
        <w:rPr>
          <w:rFonts w:eastAsia="等线" w:ascii="Arial" w:cs="Arial" w:hAnsi="Arial"/>
          <w:b w:val="true"/>
          <w:sz w:val="22"/>
        </w:rPr>
        <w:t>不同</w:t>
      </w:r>
      <w:r>
        <w:rPr>
          <w:rFonts w:eastAsia="等线" w:ascii="Arial" w:cs="Arial" w:hAnsi="Arial"/>
          <w:sz w:val="22"/>
        </w:rPr>
        <w:t xml:space="preserve"> briefing 做合併（throttle），避免短時間內海量 briefing 入庫導致信箱炸開。合併的 email 仍以 briefing 為單位陳列每一筆內容，按 Action / Topic 分區呈現，不做跨 briefing 摘要。</w:t>
      </w:r>
    </w:p>
    <w:p>
      <w:pPr>
        <w:spacing w:before="120" w:after="120" w:line="288" w:lineRule="auto"/>
        <w:ind w:left="453"/>
        <w:jc w:val="left"/>
      </w:pPr>
    </w:p>
    <w:p>
      <w:pPr>
        <w:numPr>
          <w:numId w:val="75"/>
        </w:numPr>
        <w:spacing w:before="120" w:after="120" w:line="288" w:lineRule="auto"/>
        <w:ind w:left="453"/>
        <w:jc w:val="left"/>
      </w:pPr>
      <w:r>
        <w:rPr>
          <w:rFonts w:eastAsia="等线" w:ascii="Arial" w:cs="Arial" w:hAnsi="Arial"/>
          <w:b w:val="true"/>
          <w:sz w:val="22"/>
        </w:rPr>
        <w:t>失敗重試。</w:t>
      </w:r>
      <w:r>
        <w:rPr>
          <w:rFonts w:eastAsia="等线" w:ascii="Arial" w:cs="Arial" w:hAnsi="Arial"/>
          <w:sz w:val="22"/>
        </w:rPr>
        <w:t xml:space="preserve"> SMTP 失敗自動重試 3 次（指數退避），最終失敗時記錄但不阻塞下次觸發。連續 5 次寄送失敗的收件人自動標記為 </w:t>
      </w:r>
      <w:r>
        <w:rPr>
          <w:rFonts w:eastAsia="Consolas" w:ascii="Consolas" w:cs="Consolas" w:hAnsi="Consolas"/>
          <w:sz w:val="22"/>
          <w:shd w:fill="EFF0F1"/>
        </w:rPr>
        <w:t>bounced</w:t>
      </w:r>
      <w:r>
        <w:rPr>
          <w:rFonts w:eastAsia="等线" w:ascii="Arial" w:cs="Arial" w:hAnsi="Arial"/>
          <w:sz w:val="22"/>
        </w:rPr>
        <w:t>，停止寄送並在前端列表標示。</w:t>
      </w:r>
    </w:p>
    <w:p>
      <w:pPr>
        <w:pStyle w:val="3"/>
        <w:spacing w:before="300" w:after="120" w:line="288" w:lineRule="auto"/>
        <w:ind w:left="453"/>
        <w:jc w:val="left"/>
        <w:outlineLvl w:val="2"/>
      </w:pPr>
      <w:bookmarkStart w:name="heading_44" w:id="44"/>
      <w:r>
        <w:rPr>
          <w:rFonts w:eastAsia="等线" w:ascii="Arial" w:cs="Arial" w:hAnsi="Arial"/>
          <w:color w:val="3370ff"/>
          <w:sz w:val="30"/>
        </w:rPr>
        <w:t xml:space="preserve">3.8.3 </w:t>
      </w:r>
      <w:r>
        <w:rPr>
          <w:rFonts w:eastAsia="等线" w:ascii="Arial" w:cs="Arial" w:hAnsi="Arial"/>
          <w:b w:val="true"/>
          <w:sz w:val="30"/>
        </w:rPr>
        <w:t>Email 內容（給後端寫 prompt 的方向）</w:t>
      </w:r>
      <w:bookmarkEnd w:id="44"/>
    </w:p>
    <w:p>
      <w:pPr>
        <w:spacing w:before="120" w:after="120" w:line="288" w:lineRule="auto"/>
        <w:ind w:left="453"/>
        <w:jc w:val="left"/>
      </w:pPr>
      <w:r>
        <w:rPr>
          <w:rFonts w:eastAsia="等线" w:ascii="Arial" w:cs="Arial" w:hAnsi="Arial"/>
          <w:b w:val="true"/>
          <w:sz w:val="22"/>
        </w:rPr>
        <w:t>共通樣式：</w:t>
      </w:r>
    </w:p>
    <w:p>
      <w:pPr>
        <w:numPr>
          <w:numId w:val="76"/>
        </w:numPr>
        <w:spacing w:before="120" w:after="120" w:line="288" w:lineRule="auto"/>
        <w:ind w:left="453"/>
        <w:jc w:val="left"/>
      </w:pPr>
      <w:r>
        <w:rPr>
          <w:rFonts w:eastAsia="等线" w:ascii="Arial" w:cs="Arial" w:hAnsi="Arial"/>
          <w:sz w:val="22"/>
        </w:rPr>
        <w:t>純文字 + 簡單 HTML，避免複雜版型導致 spam filter 誤判。</w:t>
      </w:r>
    </w:p>
    <w:p>
      <w:pPr>
        <w:numPr>
          <w:numId w:val="77"/>
        </w:numPr>
        <w:spacing w:before="120" w:after="120" w:line="288" w:lineRule="auto"/>
        <w:ind w:left="453"/>
        <w:jc w:val="left"/>
      </w:pPr>
      <w:r>
        <w:rPr>
          <w:rFonts w:eastAsia="等线" w:ascii="Arial" w:cs="Arial" w:hAnsi="Arial"/>
          <w:sz w:val="22"/>
        </w:rPr>
        <w:t xml:space="preserve">主旨統一前綴 </w:t>
      </w:r>
      <w:r>
        <w:rPr>
          <w:rFonts w:eastAsia="Consolas" w:ascii="Consolas" w:cs="Consolas" w:hAnsi="Consolas"/>
          <w:sz w:val="22"/>
          <w:shd w:fill="EFF0F1"/>
        </w:rPr>
        <w:t>[GingerControl]</w:t>
      </w:r>
      <w:r>
        <w:rPr>
          <w:rFonts w:eastAsia="等线" w:ascii="Arial" w:cs="Arial" w:hAnsi="Arial"/>
          <w:sz w:val="22"/>
        </w:rPr>
        <w:t>，方便用戶 inbox 規則過濾。</w:t>
      </w:r>
    </w:p>
    <w:p>
      <w:pPr>
        <w:numPr>
          <w:numId w:val="78"/>
        </w:numPr>
        <w:spacing w:before="120" w:after="120" w:line="288" w:lineRule="auto"/>
        <w:ind w:left="453"/>
        <w:jc w:val="left"/>
      </w:pPr>
      <w:r>
        <w:rPr>
          <w:rFonts w:eastAsia="等线" w:ascii="Arial" w:cs="Arial" w:hAnsi="Arial"/>
          <w:sz w:val="22"/>
        </w:rPr>
        <w:t>footer 必含：</w:t>
      </w:r>
      <w:r>
        <w:rPr>
          <w:rFonts w:eastAsia="Consolas" w:ascii="Consolas" w:cs="Consolas" w:hAnsi="Consolas"/>
          <w:sz w:val="22"/>
          <w:shd w:fill="EFF0F1"/>
        </w:rPr>
        <w:t>Unsubscribe</w:t>
      </w:r>
      <w:r>
        <w:rPr>
          <w:rFonts w:eastAsia="等线" w:ascii="Arial" w:cs="Arial" w:hAnsi="Arial"/>
          <w:sz w:val="22"/>
        </w:rPr>
        <w:t xml:space="preserve"> 連結（一鍵退訂該收件人地址）、本帳號擁有者識別、原文連結、本帳號 monitoring 頁面 deep link。</w:t>
      </w:r>
    </w:p>
    <w:p>
      <w:pPr>
        <w:spacing w:before="120" w:after="120" w:line="288" w:lineRule="auto"/>
        <w:ind w:left="453"/>
        <w:jc w:val="left"/>
      </w:pPr>
      <w:r>
        <w:rPr>
          <w:rFonts w:eastAsia="等线" w:ascii="Arial" w:cs="Arial" w:hAnsi="Arial"/>
          <w:b w:val="true"/>
          <w:sz w:val="22"/>
        </w:rPr>
        <w:t>Action 通知 Prompt 設計方向：</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7827"/>
      </w:tblGrid>
      <w:tr>
        <w:tc>
          <w:tcPr>
            <w:tcW w:w="7827"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角色：GingerControl 通知 agent。</w:t>
              <w:br/>
              <w:br/>
              <w:t>輸入：一筆 ImpactAlert（含 source、reference_number、headline、summary、affected_products、suggested_actions、briefing_id）。</w:t>
              <w:br/>
              <w:br/>
              <w:t>輸出：一封 email，包含：</w:t>
              <w:br/>
              <w:br/>
              <w:t>1. Subject（≤ 70 字元）：</w:t>
              <w:br/>
              <w:t xml:space="preserve">   格式 `[GingerControl] {source} {reference_number}: {headline 截至 50 字}`</w:t>
              <w:br/>
              <w:t xml:space="preserve">   範例 `[GingerControl] CSMS #63542: Section 232 aluminum surcharge increased 25% to 30%`</w:t>
              <w:br/>
              <w:br/>
              <w:t>2. Body 第一段（一句話）：</w:t>
              <w:br/>
              <w:t xml:space="preserve">   說明這是一條 Action 通知，總共有 N 個產品需要採取行動。</w:t>
              <w:br/>
              <w:t xml:space="preserve">   範例 `A new {source} update affects {N} products on your sandbox.`</w:t>
              <w:br/>
              <w:br/>
              <w:t>3. What happened（一段，3 至 5 句）：</w:t>
              <w:br/>
              <w:t xml:space="preserve">   直接使用 ImpactAlert.summary，不需 AI 改寫。</w:t>
              <w:br/>
              <w:br/>
              <w:t>4. Affected products（bullet list）：</w:t>
              <w:br/>
              <w:t xml:space="preserve">   每個產品列：產品品名 + HTS code。</w:t>
              <w:br/>
              <w:br/>
              <w:t>5. What you need to do（bullet list）：</w:t>
              <w:br/>
              <w:t xml:space="preserve">   依 suggested_actions 內容生成：</w:t>
              <w:br/>
              <w:t xml:space="preserve">   - 若有 reclassify_product：`{X} product(s) need reclassification (effective {date}).`</w:t>
              <w:br/>
              <w:t xml:space="preserve">   - 若有 recalculate_tariff：`{Y} product(s) need tariff recalculation (effective {date}).`</w:t>
              <w:br/>
              <w:t xml:space="preserve">   每條後面附 deep link：`Reclassify now →` / `Recalculate now →`，連到該 case / 該產品。</w:t>
              <w:br/>
              <w:br/>
              <w:t>6. View full briefing：deep link 到 monitoring 頁面該 Action 的 View Details。</w:t>
              <w:br/>
              <w:br/>
              <w:t>7. Footer：unsubscribe 連結 + 帳號擁有者標識。</w:t>
              <w:br/>
              <w:br/>
              <w:t>語言：英文（與既有 UI 一致）。</w:t>
              <w:br/>
            </w:r>
            <w:r>
              <w:rPr>
                <w:rFonts w:eastAsia="Consolas" w:ascii="Consolas" w:cs="Consolas" w:hAnsi="Consolas"/>
                <w:sz w:val="22"/>
              </w:rPr>
              <w:t>語氣：簡潔、可行動。不要客套詞，不要表情符號，不要 em dash。</w:t>
            </w:r>
          </w:p>
        </w:tc>
      </w:tr>
    </w:tbl>
    <w:p>
      <w:pPr>
        <w:spacing w:before="120" w:after="120" w:line="288" w:lineRule="auto"/>
        <w:ind w:left="453"/>
        <w:jc w:val="left"/>
      </w:pPr>
      <w:r>
        <w:rPr>
          <w:rFonts w:eastAsia="等线" w:ascii="Arial" w:cs="Arial" w:hAnsi="Arial"/>
          <w:b w:val="true"/>
          <w:sz w:val="22"/>
        </w:rPr>
        <w:t>Topic 通知 Prompt 設計方向：</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7827"/>
      </w:tblGrid>
      <w:tr>
        <w:tc>
          <w:tcPr>
            <w:tcW w:w="7827"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角色：GingerControl 通知 agent。</w:t>
              <w:br/>
              <w:br/>
              <w:t>輸入：一筆新入庫的 briefing（含 source、reference_number、headline、summary、source_url）+ 命中的 topic 字串。</w:t>
              <w:br/>
              <w:br/>
              <w:t>輸出：一封 email，包含：</w:t>
              <w:br/>
              <w:br/>
              <w:t>1. Subject（≤ 70 字元）：</w:t>
              <w:br/>
              <w:t xml:space="preserve">   格式 `[GingerControl] Topic "{topic}": {headline 截至 50 字}`</w:t>
              <w:br/>
              <w:t xml:space="preserve">   範例 `[GingerControl] Topic "Section 232": Aluminum surcharge increased to 30%`</w:t>
              <w:br/>
              <w:br/>
              <w:t>2. Body 第一段（一句話）：</w:t>
              <w:br/>
              <w:t xml:space="preserve">   `A new update matches your topic subscription "{topic}".`</w:t>
              <w:br/>
              <w:br/>
              <w:t>3. What was published（兩行）：</w:t>
              <w:br/>
              <w:t xml:space="preserve">   - `Source: {source} | {reference_number}`</w:t>
              <w:br/>
              <w:t xml:space="preserve">   - `Published: {published_at 格式化為 Apr 15, 2026}`</w:t>
              <w:br/>
              <w:br/>
              <w:t>4. Summary（一段）：</w:t>
              <w:br/>
              <w:t xml:space="preserve">   直接使用 briefing.summary，不需 AI 改寫。</w:t>
              <w:br/>
              <w:br/>
              <w:t>5. View full briefing：deep link 到 monitoring 頁面對應 briefing 的 View Details。</w:t>
              <w:br/>
              <w:br/>
              <w:t>6. Footer：unsubscribe 連結 + 帳號擁有者標識 + 「This was sent because you subscribed to topic '{topic}'」。</w:t>
              <w:br/>
              <w:br/>
              <w:t>語言：英文。</w:t>
              <w:br/>
            </w:r>
            <w:r>
              <w:rPr>
                <w:rFonts w:eastAsia="Consolas" w:ascii="Consolas" w:cs="Consolas" w:hAnsi="Consolas"/>
                <w:sz w:val="22"/>
              </w:rPr>
              <w:t>語氣：資訊性、簡潔。不催促行動（Topic 是 informational，不像 Action 需要立即處理）。不要 em dash。</w:t>
            </w:r>
          </w:p>
        </w:tc>
      </w:tr>
    </w:tbl>
    <w:p>
      <w:pPr>
        <w:spacing w:before="120" w:after="120" w:line="288" w:lineRule="auto"/>
        <w:ind w:left="453"/>
        <w:jc w:val="left"/>
      </w:pPr>
      <w:r>
        <w:rPr>
          <w:rFonts w:eastAsia="等线" w:ascii="Arial" w:cs="Arial" w:hAnsi="Arial"/>
          <w:b w:val="true"/>
          <w:sz w:val="22"/>
        </w:rPr>
        <w:t>為什麼 Action 與 Topic 用不同模板：</w:t>
      </w:r>
      <w:r>
        <w:rPr>
          <w:rFonts w:eastAsia="等线" w:ascii="Arial" w:cs="Arial" w:hAnsi="Arial"/>
          <w:sz w:val="22"/>
        </w:rPr>
        <w:t xml:space="preserve"> Action 隱含「你必須採取行動」，模板要把 deep link 拉到最顯眼位置；Topic 是「這條跟你關心的主題有關」，主要任務是讓用戶不漏掉資訊，模板可以更輕量。</w:t>
      </w:r>
    </w:p>
    <w:p>
      <w:pPr>
        <w:spacing w:before="120" w:after="120" w:line="288" w:lineRule="auto"/>
        <w:ind w:left="453"/>
        <w:jc w:val="left"/>
      </w:pPr>
    </w:p>
    <w:p>
      <w:pPr>
        <w:pStyle w:val="3"/>
        <w:spacing w:before="300" w:after="120" w:line="288" w:lineRule="auto"/>
        <w:ind w:left="453"/>
        <w:jc w:val="left"/>
        <w:outlineLvl w:val="2"/>
      </w:pPr>
      <w:bookmarkStart w:name="heading_45" w:id="45"/>
      <w:r>
        <w:rPr>
          <w:rFonts w:eastAsia="等线" w:ascii="Arial" w:cs="Arial" w:hAnsi="Arial"/>
          <w:color w:val="3370ff"/>
          <w:sz w:val="30"/>
        </w:rPr>
        <w:t xml:space="preserve">3.8.4 </w:t>
      </w:r>
      <w:r>
        <w:rPr>
          <w:rFonts w:eastAsia="等线" w:ascii="Arial" w:cs="Arial" w:hAnsi="Arial"/>
          <w:b w:val="true"/>
          <w:sz w:val="30"/>
        </w:rPr>
        <w:t>API 規格</w:t>
      </w:r>
      <w:bookmarkEnd w:id="45"/>
    </w:p>
    <w:p>
      <w:pPr>
        <w:spacing w:before="120" w:after="120" w:line="288" w:lineRule="auto"/>
        <w:ind w:left="453"/>
      </w:pPr>
      <w:r>
        <w:object>
          <v:shape id="_x0000_i1050" style="width:414pt;height:197pt;mso-width-percent:0;mso-height-percent:0;mso-width-percent:0;mso-height-percent:0" type="#_x0000_t75" o:ole="">
            <v:imagedata r:id="rId71" o:title=""/>
          </v:shape>
          <o:OLEObject DrawAspect="Icon" ObjectID="_1718471244" ProgID="Excel.Sheet.12" ShapeID="_x0000_i1050" Type="Embed" r:id="rId70"/>
        </w:object>
      </w:r>
    </w:p>
    <w:p>
      <w:pPr>
        <w:spacing w:after="120"/>
        <w:ind w:left="453"/>
        <w:jc w:val="center"/>
      </w:pPr>
      <w:r>
        <w:rPr>
          <w:rFonts w:eastAsia="等线" w:ascii="Arial" w:cs="Arial" w:hAnsi="Arial"/>
          <w:b w:val="true"/>
          <w:sz w:val="22"/>
        </w:rPr>
        <w:t>点击图片可查看完整电子表格</w:t>
      </w:r>
    </w:p>
    <w:p>
      <w:pPr>
        <w:pStyle w:val="3"/>
        <w:spacing w:before="300" w:after="120" w:line="288" w:lineRule="auto"/>
        <w:ind w:left="453"/>
        <w:jc w:val="left"/>
        <w:outlineLvl w:val="2"/>
      </w:pPr>
      <w:bookmarkStart w:name="heading_46" w:id="46"/>
      <w:r>
        <w:rPr>
          <w:rFonts w:eastAsia="等线" w:ascii="Arial" w:cs="Arial" w:hAnsi="Arial"/>
          <w:color w:val="3370ff"/>
          <w:sz w:val="30"/>
        </w:rPr>
        <w:t xml:space="preserve">3.8.5 </w:t>
      </w:r>
      <w:r>
        <w:rPr>
          <w:rFonts w:eastAsia="等线" w:ascii="Arial" w:cs="Arial" w:hAnsi="Arial"/>
          <w:b w:val="true"/>
          <w:sz w:val="30"/>
        </w:rPr>
        <w:t>字段說明表格</w:t>
      </w:r>
      <w:bookmarkEnd w:id="46"/>
    </w:p>
    <w:p>
      <w:pPr>
        <w:pStyle w:val="4"/>
        <w:spacing w:before="260" w:after="120" w:line="288" w:lineRule="auto"/>
        <w:ind w:left="453"/>
        <w:jc w:val="left"/>
        <w:outlineLvl w:val="3"/>
      </w:pPr>
      <w:bookmarkStart w:name="heading_47" w:id="47"/>
      <w:r>
        <w:rPr>
          <w:rFonts w:eastAsia="等线" w:ascii="Arial" w:cs="Arial" w:hAnsi="Arial"/>
          <w:b w:val="true"/>
          <w:sz w:val="28"/>
        </w:rPr>
        <w:t>NotificationRecipient（單筆收件人）</w:t>
      </w:r>
      <w:bookmarkEnd w:id="47"/>
    </w:p>
    <w:p>
      <w:pPr>
        <w:spacing w:before="120" w:after="120" w:line="288" w:lineRule="auto"/>
        <w:ind w:left="453"/>
      </w:pPr>
      <w:r>
        <w:object>
          <v:shape id="_x0000_i1051" style="width:414pt;height:179pt;mso-width-percent:0;mso-height-percent:0;mso-width-percent:0;mso-height-percent:0" type="#_x0000_t75" o:ole="">
            <v:imagedata r:id="rId73" o:title=""/>
          </v:shape>
          <o:OLEObject DrawAspect="Icon" ObjectID="_1718471245" ProgID="Excel.Sheet.12" ShapeID="_x0000_i1051" Type="Embed" r:id="rId72"/>
        </w:object>
      </w:r>
    </w:p>
    <w:p>
      <w:pPr>
        <w:spacing w:after="120"/>
        <w:ind w:left="453"/>
        <w:jc w:val="center"/>
      </w:pPr>
      <w:r>
        <w:rPr>
          <w:rFonts w:eastAsia="等线" w:ascii="Arial" w:cs="Arial" w:hAnsi="Arial"/>
          <w:b w:val="true"/>
          <w:sz w:val="22"/>
        </w:rPr>
        <w:t>点击图片可查看完整电子表格</w:t>
      </w:r>
    </w:p>
    <w:p>
      <w:pPr>
        <w:pStyle w:val="4"/>
        <w:spacing w:before="260" w:after="120" w:line="288" w:lineRule="auto"/>
        <w:ind w:left="453"/>
        <w:jc w:val="left"/>
        <w:outlineLvl w:val="3"/>
      </w:pPr>
      <w:bookmarkStart w:name="heading_48" w:id="48"/>
      <w:r>
        <w:rPr>
          <w:rFonts w:eastAsia="等线" w:ascii="Arial" w:cs="Arial" w:hAnsi="Arial"/>
          <w:b w:val="true"/>
          <w:sz w:val="28"/>
        </w:rPr>
        <w:t>POST /briefings/notification-recipients 請求參數</w:t>
      </w:r>
      <w:bookmarkEnd w:id="48"/>
    </w:p>
    <w:p>
      <w:pPr>
        <w:spacing w:before="120" w:after="120" w:line="288" w:lineRule="auto"/>
        <w:ind w:left="453"/>
      </w:pPr>
      <w:r>
        <w:object>
          <v:shape id="_x0000_i1052" style="width:414pt;height:66pt;mso-width-percent:0;mso-height-percent:0;mso-width-percent:0;mso-height-percent:0" type="#_x0000_t75" o:ole="">
            <v:imagedata r:id="rId75" o:title=""/>
          </v:shape>
          <o:OLEObject DrawAspect="Icon" ObjectID="_1718471246" ProgID="Excel.Sheet.12" ShapeID="_x0000_i1052" Type="Embed" r:id="rId74"/>
        </w:object>
      </w:r>
    </w:p>
    <w:p>
      <w:pPr>
        <w:spacing w:after="120"/>
        <w:ind w:left="453"/>
        <w:jc w:val="center"/>
      </w:pPr>
      <w:r>
        <w:rPr>
          <w:rFonts w:eastAsia="等线" w:ascii="Arial" w:cs="Arial" w:hAnsi="Arial"/>
          <w:b w:val="true"/>
          <w:sz w:val="22"/>
        </w:rPr>
        <w:t>点击图片可查看完整电子表格</w:t>
      </w:r>
    </w:p>
    <w:p>
      <w:pPr>
        <w:pStyle w:val="3"/>
        <w:spacing w:before="300" w:after="120" w:line="288" w:lineRule="auto"/>
        <w:ind w:left="453"/>
        <w:jc w:val="left"/>
        <w:outlineLvl w:val="2"/>
      </w:pPr>
      <w:bookmarkStart w:name="heading_49" w:id="49"/>
      <w:r>
        <w:rPr>
          <w:rFonts w:eastAsia="等线" w:ascii="Arial" w:cs="Arial" w:hAnsi="Arial"/>
          <w:color w:val="3370ff"/>
          <w:sz w:val="30"/>
        </w:rPr>
        <w:t xml:space="preserve">3.8.6 </w:t>
      </w:r>
      <w:r>
        <w:rPr>
          <w:rFonts w:eastAsia="等线" w:ascii="Arial" w:cs="Arial" w:hAnsi="Arial"/>
          <w:b w:val="true"/>
          <w:sz w:val="30"/>
        </w:rPr>
        <w:t>其他注意事項</w:t>
      </w:r>
      <w:bookmarkEnd w:id="49"/>
    </w:p>
    <w:p>
      <w:pPr>
        <w:spacing w:before="120" w:after="120" w:line="288" w:lineRule="auto"/>
        <w:ind w:left="453"/>
      </w:pPr>
      <w:r>
        <w:object>
          <v:shape id="_x0000_i1053" style="width:414pt;height:197pt;mso-width-percent:0;mso-height-percent:0;mso-width-percent:0;mso-height-percent:0" type="#_x0000_t75" o:ole="">
            <v:imagedata r:id="rId77" o:title=""/>
          </v:shape>
          <o:OLEObject DrawAspect="Icon" ObjectID="_1718471247" ProgID="Excel.Sheet.12" ShapeID="_x0000_i1053" Type="Embed" r:id="rId76"/>
        </w:object>
      </w:r>
    </w:p>
    <w:p>
      <w:pPr>
        <w:spacing w:after="120"/>
        <w:ind w:left="453"/>
        <w:jc w:val="center"/>
      </w:pPr>
      <w:r>
        <w:rPr>
          <w:rFonts w:eastAsia="等线" w:ascii="Arial" w:cs="Arial" w:hAnsi="Arial"/>
          <w:b w:val="true"/>
          <w:sz w:val="22"/>
        </w:rPr>
        <w:t>点击图片可查看完整电子表格</w:t>
      </w:r>
    </w:p>
    <w:p>
      <w:pPr>
        <w:spacing w:before="120" w:after="120" w:line="288" w:lineRule="auto"/>
        <w:ind w:left="0"/>
        <w:jc w:val="left"/>
      </w:pPr>
    </w:p>
    <w:p>
      <w:pPr>
        <w:spacing w:before="120" w:after="120" w:line="288" w:lineRule="auto"/>
        <w:ind w:left="0"/>
        <w:jc w:val="left"/>
      </w:pPr>
    </w:p>
    <w:p>
      <w:pPr>
        <w:pStyle w:val="1"/>
        <w:spacing w:before="380" w:after="140" w:line="288" w:lineRule="auto"/>
        <w:ind w:left="0"/>
        <w:jc w:val="left"/>
        <w:outlineLvl w:val="0"/>
      </w:pPr>
      <w:bookmarkStart w:name="heading_50" w:id="50"/>
      <w:r>
        <w:rPr>
          <w:rFonts w:eastAsia="等线" w:ascii="Arial" w:cs="Arial" w:hAnsi="Arial"/>
          <w:color w:val="3370ff"/>
          <w:sz w:val="36"/>
        </w:rPr>
        <w:t xml:space="preserve">4. </w:t>
      </w:r>
      <w:r>
        <w:rPr>
          <w:rFonts w:eastAsia="等线" w:ascii="Arial" w:cs="Arial" w:hAnsi="Arial"/>
          <w:b w:val="true"/>
          <w:sz w:val="36"/>
        </w:rPr>
        <w:t>未來更新</w:t>
      </w:r>
      <w:bookmarkEnd w:id="50"/>
    </w:p>
    <w:p>
      <w:pPr>
        <w:spacing w:before="120" w:after="120" w:line="288" w:lineRule="auto"/>
        <w:ind w:left="0"/>
        <w:jc w:val="left"/>
      </w:pPr>
      <w:r>
        <w:rPr>
          <w:rFonts w:eastAsia="等线" w:ascii="Arial" w:cs="Arial" w:hAnsi="Arial"/>
          <w:sz w:val="22"/>
        </w:rPr>
        <w:t>2.0 (將會直接接在 1.0 版本之後更新)</w:t>
      </w:r>
    </w:p>
    <w:p>
      <w:pPr>
        <w:numPr>
          <w:numId w:val="79"/>
        </w:numPr>
        <w:spacing w:before="120" w:after="120" w:line="288" w:lineRule="auto"/>
        <w:ind w:left="0"/>
        <w:jc w:val="left"/>
      </w:pPr>
      <w:r>
        <w:rPr>
          <w:rFonts w:eastAsia="等线" w:ascii="Arial" w:cs="Arial" w:hAnsi="Arial"/>
          <w:sz w:val="22"/>
        </w:rPr>
        <w:t>自動重新分類、自動重新計算關稅</w:t>
      </w:r>
    </w:p>
    <w:p>
      <w:pPr>
        <w:numPr>
          <w:numId w:val="80"/>
        </w:numPr>
        <w:spacing w:before="120" w:after="120" w:line="288" w:lineRule="auto"/>
        <w:ind w:left="0"/>
        <w:jc w:val="left"/>
      </w:pPr>
      <w:r>
        <w:rPr>
          <w:rFonts w:eastAsia="等线" w:ascii="Arial" w:cs="Arial" w:hAnsi="Arial"/>
          <w:sz w:val="22"/>
        </w:rPr>
        <w:t>建立 google calendar</w:t>
      </w:r>
    </w:p>
    <w:p>
      <w:pPr>
        <w:numPr>
          <w:numId w:val="81"/>
        </w:numPr>
        <w:spacing w:before="120" w:after="120" w:line="288" w:lineRule="auto"/>
        <w:ind w:left="0"/>
        <w:jc w:val="left"/>
      </w:pPr>
      <w:r>
        <w:rPr>
          <w:rFonts w:eastAsia="等线" w:ascii="Arial" w:cs="Arial" w:hAnsi="Arial"/>
          <w:sz w:val="22"/>
        </w:rPr>
        <w:t>加入 趨勢預警</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sz w:val="22"/>
        </w:rPr>
        <w:t>3.0</w:t>
      </w:r>
    </w:p>
    <w:p>
      <w:pPr>
        <w:numPr>
          <w:numId w:val="82"/>
        </w:numPr>
        <w:spacing w:before="120" w:after="120" w:line="288" w:lineRule="auto"/>
        <w:ind w:left="0"/>
        <w:jc w:val="left"/>
      </w:pPr>
      <w:r>
        <w:rPr>
          <w:rFonts w:eastAsia="等线" w:ascii="Arial" w:cs="Arial" w:hAnsi="Arial"/>
          <w:sz w:val="22"/>
        </w:rPr>
        <w:t>將會加入 其他評論網站(比如 reddit、linkedin 或者相關blog)作為信息輸入源，並以"其他專家怎麼看" 的角度來向用戶提供不同角度的詮釋觀點，並讓用戶在戰略決策上有多方可以參考的內容。</w:t>
      </w:r>
    </w:p>
    <w:p>
      <w:pPr>
        <w:numPr>
          <w:numId w:val="83"/>
        </w:numPr>
        <w:spacing w:before="120" w:after="120" w:line="288" w:lineRule="auto"/>
        <w:ind w:left="0"/>
        <w:jc w:val="left"/>
      </w:pPr>
      <w:r>
        <w:rPr>
          <w:rFonts w:eastAsia="等线" w:ascii="Arial" w:cs="Arial" w:hAnsi="Arial"/>
          <w:sz w:val="22"/>
        </w:rPr>
        <w:t>將與日後 GingerControl 自己興建自己的社群網絡有關聯，我們也會將 GingerControl Community 作為 Monitoring and actions 的告警</w:t>
      </w:r>
    </w:p>
    <w:p>
      <w:pPr>
        <w:spacing w:before="120" w:after="120" w:line="288" w:lineRule="auto"/>
        <w:ind w:left="0"/>
        <w:jc w:val="left"/>
      </w:pPr>
    </w:p>
    <w:sectPr>
      <w:footerReference w:type="default" r:id="rId3"/>
      <w:headerReference w:type="default" r:id="rId78"/>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161485">
    <w:lvl>
      <w:start w:val="1"/>
      <w:numFmt w:val="decimal"/>
      <w:suff w:val="tab"/>
      <w:lvlText w:val="%1."/>
      <w:rPr>
        <w:color w:val="3370ff"/>
      </w:rPr>
    </w:lvl>
  </w:abstractNum>
  <w:abstractNum w:abstractNumId="161486">
    <w:lvl>
      <w:start w:val="1"/>
      <w:numFmt w:val="decimal"/>
      <w:suff w:val="tab"/>
      <w:lvlText w:val="%1."/>
      <w:rPr>
        <w:color w:val="3370ff"/>
      </w:rPr>
    </w:lvl>
  </w:abstractNum>
  <w:abstractNum w:abstractNumId="161487">
    <w:lvl>
      <w:start w:val="2"/>
      <w:numFmt w:val="decimal"/>
      <w:suff w:val="tab"/>
      <w:lvlText w:val="%1."/>
      <w:rPr>
        <w:color w:val="3370ff"/>
      </w:rPr>
    </w:lvl>
  </w:abstractNum>
  <w:abstractNum w:abstractNumId="161488">
    <w:lvl>
      <w:start w:val="1"/>
      <w:numFmt w:val="decimal"/>
      <w:suff w:val="tab"/>
      <w:lvlText w:val="%1."/>
      <w:rPr>
        <w:color w:val="3370ff"/>
      </w:rPr>
    </w:lvl>
  </w:abstractNum>
  <w:abstractNum w:abstractNumId="161489">
    <w:lvl>
      <w:start w:val="2"/>
      <w:numFmt w:val="decimal"/>
      <w:suff w:val="tab"/>
      <w:lvlText w:val="%1."/>
      <w:rPr>
        <w:color w:val="3370ff"/>
      </w:rPr>
    </w:lvl>
  </w:abstractNum>
  <w:abstractNum w:abstractNumId="161490">
    <w:lvl>
      <w:start w:val="1"/>
      <w:numFmt w:val="decimal"/>
      <w:suff w:val="tab"/>
      <w:lvlText w:val="%1."/>
      <w:rPr>
        <w:color w:val="3370ff"/>
      </w:rPr>
    </w:lvl>
  </w:abstractNum>
  <w:abstractNum w:abstractNumId="161491">
    <w:lvl>
      <w:start w:val="2"/>
      <w:numFmt w:val="decimal"/>
      <w:suff w:val="tab"/>
      <w:lvlText w:val="%1."/>
      <w:rPr>
        <w:color w:val="3370ff"/>
      </w:rPr>
    </w:lvl>
  </w:abstractNum>
  <w:abstractNum w:abstractNumId="161492">
    <w:lvl>
      <w:start w:val="3"/>
      <w:numFmt w:val="decimal"/>
      <w:suff w:val="tab"/>
      <w:lvlText w:val="%1."/>
      <w:rPr>
        <w:color w:val="3370ff"/>
      </w:rPr>
    </w:lvl>
  </w:abstractNum>
  <w:abstractNum w:abstractNumId="161493">
    <w:lvl>
      <w:start w:val="1"/>
      <w:numFmt w:val="decimal"/>
      <w:suff w:val="tab"/>
      <w:lvlText w:val="%1."/>
      <w:rPr>
        <w:color w:val="3370ff"/>
      </w:rPr>
    </w:lvl>
  </w:abstractNum>
  <w:abstractNum w:abstractNumId="161494">
    <w:lvl>
      <w:start w:val="2"/>
      <w:numFmt w:val="decimal"/>
      <w:suff w:val="tab"/>
      <w:lvlText w:val="%1."/>
      <w:rPr>
        <w:color w:val="3370ff"/>
      </w:rPr>
    </w:lvl>
  </w:abstractNum>
  <w:abstractNum w:abstractNumId="161495">
    <w:lvl>
      <w:numFmt w:val="bullet"/>
      <w:suff w:val="tab"/>
      <w:lvlText w:val="•"/>
      <w:rPr>
        <w:color w:val="3370ff"/>
      </w:rPr>
    </w:lvl>
  </w:abstractNum>
  <w:abstractNum w:abstractNumId="161496">
    <w:lvl>
      <w:numFmt w:val="bullet"/>
      <w:suff w:val="tab"/>
      <w:lvlText w:val="•"/>
      <w:rPr>
        <w:color w:val="3370ff"/>
      </w:rPr>
    </w:lvl>
  </w:abstractNum>
  <w:abstractNum w:abstractNumId="161497">
    <w:lvl>
      <w:numFmt w:val="bullet"/>
      <w:suff w:val="tab"/>
      <w:lvlText w:val="•"/>
      <w:rPr>
        <w:color w:val="3370ff"/>
      </w:rPr>
    </w:lvl>
  </w:abstractNum>
  <w:abstractNum w:abstractNumId="161498">
    <w:lvl>
      <w:numFmt w:val="bullet"/>
      <w:suff w:val="tab"/>
      <w:lvlText w:val="•"/>
      <w:rPr>
        <w:color w:val="3370ff"/>
      </w:rPr>
    </w:lvl>
  </w:abstractNum>
  <w:abstractNum w:abstractNumId="161499">
    <w:lvl>
      <w:numFmt w:val="bullet"/>
      <w:suff w:val="tab"/>
      <w:lvlText w:val="•"/>
      <w:rPr>
        <w:color w:val="3370ff"/>
      </w:rPr>
    </w:lvl>
  </w:abstractNum>
  <w:abstractNum w:abstractNumId="161500">
    <w:lvl>
      <w:numFmt w:val="bullet"/>
      <w:suff w:val="tab"/>
      <w:lvlText w:val="•"/>
      <w:rPr>
        <w:color w:val="3370ff"/>
      </w:rPr>
    </w:lvl>
  </w:abstractNum>
  <w:abstractNum w:abstractNumId="161501">
    <w:lvl>
      <w:numFmt w:val="bullet"/>
      <w:suff w:val="tab"/>
      <w:lvlText w:val="•"/>
      <w:rPr>
        <w:color w:val="3370ff"/>
      </w:rPr>
    </w:lvl>
  </w:abstractNum>
  <w:abstractNum w:abstractNumId="161502">
    <w:lvl>
      <w:numFmt w:val="bullet"/>
      <w:suff w:val="tab"/>
      <w:lvlText w:val="•"/>
      <w:rPr>
        <w:color w:val="3370ff"/>
      </w:rPr>
    </w:lvl>
  </w:abstractNum>
  <w:abstractNum w:abstractNumId="161503">
    <w:lvl>
      <w:numFmt w:val="bullet"/>
      <w:suff w:val="tab"/>
      <w:lvlText w:val="•"/>
      <w:rPr>
        <w:color w:val="3370ff"/>
      </w:rPr>
    </w:lvl>
  </w:abstractNum>
  <w:abstractNum w:abstractNumId="161504">
    <w:lvl>
      <w:numFmt w:val="bullet"/>
      <w:suff w:val="tab"/>
      <w:lvlText w:val="•"/>
      <w:rPr>
        <w:color w:val="3370ff"/>
      </w:rPr>
    </w:lvl>
  </w:abstractNum>
  <w:abstractNum w:abstractNumId="161505">
    <w:lvl>
      <w:numFmt w:val="bullet"/>
      <w:suff w:val="tab"/>
      <w:lvlText w:val="•"/>
      <w:rPr>
        <w:color w:val="3370ff"/>
      </w:rPr>
    </w:lvl>
  </w:abstractNum>
  <w:abstractNum w:abstractNumId="161506">
    <w:lvl>
      <w:numFmt w:val="bullet"/>
      <w:suff w:val="tab"/>
      <w:lvlText w:val="•"/>
      <w:rPr>
        <w:color w:val="3370ff"/>
      </w:rPr>
    </w:lvl>
  </w:abstractNum>
  <w:abstractNum w:abstractNumId="161507">
    <w:lvl>
      <w:start w:val="1"/>
      <w:numFmt w:val="decimal"/>
      <w:suff w:val="tab"/>
      <w:lvlText w:val="%1."/>
      <w:rPr>
        <w:color w:val="3370ff"/>
      </w:rPr>
    </w:lvl>
  </w:abstractNum>
  <w:abstractNum w:abstractNumId="161508">
    <w:lvl>
      <w:start w:val="1"/>
      <w:numFmt w:val="decimal"/>
      <w:suff w:val="tab"/>
      <w:lvlText w:val="%1."/>
      <w:rPr>
        <w:color w:val="3370ff"/>
      </w:rPr>
    </w:lvl>
  </w:abstractNum>
  <w:abstractNum w:abstractNumId="161509">
    <w:lvl>
      <w:start w:val="2"/>
      <w:numFmt w:val="decimal"/>
      <w:suff w:val="tab"/>
      <w:lvlText w:val="%1."/>
      <w:rPr>
        <w:color w:val="3370ff"/>
      </w:rPr>
    </w:lvl>
  </w:abstractNum>
  <w:abstractNum w:abstractNumId="161510">
    <w:lvl>
      <w:start w:val="1"/>
      <w:numFmt w:val="decimal"/>
      <w:suff w:val="tab"/>
      <w:lvlText w:val="%1."/>
      <w:rPr>
        <w:color w:val="3370ff"/>
      </w:rPr>
    </w:lvl>
  </w:abstractNum>
  <w:abstractNum w:abstractNumId="161511">
    <w:lvl>
      <w:start w:val="1"/>
      <w:numFmt w:val="lowerLetter"/>
      <w:suff w:val="tab"/>
      <w:lvlText w:val="%1."/>
      <w:rPr>
        <w:color w:val="3370ff"/>
      </w:rPr>
    </w:lvl>
  </w:abstractNum>
  <w:abstractNum w:abstractNumId="161512">
    <w:lvl>
      <w:start w:val="2"/>
      <w:numFmt w:val="lowerLetter"/>
      <w:suff w:val="tab"/>
      <w:lvlText w:val="%1."/>
      <w:rPr>
        <w:color w:val="3370ff"/>
      </w:rPr>
    </w:lvl>
  </w:abstractNum>
  <w:abstractNum w:abstractNumId="161513">
    <w:lvl>
      <w:start w:val="1"/>
      <w:numFmt w:val="lowerRoman"/>
      <w:suff w:val="tab"/>
      <w:lvlText w:val="%1."/>
      <w:rPr>
        <w:color w:val="3370ff"/>
      </w:rPr>
    </w:lvl>
  </w:abstractNum>
  <w:abstractNum w:abstractNumId="161514">
    <w:lvl>
      <w:start w:val="2"/>
      <w:numFmt w:val="lowerRoman"/>
      <w:suff w:val="tab"/>
      <w:lvlText w:val="%1."/>
      <w:rPr>
        <w:color w:val="3370ff"/>
      </w:rPr>
    </w:lvl>
  </w:abstractNum>
  <w:abstractNum w:abstractNumId="161515">
    <w:lvl>
      <w:start w:val="3"/>
      <w:numFmt w:val="lowerRoman"/>
      <w:suff w:val="tab"/>
      <w:lvlText w:val="%1."/>
      <w:rPr>
        <w:color w:val="3370ff"/>
      </w:rPr>
    </w:lvl>
  </w:abstractNum>
  <w:abstractNum w:abstractNumId="161516">
    <w:lvl>
      <w:start w:val="4"/>
      <w:numFmt w:val="lowerRoman"/>
      <w:suff w:val="tab"/>
      <w:lvlText w:val="%1."/>
      <w:rPr>
        <w:color w:val="3370ff"/>
      </w:rPr>
    </w:lvl>
  </w:abstractNum>
  <w:abstractNum w:abstractNumId="161517">
    <w:lvl>
      <w:numFmt w:val="bullet"/>
      <w:suff w:val="tab"/>
      <w:lvlText w:val="￮"/>
      <w:rPr>
        <w:color w:val="3370ff"/>
      </w:rPr>
    </w:lvl>
  </w:abstractNum>
  <w:abstractNum w:abstractNumId="161518">
    <w:lvl>
      <w:numFmt w:val="bullet"/>
      <w:suff w:val="tab"/>
      <w:lvlText w:val="￮"/>
      <w:rPr>
        <w:color w:val="3370ff"/>
      </w:rPr>
    </w:lvl>
  </w:abstractNum>
  <w:abstractNum w:abstractNumId="161519">
    <w:lvl>
      <w:numFmt w:val="bullet"/>
      <w:suff w:val="tab"/>
      <w:lvlText w:val="￮"/>
      <w:rPr>
        <w:color w:val="3370ff"/>
      </w:rPr>
    </w:lvl>
  </w:abstractNum>
  <w:abstractNum w:abstractNumId="161520">
    <w:lvl>
      <w:start w:val="1"/>
      <w:numFmt w:val="decimal"/>
      <w:suff w:val="tab"/>
      <w:lvlText w:val="%1."/>
      <w:rPr>
        <w:color w:val="3370ff"/>
      </w:rPr>
    </w:lvl>
  </w:abstractNum>
  <w:abstractNum w:abstractNumId="161521">
    <w:lvl>
      <w:numFmt w:val="bullet"/>
      <w:suff w:val="tab"/>
      <w:lvlText w:val="￮"/>
      <w:rPr>
        <w:color w:val="3370ff"/>
      </w:rPr>
    </w:lvl>
  </w:abstractNum>
  <w:abstractNum w:abstractNumId="161522">
    <w:lvl>
      <w:numFmt w:val="bullet"/>
      <w:suff w:val="tab"/>
      <w:lvlText w:val="￮"/>
      <w:rPr>
        <w:color w:val="3370ff"/>
      </w:rPr>
    </w:lvl>
  </w:abstractNum>
  <w:abstractNum w:abstractNumId="161523">
    <w:lvl>
      <w:numFmt w:val="bullet"/>
      <w:suff w:val="tab"/>
      <w:lvlText w:val="￮"/>
      <w:rPr>
        <w:color w:val="3370ff"/>
      </w:rPr>
    </w:lvl>
  </w:abstractNum>
  <w:abstractNum w:abstractNumId="161524">
    <w:lvl>
      <w:numFmt w:val="bullet"/>
      <w:suff w:val="tab"/>
      <w:lvlText w:val="￮"/>
      <w:rPr>
        <w:color w:val="3370ff"/>
      </w:rPr>
    </w:lvl>
  </w:abstractNum>
  <w:abstractNum w:abstractNumId="161525">
    <w:lvl>
      <w:numFmt w:val="bullet"/>
      <w:suff w:val="tab"/>
      <w:lvlText w:val="￮"/>
      <w:rPr>
        <w:color w:val="3370ff"/>
      </w:rPr>
    </w:lvl>
  </w:abstractNum>
  <w:abstractNum w:abstractNumId="161526">
    <w:lvl>
      <w:numFmt w:val="bullet"/>
      <w:suff w:val="tab"/>
      <w:lvlText w:val="￮"/>
      <w:rPr>
        <w:color w:val="3370ff"/>
      </w:rPr>
    </w:lvl>
  </w:abstractNum>
  <w:abstractNum w:abstractNumId="161527">
    <w:lvl>
      <w:start w:val="1"/>
      <w:numFmt w:val="decimal"/>
      <w:suff w:val="tab"/>
      <w:lvlText w:val="%1."/>
      <w:rPr>
        <w:color w:val="3370ff"/>
      </w:rPr>
    </w:lvl>
  </w:abstractNum>
  <w:abstractNum w:abstractNumId="161528">
    <w:lvl>
      <w:numFmt w:val="bullet"/>
      <w:suff w:val="tab"/>
      <w:lvlText w:val="•"/>
      <w:rPr>
        <w:color w:val="3370ff"/>
      </w:rPr>
    </w:lvl>
  </w:abstractNum>
  <w:abstractNum w:abstractNumId="161529">
    <w:lvl>
      <w:numFmt w:val="bullet"/>
      <w:suff w:val="tab"/>
      <w:lvlText w:val="•"/>
      <w:rPr>
        <w:color w:val="3370ff"/>
      </w:rPr>
    </w:lvl>
  </w:abstractNum>
  <w:abstractNum w:abstractNumId="161530">
    <w:lvl>
      <w:numFmt w:val="bullet"/>
      <w:suff w:val="tab"/>
      <w:lvlText w:val="•"/>
      <w:rPr>
        <w:color w:val="3370ff"/>
      </w:rPr>
    </w:lvl>
  </w:abstractNum>
  <w:abstractNum w:abstractNumId="161531">
    <w:lvl>
      <w:numFmt w:val="bullet"/>
      <w:suff w:val="tab"/>
      <w:lvlText w:val="•"/>
      <w:rPr>
        <w:color w:val="3370ff"/>
      </w:rPr>
    </w:lvl>
  </w:abstractNum>
  <w:abstractNum w:abstractNumId="161532">
    <w:lvl>
      <w:numFmt w:val="bullet"/>
      <w:suff w:val="tab"/>
      <w:lvlText w:val="•"/>
      <w:rPr>
        <w:color w:val="3370ff"/>
      </w:rPr>
    </w:lvl>
  </w:abstractNum>
  <w:abstractNum w:abstractNumId="161533">
    <w:lvl>
      <w:start w:val="1"/>
      <w:numFmt w:val="lowerLetter"/>
      <w:suff w:val="tab"/>
      <w:lvlText w:val="%1."/>
      <w:rPr>
        <w:color w:val="3370ff"/>
      </w:rPr>
    </w:lvl>
  </w:abstractNum>
  <w:abstractNum w:abstractNumId="161534">
    <w:lvl>
      <w:start w:val="2"/>
      <w:numFmt w:val="lowerLetter"/>
      <w:suff w:val="tab"/>
      <w:lvlText w:val="%1."/>
      <w:rPr>
        <w:color w:val="3370ff"/>
      </w:rPr>
    </w:lvl>
  </w:abstractNum>
  <w:abstractNum w:abstractNumId="161535">
    <w:lvl>
      <w:numFmt w:val="bullet"/>
      <w:suff w:val="tab"/>
      <w:lvlText w:val="￮"/>
      <w:rPr>
        <w:color w:val="3370ff"/>
      </w:rPr>
    </w:lvl>
  </w:abstractNum>
  <w:abstractNum w:abstractNumId="161536">
    <w:lvl>
      <w:numFmt w:val="bullet"/>
      <w:suff w:val="tab"/>
      <w:lvlText w:val="￮"/>
      <w:rPr>
        <w:color w:val="3370ff"/>
      </w:rPr>
    </w:lvl>
  </w:abstractNum>
  <w:abstractNum w:abstractNumId="161537">
    <w:lvl>
      <w:numFmt w:val="bullet"/>
      <w:suff w:val="tab"/>
      <w:lvlText w:val="￮"/>
      <w:rPr>
        <w:color w:val="3370ff"/>
      </w:rPr>
    </w:lvl>
  </w:abstractNum>
  <w:abstractNum w:abstractNumId="161538">
    <w:lvl>
      <w:numFmt w:val="bullet"/>
      <w:suff w:val="tab"/>
      <w:lvlText w:val="￮"/>
      <w:rPr>
        <w:color w:val="3370ff"/>
      </w:rPr>
    </w:lvl>
  </w:abstractNum>
  <w:abstractNum w:abstractNumId="161539">
    <w:lvl>
      <w:numFmt w:val="bullet"/>
      <w:suff w:val="tab"/>
      <w:lvlText w:val="￮"/>
      <w:rPr>
        <w:color w:val="3370ff"/>
      </w:rPr>
    </w:lvl>
  </w:abstractNum>
  <w:abstractNum w:abstractNumId="161540">
    <w:lvl>
      <w:numFmt w:val="bullet"/>
      <w:suff w:val="tab"/>
      <w:lvlText w:val="￮"/>
      <w:rPr>
        <w:color w:val="3370ff"/>
      </w:rPr>
    </w:lvl>
  </w:abstractNum>
  <w:abstractNum w:abstractNumId="161541">
    <w:lvl>
      <w:numFmt w:val="bullet"/>
      <w:suff w:val="tab"/>
      <w:lvlText w:val="￮"/>
      <w:rPr>
        <w:color w:val="3370ff"/>
      </w:rPr>
    </w:lvl>
  </w:abstractNum>
  <w:abstractNum w:abstractNumId="161542">
    <w:lvl>
      <w:numFmt w:val="bullet"/>
      <w:suff w:val="tab"/>
      <w:lvlText w:val="￮"/>
      <w:rPr>
        <w:color w:val="3370ff"/>
      </w:rPr>
    </w:lvl>
  </w:abstractNum>
  <w:abstractNum w:abstractNumId="161543">
    <w:lvl>
      <w:numFmt w:val="bullet"/>
      <w:suff w:val="tab"/>
      <w:lvlText w:val="￮"/>
      <w:rPr>
        <w:color w:val="3370ff"/>
      </w:rPr>
    </w:lvl>
  </w:abstractNum>
  <w:abstractNum w:abstractNumId="161544">
    <w:lvl>
      <w:numFmt w:val="bullet"/>
      <w:suff w:val="tab"/>
      <w:lvlText w:val="•"/>
      <w:rPr>
        <w:color w:val="3370ff"/>
      </w:rPr>
    </w:lvl>
  </w:abstractNum>
  <w:abstractNum w:abstractNumId="161545">
    <w:lvl>
      <w:numFmt w:val="bullet"/>
      <w:suff w:val="tab"/>
      <w:lvlText w:val="•"/>
      <w:rPr>
        <w:color w:val="3370ff"/>
      </w:rPr>
    </w:lvl>
  </w:abstractNum>
  <w:abstractNum w:abstractNumId="161546">
    <w:lvl>
      <w:numFmt w:val="bullet"/>
      <w:suff w:val="tab"/>
      <w:lvlText w:val="•"/>
      <w:rPr>
        <w:color w:val="3370ff"/>
      </w:rPr>
    </w:lvl>
  </w:abstractNum>
  <w:abstractNum w:abstractNumId="161547">
    <w:lvl>
      <w:numFmt w:val="bullet"/>
      <w:suff w:val="tab"/>
      <w:lvlText w:val="•"/>
      <w:rPr>
        <w:color w:val="3370ff"/>
      </w:rPr>
    </w:lvl>
  </w:abstractNum>
  <w:abstractNum w:abstractNumId="161548">
    <w:lvl>
      <w:numFmt w:val="bullet"/>
      <w:suff w:val="tab"/>
      <w:lvlText w:val="•"/>
      <w:rPr>
        <w:color w:val="3370ff"/>
      </w:rPr>
    </w:lvl>
  </w:abstractNum>
  <w:abstractNum w:abstractNumId="161549">
    <w:lvl>
      <w:numFmt w:val="bullet"/>
      <w:suff w:val="tab"/>
      <w:lvlText w:val="•"/>
      <w:rPr>
        <w:color w:val="3370ff"/>
      </w:rPr>
    </w:lvl>
  </w:abstractNum>
  <w:abstractNum w:abstractNumId="161550">
    <w:lvl>
      <w:numFmt w:val="bullet"/>
      <w:suff w:val="tab"/>
      <w:lvlText w:val="•"/>
      <w:rPr>
        <w:color w:val="3370ff"/>
      </w:rPr>
    </w:lvl>
  </w:abstractNum>
  <w:abstractNum w:abstractNumId="161551">
    <w:lvl>
      <w:numFmt w:val="bullet"/>
      <w:suff w:val="tab"/>
      <w:lvlText w:val="•"/>
      <w:rPr>
        <w:color w:val="3370ff"/>
      </w:rPr>
    </w:lvl>
  </w:abstractNum>
  <w:abstractNum w:abstractNumId="161552">
    <w:lvl>
      <w:numFmt w:val="bullet"/>
      <w:suff w:val="tab"/>
      <w:lvlText w:val="•"/>
      <w:rPr>
        <w:color w:val="3370ff"/>
      </w:rPr>
    </w:lvl>
  </w:abstractNum>
  <w:abstractNum w:abstractNumId="161553">
    <w:lvl>
      <w:numFmt w:val="bullet"/>
      <w:suff w:val="tab"/>
      <w:lvlText w:val="•"/>
      <w:rPr>
        <w:color w:val="3370ff"/>
      </w:rPr>
    </w:lvl>
  </w:abstractNum>
  <w:abstractNum w:abstractNumId="161554">
    <w:lvl>
      <w:numFmt w:val="bullet"/>
      <w:suff w:val="tab"/>
      <w:lvlText w:val="•"/>
      <w:rPr>
        <w:color w:val="3370ff"/>
      </w:rPr>
    </w:lvl>
  </w:abstractNum>
  <w:abstractNum w:abstractNumId="161555">
    <w:lvl>
      <w:numFmt w:val="bullet"/>
      <w:suff w:val="tab"/>
      <w:lvlText w:val="•"/>
      <w:rPr>
        <w:color w:val="3370ff"/>
      </w:rPr>
    </w:lvl>
  </w:abstractNum>
  <w:abstractNum w:abstractNumId="161556">
    <w:lvl>
      <w:numFmt w:val="bullet"/>
      <w:suff w:val="tab"/>
      <w:lvlText w:val="￮"/>
      <w:rPr>
        <w:color w:val="3370ff"/>
      </w:rPr>
    </w:lvl>
  </w:abstractNum>
  <w:abstractNum w:abstractNumId="161557">
    <w:lvl>
      <w:numFmt w:val="bullet"/>
      <w:suff w:val="tab"/>
      <w:lvlText w:val="￮"/>
      <w:rPr>
        <w:color w:val="3370ff"/>
      </w:rPr>
    </w:lvl>
  </w:abstractNum>
  <w:abstractNum w:abstractNumId="161558">
    <w:lvl>
      <w:numFmt w:val="bullet"/>
      <w:suff w:val="tab"/>
      <w:lvlText w:val="￮"/>
      <w:rPr>
        <w:color w:val="3370ff"/>
      </w:rPr>
    </w:lvl>
  </w:abstractNum>
  <w:abstractNum w:abstractNumId="161559">
    <w:lvl>
      <w:numFmt w:val="bullet"/>
      <w:suff w:val="tab"/>
      <w:lvlText w:val="￮"/>
      <w:rPr>
        <w:color w:val="3370ff"/>
      </w:rPr>
    </w:lvl>
  </w:abstractNum>
  <w:abstractNum w:abstractNumId="161560">
    <w:lvl>
      <w:numFmt w:val="bullet"/>
      <w:suff w:val="tab"/>
      <w:lvlText w:val="￮"/>
      <w:rPr>
        <w:color w:val="3370ff"/>
      </w:rPr>
    </w:lvl>
  </w:abstractNum>
  <w:abstractNum w:abstractNumId="161561">
    <w:lvl>
      <w:numFmt w:val="bullet"/>
      <w:suff w:val="tab"/>
      <w:lvlText w:val="￮"/>
      <w:rPr>
        <w:color w:val="3370ff"/>
      </w:rPr>
    </w:lvl>
  </w:abstractNum>
  <w:abstractNum w:abstractNumId="161562">
    <w:lvl>
      <w:numFmt w:val="bullet"/>
      <w:suff w:val="tab"/>
      <w:lvlText w:val="￮"/>
      <w:rPr>
        <w:color w:val="3370ff"/>
      </w:rPr>
    </w:lvl>
  </w:abstractNum>
  <w:abstractNum w:abstractNumId="161563">
    <w:lvl>
      <w:start w:val="1"/>
      <w:numFmt w:val="decimal"/>
      <w:suff w:val="tab"/>
      <w:lvlText w:val="%1."/>
      <w:rPr>
        <w:color w:val="3370ff"/>
      </w:rPr>
    </w:lvl>
  </w:abstractNum>
  <w:abstractNum w:abstractNumId="161564">
    <w:lvl>
      <w:start w:val="2"/>
      <w:numFmt w:val="decimal"/>
      <w:suff w:val="tab"/>
      <w:lvlText w:val="%1."/>
      <w:rPr>
        <w:color w:val="3370ff"/>
      </w:rPr>
    </w:lvl>
  </w:abstractNum>
  <w:abstractNum w:abstractNumId="161565">
    <w:lvl>
      <w:start w:val="3"/>
      <w:numFmt w:val="decimal"/>
      <w:suff w:val="tab"/>
      <w:lvlText w:val="%1."/>
      <w:rPr>
        <w:color w:val="3370ff"/>
      </w:rPr>
    </w:lvl>
  </w:abstractNum>
  <w:abstractNum w:abstractNumId="161566">
    <w:lvl>
      <w:start w:val="4"/>
      <w:numFmt w:val="decimal"/>
      <w:suff w:val="tab"/>
      <w:lvlText w:val="%1."/>
      <w:rPr>
        <w:color w:val="3370ff"/>
      </w:rPr>
    </w:lvl>
  </w:abstractNum>
  <w:abstractNum w:abstractNumId="161567">
    <w:lvl>
      <w:start w:val="5"/>
      <w:numFmt w:val="decimal"/>
      <w:suff w:val="tab"/>
      <w:lvlText w:val="%1."/>
      <w:rPr>
        <w:color w:val="3370ff"/>
      </w:rPr>
    </w:lvl>
  </w:abstractNum>
  <w:num w:numId="1">
    <w:abstractNumId w:val="161485"/>
  </w:num>
  <w:num w:numId="2">
    <w:abstractNumId w:val="161486"/>
  </w:num>
  <w:num w:numId="3">
    <w:abstractNumId w:val="161487"/>
  </w:num>
  <w:num w:numId="4">
    <w:abstractNumId w:val="161488"/>
  </w:num>
  <w:num w:numId="5">
    <w:abstractNumId w:val="161489"/>
  </w:num>
  <w:num w:numId="6">
    <w:abstractNumId w:val="161490"/>
  </w:num>
  <w:num w:numId="7">
    <w:abstractNumId w:val="161491"/>
  </w:num>
  <w:num w:numId="8">
    <w:abstractNumId w:val="161492"/>
  </w:num>
  <w:num w:numId="9">
    <w:abstractNumId w:val="161493"/>
  </w:num>
  <w:num w:numId="10">
    <w:abstractNumId w:val="161494"/>
  </w:num>
  <w:num w:numId="11">
    <w:abstractNumId w:val="161495"/>
  </w:num>
  <w:num w:numId="12">
    <w:abstractNumId w:val="161496"/>
  </w:num>
  <w:num w:numId="13">
    <w:abstractNumId w:val="161497"/>
  </w:num>
  <w:num w:numId="14">
    <w:abstractNumId w:val="161498"/>
  </w:num>
  <w:num w:numId="15">
    <w:abstractNumId w:val="161499"/>
  </w:num>
  <w:num w:numId="16">
    <w:abstractNumId w:val="161500"/>
  </w:num>
  <w:num w:numId="17">
    <w:abstractNumId w:val="161501"/>
  </w:num>
  <w:num w:numId="18">
    <w:abstractNumId w:val="161502"/>
  </w:num>
  <w:num w:numId="19">
    <w:abstractNumId w:val="161503"/>
  </w:num>
  <w:num w:numId="20">
    <w:abstractNumId w:val="161504"/>
  </w:num>
  <w:num w:numId="21">
    <w:abstractNumId w:val="161505"/>
  </w:num>
  <w:num w:numId="22">
    <w:abstractNumId w:val="161506"/>
  </w:num>
  <w:num w:numId="23">
    <w:abstractNumId w:val="161507"/>
  </w:num>
  <w:num w:numId="24">
    <w:abstractNumId w:val="161508"/>
  </w:num>
  <w:num w:numId="25">
    <w:abstractNumId w:val="161509"/>
  </w:num>
  <w:num w:numId="26">
    <w:abstractNumId w:val="161510"/>
  </w:num>
  <w:num w:numId="27">
    <w:abstractNumId w:val="161511"/>
  </w:num>
  <w:num w:numId="28">
    <w:abstractNumId w:val="161512"/>
  </w:num>
  <w:num w:numId="29">
    <w:abstractNumId w:val="161513"/>
  </w:num>
  <w:num w:numId="30">
    <w:abstractNumId w:val="161514"/>
  </w:num>
  <w:num w:numId="31">
    <w:abstractNumId w:val="161515"/>
  </w:num>
  <w:num w:numId="32">
    <w:abstractNumId w:val="161516"/>
  </w:num>
  <w:num w:numId="33">
    <w:abstractNumId w:val="161517"/>
  </w:num>
  <w:num w:numId="34">
    <w:abstractNumId w:val="161518"/>
  </w:num>
  <w:num w:numId="35">
    <w:abstractNumId w:val="161519"/>
  </w:num>
  <w:num w:numId="36">
    <w:abstractNumId w:val="161520"/>
  </w:num>
  <w:num w:numId="37">
    <w:abstractNumId w:val="161521"/>
  </w:num>
  <w:num w:numId="38">
    <w:abstractNumId w:val="161522"/>
  </w:num>
  <w:num w:numId="39">
    <w:abstractNumId w:val="161523"/>
  </w:num>
  <w:num w:numId="40">
    <w:abstractNumId w:val="161524"/>
  </w:num>
  <w:num w:numId="41">
    <w:abstractNumId w:val="161525"/>
  </w:num>
  <w:num w:numId="42">
    <w:abstractNumId w:val="161526"/>
  </w:num>
  <w:num w:numId="43">
    <w:abstractNumId w:val="161527"/>
  </w:num>
  <w:num w:numId="44">
    <w:abstractNumId w:val="161528"/>
  </w:num>
  <w:num w:numId="45">
    <w:abstractNumId w:val="161529"/>
  </w:num>
  <w:num w:numId="46">
    <w:abstractNumId w:val="161530"/>
  </w:num>
  <w:num w:numId="47">
    <w:abstractNumId w:val="161531"/>
  </w:num>
  <w:num w:numId="48">
    <w:abstractNumId w:val="161532"/>
  </w:num>
  <w:num w:numId="49">
    <w:abstractNumId w:val="161533"/>
  </w:num>
  <w:num w:numId="50">
    <w:abstractNumId w:val="161534"/>
  </w:num>
  <w:num w:numId="51">
    <w:abstractNumId w:val="161535"/>
  </w:num>
  <w:num w:numId="52">
    <w:abstractNumId w:val="161536"/>
  </w:num>
  <w:num w:numId="53">
    <w:abstractNumId w:val="161537"/>
  </w:num>
  <w:num w:numId="54">
    <w:abstractNumId w:val="161538"/>
  </w:num>
  <w:num w:numId="55">
    <w:abstractNumId w:val="161539"/>
  </w:num>
  <w:num w:numId="56">
    <w:abstractNumId w:val="161540"/>
  </w:num>
  <w:num w:numId="57">
    <w:abstractNumId w:val="161541"/>
  </w:num>
  <w:num w:numId="58">
    <w:abstractNumId w:val="161542"/>
  </w:num>
  <w:num w:numId="59">
    <w:abstractNumId w:val="161543"/>
  </w:num>
  <w:num w:numId="60">
    <w:abstractNumId w:val="161544"/>
  </w:num>
  <w:num w:numId="61">
    <w:abstractNumId w:val="161545"/>
  </w:num>
  <w:num w:numId="62">
    <w:abstractNumId w:val="161546"/>
  </w:num>
  <w:num w:numId="63">
    <w:abstractNumId w:val="161547"/>
  </w:num>
  <w:num w:numId="64">
    <w:abstractNumId w:val="161548"/>
  </w:num>
  <w:num w:numId="65">
    <w:abstractNumId w:val="161549"/>
  </w:num>
  <w:num w:numId="66">
    <w:abstractNumId w:val="161550"/>
  </w:num>
  <w:num w:numId="67">
    <w:abstractNumId w:val="161551"/>
  </w:num>
  <w:num w:numId="68">
    <w:abstractNumId w:val="161552"/>
  </w:num>
  <w:num w:numId="69">
    <w:abstractNumId w:val="161553"/>
  </w:num>
  <w:num w:numId="70">
    <w:abstractNumId w:val="161554"/>
  </w:num>
  <w:num w:numId="71">
    <w:abstractNumId w:val="161555"/>
  </w:num>
  <w:num w:numId="72">
    <w:abstractNumId w:val="161556"/>
  </w:num>
  <w:num w:numId="73">
    <w:abstractNumId w:val="161557"/>
  </w:num>
  <w:num w:numId="74">
    <w:abstractNumId w:val="161558"/>
  </w:num>
  <w:num w:numId="75">
    <w:abstractNumId w:val="161559"/>
  </w:num>
  <w:num w:numId="76">
    <w:abstractNumId w:val="161560"/>
  </w:num>
  <w:num w:numId="77">
    <w:abstractNumId w:val="161561"/>
  </w:num>
  <w:num w:numId="78">
    <w:abstractNumId w:val="161562"/>
  </w:num>
  <w:num w:numId="79">
    <w:abstractNumId w:val="161563"/>
  </w:num>
  <w:num w:numId="80">
    <w:abstractNumId w:val="161564"/>
  </w:num>
  <w:num w:numId="81">
    <w:abstractNumId w:val="161565"/>
  </w:num>
  <w:num w:numId="82">
    <w:abstractNumId w:val="161566"/>
  </w:num>
  <w:num w:numId="83">
    <w:abstractNumId w:val="161567"/>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3.png" Type="http://schemas.openxmlformats.org/officeDocument/2006/relationships/image"/><Relationship Id="rId11" Target="media/image4.jpeg" Type="http://schemas.openxmlformats.org/officeDocument/2006/relationships/image"/><Relationship Id="rId12" Target="embeddings/Microsoft_Excel_Worksheet4.xlsx" Type="http://schemas.openxmlformats.org/officeDocument/2006/relationships/package"/><Relationship Id="rId13" Target="media/image5.png" Type="http://schemas.openxmlformats.org/officeDocument/2006/relationships/image"/><Relationship Id="rId14" Target="embeddings/Microsoft_Excel_Worksheet5.xlsx" Type="http://schemas.openxmlformats.org/officeDocument/2006/relationships/package"/><Relationship Id="rId15" Target="media/image6.png" Type="http://schemas.openxmlformats.org/officeDocument/2006/relationships/image"/><Relationship Id="rId16" Target="media/image7.png" Type="http://schemas.openxmlformats.org/officeDocument/2006/relationships/image"/><Relationship Id="rId17" Target="media/image8.png" Type="http://schemas.openxmlformats.org/officeDocument/2006/relationships/image"/><Relationship Id="rId18" Target="media/image9.png" Type="http://schemas.openxmlformats.org/officeDocument/2006/relationships/image"/><Relationship Id="rId19" Target="media/image10.png" Type="http://schemas.openxmlformats.org/officeDocument/2006/relationships/image"/><Relationship Id="rId2" Target="styles.xml" Type="http://schemas.openxmlformats.org/officeDocument/2006/relationships/styles"/><Relationship Id="rId20" Target="embeddings/Microsoft_Excel_Worksheet6.xlsx" Type="http://schemas.openxmlformats.org/officeDocument/2006/relationships/package"/><Relationship Id="rId21" Target="media/image11.png" Type="http://schemas.openxmlformats.org/officeDocument/2006/relationships/image"/><Relationship Id="rId22" Target="media/image12.png" Type="http://schemas.openxmlformats.org/officeDocument/2006/relationships/image"/><Relationship Id="rId23" Target="embeddings/Microsoft_Excel_Worksheet7.xlsx" Type="http://schemas.openxmlformats.org/officeDocument/2006/relationships/package"/><Relationship Id="rId24" Target="media/image13.png" Type="http://schemas.openxmlformats.org/officeDocument/2006/relationships/image"/><Relationship Id="rId25" Target="media/image14.png" Type="http://schemas.openxmlformats.org/officeDocument/2006/relationships/image"/><Relationship Id="rId26" Target="embeddings/Microsoft_Excel_Worksheet8.xlsx" Type="http://schemas.openxmlformats.org/officeDocument/2006/relationships/package"/><Relationship Id="rId27" Target="media/image15.png" Type="http://schemas.openxmlformats.org/officeDocument/2006/relationships/image"/><Relationship Id="rId28" Target="embeddings/Microsoft_Excel_Worksheet9.xlsx" Type="http://schemas.openxmlformats.org/officeDocument/2006/relationships/package"/><Relationship Id="rId29" Target="media/image16.png" Type="http://schemas.openxmlformats.org/officeDocument/2006/relationships/image"/><Relationship Id="rId3" Target="footer1.xml" Type="http://schemas.openxmlformats.org/officeDocument/2006/relationships/footer"/><Relationship Id="rId30" Target="embeddings/Microsoft_Excel_Worksheet10.xlsx" Type="http://schemas.openxmlformats.org/officeDocument/2006/relationships/package"/><Relationship Id="rId31" Target="media/image17.png" Type="http://schemas.openxmlformats.org/officeDocument/2006/relationships/image"/><Relationship Id="rId32" Target="media/image18.png" Type="http://schemas.openxmlformats.org/officeDocument/2006/relationships/image"/><Relationship Id="rId33" Target="embeddings/Microsoft_Excel_Worksheet11.xlsx" Type="http://schemas.openxmlformats.org/officeDocument/2006/relationships/package"/><Relationship Id="rId34" Target="media/image19.png" Type="http://schemas.openxmlformats.org/officeDocument/2006/relationships/image"/><Relationship Id="rId35" Target="embeddings/Microsoft_Excel_Worksheet12.xlsx" Type="http://schemas.openxmlformats.org/officeDocument/2006/relationships/package"/><Relationship Id="rId36" Target="media/image20.png" Type="http://schemas.openxmlformats.org/officeDocument/2006/relationships/image"/><Relationship Id="rId37" Target="media/image21.png" Type="http://schemas.openxmlformats.org/officeDocument/2006/relationships/image"/><Relationship Id="rId38" Target="embeddings/Microsoft_Excel_Worksheet13.xlsx" Type="http://schemas.openxmlformats.org/officeDocument/2006/relationships/package"/><Relationship Id="rId39" Target="media/image22.png" Type="http://schemas.openxmlformats.org/officeDocument/2006/relationships/image"/><Relationship Id="rId4" Target="numbering.xml" Type="http://schemas.openxmlformats.org/officeDocument/2006/relationships/numbering"/><Relationship Id="rId40" Target="embeddings/Microsoft_Excel_Worksheet14.xlsx" Type="http://schemas.openxmlformats.org/officeDocument/2006/relationships/package"/><Relationship Id="rId41" Target="media/image23.png" Type="http://schemas.openxmlformats.org/officeDocument/2006/relationships/image"/><Relationship Id="rId42" Target="media/image24.png" Type="http://schemas.openxmlformats.org/officeDocument/2006/relationships/image"/><Relationship Id="rId43" Target="embeddings/Microsoft_Excel_Worksheet15.xlsx" Type="http://schemas.openxmlformats.org/officeDocument/2006/relationships/package"/><Relationship Id="rId44" Target="media/image25.png" Type="http://schemas.openxmlformats.org/officeDocument/2006/relationships/image"/><Relationship Id="rId45" Target="embeddings/Microsoft_Excel_Worksheet16.xlsx" Type="http://schemas.openxmlformats.org/officeDocument/2006/relationships/package"/><Relationship Id="rId46" Target="media/image26.png" Type="http://schemas.openxmlformats.org/officeDocument/2006/relationships/image"/><Relationship Id="rId47" Target="media/image27.png" Type="http://schemas.openxmlformats.org/officeDocument/2006/relationships/image"/><Relationship Id="rId48" Target="embeddings/Microsoft_Excel_Worksheet17.xlsx" Type="http://schemas.openxmlformats.org/officeDocument/2006/relationships/package"/><Relationship Id="rId49" Target="media/image28.png" Type="http://schemas.openxmlformats.org/officeDocument/2006/relationships/image"/><Relationship Id="rId5" Target="embeddings/Microsoft_Excel_Worksheet1.xlsx" Type="http://schemas.openxmlformats.org/officeDocument/2006/relationships/package"/><Relationship Id="rId50" Target="media/image29.png" Type="http://schemas.openxmlformats.org/officeDocument/2006/relationships/image"/><Relationship Id="rId51" Target="embeddings/Microsoft_Excel_Worksheet18.xlsx" Type="http://schemas.openxmlformats.org/officeDocument/2006/relationships/package"/><Relationship Id="rId52" Target="media/image30.png" Type="http://schemas.openxmlformats.org/officeDocument/2006/relationships/image"/><Relationship Id="rId53" Target="media/image31.png" Type="http://schemas.openxmlformats.org/officeDocument/2006/relationships/image"/><Relationship Id="rId54" Target="media/image32.jpeg" Type="http://schemas.openxmlformats.org/officeDocument/2006/relationships/image"/><Relationship Id="rId55" Target="embeddings/Microsoft_Excel_Worksheet19.xlsx" Type="http://schemas.openxmlformats.org/officeDocument/2006/relationships/package"/><Relationship Id="rId56" Target="media/image33.png" Type="http://schemas.openxmlformats.org/officeDocument/2006/relationships/image"/><Relationship Id="rId57" Target="embeddings/Microsoft_Excel_Worksheet20.xlsx" Type="http://schemas.openxmlformats.org/officeDocument/2006/relationships/package"/><Relationship Id="rId58" Target="media/image34.png" Type="http://schemas.openxmlformats.org/officeDocument/2006/relationships/image"/><Relationship Id="rId59" Target="embeddings/Microsoft_Excel_Worksheet21.xlsx" Type="http://schemas.openxmlformats.org/officeDocument/2006/relationships/package"/><Relationship Id="rId6" Target="media/image1.png" Type="http://schemas.openxmlformats.org/officeDocument/2006/relationships/image"/><Relationship Id="rId60" Target="media/image35.png" Type="http://schemas.openxmlformats.org/officeDocument/2006/relationships/image"/><Relationship Id="rId61" Target="embeddings/Microsoft_Excel_Worksheet22.xlsx" Type="http://schemas.openxmlformats.org/officeDocument/2006/relationships/package"/><Relationship Id="rId62" Target="media/image36.png" Type="http://schemas.openxmlformats.org/officeDocument/2006/relationships/image"/><Relationship Id="rId63" Target="embeddings/Microsoft_Excel_Worksheet23.xlsx" Type="http://schemas.openxmlformats.org/officeDocument/2006/relationships/package"/><Relationship Id="rId64" Target="media/image37.png" Type="http://schemas.openxmlformats.org/officeDocument/2006/relationships/image"/><Relationship Id="rId65" Target="media/image38.png" Type="http://schemas.openxmlformats.org/officeDocument/2006/relationships/image"/><Relationship Id="rId66" Target="embeddings/Microsoft_Excel_Worksheet24.xlsx" Type="http://schemas.openxmlformats.org/officeDocument/2006/relationships/package"/><Relationship Id="rId67" Target="media/image39.png" Type="http://schemas.openxmlformats.org/officeDocument/2006/relationships/image"/><Relationship Id="rId68" Target="embeddings/Microsoft_Excel_Worksheet25.xlsx" Type="http://schemas.openxmlformats.org/officeDocument/2006/relationships/package"/><Relationship Id="rId69" Target="media/image40.png" Type="http://schemas.openxmlformats.org/officeDocument/2006/relationships/image"/><Relationship Id="rId7" Target="embeddings/Microsoft_Excel_Worksheet2.xlsx" Type="http://schemas.openxmlformats.org/officeDocument/2006/relationships/package"/><Relationship Id="rId70" Target="embeddings/Microsoft_Excel_Worksheet26.xlsx" Type="http://schemas.openxmlformats.org/officeDocument/2006/relationships/package"/><Relationship Id="rId71" Target="media/image41.png" Type="http://schemas.openxmlformats.org/officeDocument/2006/relationships/image"/><Relationship Id="rId72" Target="embeddings/Microsoft_Excel_Worksheet27.xlsx" Type="http://schemas.openxmlformats.org/officeDocument/2006/relationships/package"/><Relationship Id="rId73" Target="media/image42.png" Type="http://schemas.openxmlformats.org/officeDocument/2006/relationships/image"/><Relationship Id="rId74" Target="embeddings/Microsoft_Excel_Worksheet28.xlsx" Type="http://schemas.openxmlformats.org/officeDocument/2006/relationships/package"/><Relationship Id="rId75" Target="media/image43.png" Type="http://schemas.openxmlformats.org/officeDocument/2006/relationships/image"/><Relationship Id="rId76" Target="embeddings/Microsoft_Excel_Worksheet29.xlsx" Type="http://schemas.openxmlformats.org/officeDocument/2006/relationships/package"/><Relationship Id="rId77" Target="media/image44.png" Type="http://schemas.openxmlformats.org/officeDocument/2006/relationships/image"/><Relationship Id="rId78" Target="header1.xml" Type="http://schemas.openxmlformats.org/officeDocument/2006/relationships/header"/><Relationship Id="rId8" Target="media/image2.png" Type="http://schemas.openxmlformats.org/officeDocument/2006/relationships/image"/><Relationship Id="rId9" Target="embeddings/Microsoft_Excel_Worksheet3.xlsx" Type="http://schemas.openxmlformats.org/officeDocument/2006/relationships/pack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2026-05-05T21:50:20Z</dcterms:created>
  <dc:creator>Apache POI</dc:creator>
</cp:coreProperties>
</file>