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048" w:rsidP="003C6776" w:rsidRDefault="00E02A59" w14:paraId="49D81852" w14:textId="65AC2280">
      <w:pPr>
        <w:pStyle w:val="Titolo1"/>
        <w:spacing w:before="0" w:after="240"/>
        <w:jc w:val="center"/>
      </w:pPr>
      <w:r>
        <w:t>Regole di dominio</w:t>
      </w:r>
    </w:p>
    <w:p w:rsidR="00C57048" w:rsidP="003C6776" w:rsidRDefault="00C57048" w14:paraId="110AC445" w14:textId="75456460">
      <w:pPr>
        <w:pStyle w:val="Titolo2"/>
        <w:spacing w:before="0" w:after="240"/>
      </w:pPr>
      <w:r>
        <w:t xml:space="preserve">Cronologia </w:t>
      </w:r>
      <w:r w:rsidR="00E02A59">
        <w:t>r</w:t>
      </w:r>
      <w:r>
        <w:t>evisioni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551"/>
        <w:gridCol w:w="2262"/>
      </w:tblGrid>
      <w:tr w:rsidRPr="003C6776" w:rsidR="00C57048" w:rsidTr="2216EBB4" w14:paraId="59476073" w14:textId="77777777">
        <w:tc>
          <w:tcPr>
            <w:tcW w:w="2830" w:type="dxa"/>
            <w:tcMar/>
          </w:tcPr>
          <w:p w:rsidRPr="003C6776" w:rsidR="00C57048" w:rsidP="00E02A59" w:rsidRDefault="00C57048" w14:paraId="78523147" w14:textId="4066EDEB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3C6776">
              <w:rPr>
                <w:rFonts w:cstheme="minorHAnsi"/>
                <w:b/>
                <w:bCs/>
                <w:sz w:val="26"/>
                <w:szCs w:val="26"/>
              </w:rPr>
              <w:t>Versione</w:t>
            </w:r>
          </w:p>
        </w:tc>
        <w:tc>
          <w:tcPr>
            <w:tcW w:w="1985" w:type="dxa"/>
            <w:tcMar/>
          </w:tcPr>
          <w:p w:rsidRPr="003C6776" w:rsidR="00C57048" w:rsidP="00E02A59" w:rsidRDefault="00C57048" w14:paraId="04396815" w14:textId="07FC4BFA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3C6776">
              <w:rPr>
                <w:rFonts w:cstheme="minorHAnsi"/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2551" w:type="dxa"/>
            <w:tcMar/>
          </w:tcPr>
          <w:p w:rsidRPr="003C6776" w:rsidR="00C57048" w:rsidP="00E02A59" w:rsidRDefault="00C57048" w14:paraId="295AA7B3" w14:textId="4376B8EE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3C6776">
              <w:rPr>
                <w:rFonts w:cstheme="minorHAnsi"/>
                <w:b/>
                <w:bCs/>
                <w:sz w:val="26"/>
                <w:szCs w:val="26"/>
              </w:rPr>
              <w:t>Descrizione</w:t>
            </w:r>
          </w:p>
        </w:tc>
        <w:tc>
          <w:tcPr>
            <w:tcW w:w="2262" w:type="dxa"/>
            <w:tcMar/>
          </w:tcPr>
          <w:p w:rsidRPr="003C6776" w:rsidR="00C57048" w:rsidP="00E02A59" w:rsidRDefault="00C57048" w14:paraId="15E04F1A" w14:textId="40908543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3C6776">
              <w:rPr>
                <w:rFonts w:cstheme="minorHAnsi"/>
                <w:b/>
                <w:bCs/>
                <w:sz w:val="26"/>
                <w:szCs w:val="26"/>
              </w:rPr>
              <w:t>Autore</w:t>
            </w:r>
          </w:p>
        </w:tc>
      </w:tr>
      <w:tr w:rsidRPr="003C6776" w:rsidR="00C57048" w:rsidTr="2216EBB4" w14:paraId="63FA2AED" w14:textId="77777777">
        <w:tc>
          <w:tcPr>
            <w:tcW w:w="2830" w:type="dxa"/>
            <w:tcMar/>
          </w:tcPr>
          <w:p w:rsidRPr="003C6776" w:rsidR="00C57048" w:rsidP="00E02A59" w:rsidRDefault="00C57048" w14:paraId="224C0AF9" w14:textId="5756F96B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Bozza Ideazione</w:t>
            </w:r>
          </w:p>
        </w:tc>
        <w:tc>
          <w:tcPr>
            <w:tcW w:w="1985" w:type="dxa"/>
            <w:tcMar/>
          </w:tcPr>
          <w:p w:rsidRPr="003C6776" w:rsidR="00C57048" w:rsidP="00E02A59" w:rsidRDefault="00C57048" w14:paraId="5A4DBB36" w14:textId="609F6A5E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07/01/2023</w:t>
            </w:r>
          </w:p>
        </w:tc>
        <w:tc>
          <w:tcPr>
            <w:tcW w:w="2551" w:type="dxa"/>
            <w:tcMar/>
          </w:tcPr>
          <w:p w:rsidRPr="003C6776" w:rsidR="00167F3E" w:rsidP="00167F3E" w:rsidRDefault="00C57048" w14:paraId="75289134" w14:textId="77777777">
            <w:pPr>
              <w:spacing w:before="120" w:after="120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Prima bozza.</w:t>
            </w:r>
          </w:p>
          <w:p w:rsidRPr="003C6776" w:rsidR="00C57048" w:rsidP="2216EBB4" w:rsidRDefault="00C57048" w14:paraId="7313EEC4" w14:noSpellErr="1" w14:textId="05C276D7">
            <w:pPr>
              <w:spacing w:before="120" w:after="120"/>
              <w:rPr>
                <w:rFonts w:cs="Calibri" w:cstheme="minorAscii"/>
                <w:sz w:val="28"/>
                <w:szCs w:val="28"/>
              </w:rPr>
            </w:pPr>
          </w:p>
        </w:tc>
        <w:tc>
          <w:tcPr>
            <w:tcW w:w="2262" w:type="dxa"/>
            <w:tcMar/>
          </w:tcPr>
          <w:p w:rsidRPr="003C6776" w:rsidR="00C57048" w:rsidP="00E02A59" w:rsidRDefault="003C6776" w14:paraId="5EBBC179" w14:textId="14D2E089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Vincenth Malato, Gabriele Vitali</w:t>
            </w:r>
          </w:p>
        </w:tc>
      </w:tr>
    </w:tbl>
    <w:p w:rsidR="00C57048" w:rsidP="00C57048" w:rsidRDefault="00C57048" w14:paraId="7EE22BB0" w14:textId="41ECA188">
      <w:pPr>
        <w:rPr>
          <w:rFonts w:ascii="Times New Roman" w:hAnsi="Times New Roman" w:cs="Times New Roman"/>
          <w:sz w:val="36"/>
          <w:szCs w:val="36"/>
        </w:rPr>
      </w:pPr>
    </w:p>
    <w:p w:rsidRPr="00C57048" w:rsidR="00C57048" w:rsidP="003C6776" w:rsidRDefault="00E02A59" w14:paraId="1A3EC50C" w14:textId="618CE43E">
      <w:pPr>
        <w:pStyle w:val="Titolo2"/>
        <w:spacing w:before="0" w:after="240"/>
      </w:pPr>
      <w:r>
        <w:t>Elenco regole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1413"/>
        <w:gridCol w:w="3915"/>
        <w:gridCol w:w="2000"/>
        <w:gridCol w:w="2300"/>
      </w:tblGrid>
      <w:tr w:rsidRPr="003C6776" w:rsidR="00E02A59" w:rsidTr="2216EBB4" w14:paraId="24EC429B" w14:textId="4A64EA62">
        <w:tc>
          <w:tcPr>
            <w:tcW w:w="1413" w:type="dxa"/>
            <w:tcMar/>
          </w:tcPr>
          <w:p w:rsidRPr="003C6776" w:rsidR="00E02A59" w:rsidP="00E02A59" w:rsidRDefault="00E02A59" w14:paraId="3B73C7D0" w14:textId="52450541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3C6776">
              <w:rPr>
                <w:rFonts w:cstheme="minorHAnsi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3915" w:type="dxa"/>
            <w:tcMar/>
          </w:tcPr>
          <w:p w:rsidRPr="003C6776" w:rsidR="00E02A59" w:rsidP="00E02A59" w:rsidRDefault="00E02A59" w14:paraId="63C558CB" w14:textId="04E6E259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3C6776">
              <w:rPr>
                <w:rFonts w:cstheme="minorHAnsi"/>
                <w:b/>
                <w:bCs/>
                <w:sz w:val="26"/>
                <w:szCs w:val="26"/>
              </w:rPr>
              <w:t>Regola</w:t>
            </w:r>
          </w:p>
        </w:tc>
        <w:tc>
          <w:tcPr>
            <w:tcW w:w="2000" w:type="dxa"/>
            <w:tcMar/>
          </w:tcPr>
          <w:p w:rsidRPr="003C6776" w:rsidR="00E02A59" w:rsidP="00E02A59" w:rsidRDefault="00E02A59" w14:paraId="1C809914" w14:textId="45726E1D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3C6776">
              <w:rPr>
                <w:rFonts w:cstheme="minorHAnsi"/>
                <w:b/>
                <w:bCs/>
                <w:sz w:val="26"/>
                <w:szCs w:val="26"/>
              </w:rPr>
              <w:t>Modificabilità</w:t>
            </w:r>
          </w:p>
        </w:tc>
        <w:tc>
          <w:tcPr>
            <w:tcW w:w="2300" w:type="dxa"/>
            <w:tcMar/>
          </w:tcPr>
          <w:p w:rsidRPr="003C6776" w:rsidR="00E02A59" w:rsidP="00E02A59" w:rsidRDefault="00E02A59" w14:paraId="0C7D6830" w14:textId="18F4E7BE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3C6776">
              <w:rPr>
                <w:rFonts w:cstheme="minorHAnsi"/>
                <w:b/>
                <w:bCs/>
                <w:sz w:val="26"/>
                <w:szCs w:val="26"/>
              </w:rPr>
              <w:t>Sorgente</w:t>
            </w:r>
          </w:p>
        </w:tc>
      </w:tr>
      <w:tr w:rsidRPr="003C6776" w:rsidR="00E02A59" w:rsidTr="2216EBB4" w14:paraId="6E058379" w14:textId="4212BDB3">
        <w:tc>
          <w:tcPr>
            <w:tcW w:w="1413" w:type="dxa"/>
            <w:tcMar/>
          </w:tcPr>
          <w:p w:rsidRPr="003C6776" w:rsidR="00E02A59" w:rsidP="00041CEB" w:rsidRDefault="00E02A59" w14:paraId="46829D1D" w14:textId="633C2223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R1</w:t>
            </w:r>
          </w:p>
        </w:tc>
        <w:tc>
          <w:tcPr>
            <w:tcW w:w="3915" w:type="dxa"/>
            <w:tcMar/>
          </w:tcPr>
          <w:p w:rsidRPr="003C6776" w:rsidR="00E02A59" w:rsidP="2216EBB4" w:rsidRDefault="00041CEB" w14:paraId="1BD24DF5" w14:textId="4DB8F7E1">
            <w:pPr>
              <w:pStyle w:val="Normale"/>
              <w:bidi w:val="0"/>
              <w:spacing w:before="120" w:beforeAutospacing="off" w:after="120" w:afterAutospacing="off" w:line="259" w:lineRule="auto"/>
              <w:ind w:left="0" w:right="0"/>
              <w:jc w:val="both"/>
              <w:rPr>
                <w:rFonts w:cs="Calibri" w:cstheme="minorAscii"/>
                <w:sz w:val="28"/>
                <w:szCs w:val="28"/>
              </w:rPr>
            </w:pPr>
            <w:r w:rsidRPr="2216EBB4" w:rsidR="3B27BA8F">
              <w:rPr>
                <w:rFonts w:cs="Calibri" w:cstheme="minorAscii"/>
                <w:sz w:val="28"/>
                <w:szCs w:val="28"/>
              </w:rPr>
              <w:t xml:space="preserve">L’acquisto dell’extra “posto a scelta” ha un prezzo di € 10 </w:t>
            </w:r>
            <w:r w:rsidRPr="2216EBB4" w:rsidR="249900DF">
              <w:rPr>
                <w:rFonts w:cs="Calibri" w:cstheme="minorAscii"/>
                <w:sz w:val="28"/>
                <w:szCs w:val="28"/>
              </w:rPr>
              <w:t>iva esclusa per tutti i posti a sedere di prima classe</w:t>
            </w:r>
          </w:p>
        </w:tc>
        <w:tc>
          <w:tcPr>
            <w:tcW w:w="2000" w:type="dxa"/>
            <w:tcMar/>
          </w:tcPr>
          <w:p w:rsidRPr="003C6776" w:rsidR="00E02A59" w:rsidP="00041CEB" w:rsidRDefault="00041CEB" w14:paraId="640441B5" w14:textId="0FCBD1D7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Media</w:t>
            </w:r>
          </w:p>
        </w:tc>
        <w:tc>
          <w:tcPr>
            <w:tcW w:w="2300" w:type="dxa"/>
            <w:tcMar/>
          </w:tcPr>
          <w:p w:rsidRPr="003C6776" w:rsidR="00E02A59" w:rsidP="00041CEB" w:rsidRDefault="00167F3E" w14:paraId="1259BA1D" w14:textId="45F580DB">
            <w:pPr>
              <w:spacing w:before="120" w:after="120"/>
              <w:jc w:val="both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Politica interna della compagnia aerea</w:t>
            </w:r>
          </w:p>
        </w:tc>
      </w:tr>
      <w:tr w:rsidRPr="003C6776" w:rsidR="00E02A59" w:rsidTr="2216EBB4" w14:paraId="4BDF4B34" w14:textId="17459998">
        <w:tc>
          <w:tcPr>
            <w:tcW w:w="1413" w:type="dxa"/>
            <w:tcMar/>
          </w:tcPr>
          <w:p w:rsidRPr="003C6776" w:rsidR="00E02A59" w:rsidP="00041CEB" w:rsidRDefault="00E02A59" w14:paraId="74ADEB74" w14:textId="67335A85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R2</w:t>
            </w:r>
          </w:p>
        </w:tc>
        <w:tc>
          <w:tcPr>
            <w:tcW w:w="3915" w:type="dxa"/>
            <w:tcMar/>
          </w:tcPr>
          <w:p w:rsidRPr="003C6776" w:rsidR="00E02A59" w:rsidP="2216EBB4" w:rsidRDefault="00041CEB" w14:paraId="4F2EA791" w14:textId="71979B03">
            <w:pPr>
              <w:pStyle w:val="Normale"/>
              <w:bidi w:val="0"/>
              <w:spacing w:before="120" w:beforeAutospacing="off" w:after="120" w:afterAutospacing="off" w:line="259" w:lineRule="auto"/>
              <w:ind w:left="0" w:right="0"/>
              <w:jc w:val="both"/>
              <w:rPr>
                <w:rFonts w:cs="Calibri" w:cstheme="minorAscii"/>
                <w:sz w:val="28"/>
                <w:szCs w:val="28"/>
              </w:rPr>
            </w:pPr>
            <w:r w:rsidRPr="2216EBB4" w:rsidR="10346E1E">
              <w:rPr>
                <w:rFonts w:cs="Calibri" w:cstheme="minorAscii"/>
                <w:sz w:val="28"/>
                <w:szCs w:val="28"/>
              </w:rPr>
              <w:t>L’acquisto dell’extra “posto a scelta” ha un prezzo di € 5 iva esclusa per tutti i posti a sedere di prima classe</w:t>
            </w:r>
          </w:p>
        </w:tc>
        <w:tc>
          <w:tcPr>
            <w:tcW w:w="2000" w:type="dxa"/>
            <w:tcMar/>
          </w:tcPr>
          <w:p w:rsidRPr="003C6776" w:rsidR="00E02A59" w:rsidP="00041CEB" w:rsidRDefault="00041CEB" w14:paraId="64221264" w14:textId="3B39AEEE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Media</w:t>
            </w:r>
          </w:p>
        </w:tc>
        <w:tc>
          <w:tcPr>
            <w:tcW w:w="2300" w:type="dxa"/>
            <w:tcMar/>
          </w:tcPr>
          <w:p w:rsidRPr="003C6776" w:rsidR="00E02A59" w:rsidP="00041CEB" w:rsidRDefault="00041CEB" w14:paraId="0A286CAF" w14:textId="531E30C7">
            <w:pPr>
              <w:spacing w:before="120" w:after="120"/>
              <w:jc w:val="both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 xml:space="preserve">Politica interna della </w:t>
            </w:r>
            <w:r w:rsidR="00E018C5">
              <w:rPr>
                <w:rFonts w:cstheme="minorHAnsi"/>
                <w:sz w:val="28"/>
                <w:szCs w:val="28"/>
              </w:rPr>
              <w:t xml:space="preserve">compagnia </w:t>
            </w:r>
            <w:r w:rsidRPr="00E018C5">
              <w:rPr>
                <w:rFonts w:cstheme="minorHAnsi"/>
                <w:vanish/>
                <w:sz w:val="28"/>
                <w:szCs w:val="28"/>
              </w:rPr>
              <w:t xml:space="preserve">compagnia </w:t>
            </w:r>
            <w:r w:rsidRPr="003C6776">
              <w:rPr>
                <w:rFonts w:cstheme="minorHAnsi"/>
                <w:sz w:val="28"/>
                <w:szCs w:val="28"/>
              </w:rPr>
              <w:t>aerea</w:t>
            </w:r>
          </w:p>
        </w:tc>
      </w:tr>
      <w:tr w:rsidR="2216EBB4" w:rsidTr="2216EBB4" w14:paraId="03DC8F6C">
        <w:trPr>
          <w:trHeight w:val="300"/>
        </w:trPr>
        <w:tc>
          <w:tcPr>
            <w:tcW w:w="1413" w:type="dxa"/>
            <w:tcMar/>
          </w:tcPr>
          <w:p w:rsidR="0E66DB7B" w:rsidP="2216EBB4" w:rsidRDefault="0E66DB7B" w14:paraId="44B01133" w14:textId="0D88476A">
            <w:pPr>
              <w:pStyle w:val="Normale"/>
              <w:jc w:val="center"/>
              <w:rPr>
                <w:rFonts w:cs="Calibri" w:cstheme="minorAscii"/>
                <w:sz w:val="28"/>
                <w:szCs w:val="28"/>
              </w:rPr>
            </w:pPr>
            <w:r w:rsidRPr="2216EBB4" w:rsidR="0E66DB7B">
              <w:rPr>
                <w:rFonts w:cs="Calibri" w:cstheme="minorAscii"/>
                <w:sz w:val="28"/>
                <w:szCs w:val="28"/>
              </w:rPr>
              <w:t>R3</w:t>
            </w:r>
          </w:p>
        </w:tc>
        <w:tc>
          <w:tcPr>
            <w:tcW w:w="3915" w:type="dxa"/>
            <w:tcMar/>
          </w:tcPr>
          <w:p w:rsidR="04D41672" w:rsidP="2216EBB4" w:rsidRDefault="04D41672" w14:paraId="1FB0E9A8" w14:textId="7C54753D">
            <w:pPr>
              <w:pStyle w:val="Normale"/>
              <w:jc w:val="both"/>
              <w:rPr>
                <w:rFonts w:cs="Calibri" w:cstheme="minorAscii"/>
                <w:sz w:val="28"/>
                <w:szCs w:val="28"/>
              </w:rPr>
            </w:pPr>
            <w:r w:rsidRPr="2216EBB4" w:rsidR="04D41672">
              <w:rPr>
                <w:rFonts w:cs="Calibri" w:cstheme="minorAscii"/>
                <w:sz w:val="28"/>
                <w:szCs w:val="28"/>
              </w:rPr>
              <w:t>In fase di assegnazione di una promozione v</w:t>
            </w:r>
            <w:r w:rsidRPr="2216EBB4" w:rsidR="741FE477">
              <w:rPr>
                <w:rFonts w:cs="Calibri" w:cstheme="minorAscii"/>
                <w:sz w:val="28"/>
                <w:szCs w:val="28"/>
              </w:rPr>
              <w:t>iene</w:t>
            </w:r>
            <w:r w:rsidRPr="2216EBB4" w:rsidR="04D41672">
              <w:rPr>
                <w:rFonts w:cs="Calibri" w:cstheme="minorAscii"/>
                <w:sz w:val="28"/>
                <w:szCs w:val="28"/>
              </w:rPr>
              <w:t xml:space="preserve"> assegnato il vantaggio “sce</w:t>
            </w:r>
            <w:r w:rsidRPr="2216EBB4" w:rsidR="76D61A14">
              <w:rPr>
                <w:rFonts w:cs="Calibri" w:cstheme="minorAscii"/>
                <w:sz w:val="28"/>
                <w:szCs w:val="28"/>
              </w:rPr>
              <w:t>g</w:t>
            </w:r>
            <w:r w:rsidRPr="2216EBB4" w:rsidR="04D41672">
              <w:rPr>
                <w:rFonts w:cs="Calibri" w:cstheme="minorAscii"/>
                <w:sz w:val="28"/>
                <w:szCs w:val="28"/>
              </w:rPr>
              <w:t xml:space="preserve">li il tuo posto gratis” ai clienti che negli ultimi dieci giorni di calendario hanno effettuato acquisti per un ammontare inferiore a 100 € iva </w:t>
            </w:r>
            <w:r w:rsidRPr="2216EBB4" w:rsidR="090178FD">
              <w:rPr>
                <w:rFonts w:cs="Calibri" w:cstheme="minorAscii"/>
                <w:sz w:val="28"/>
                <w:szCs w:val="28"/>
              </w:rPr>
              <w:t>esclusa.</w:t>
            </w:r>
          </w:p>
        </w:tc>
        <w:tc>
          <w:tcPr>
            <w:tcW w:w="2000" w:type="dxa"/>
            <w:tcMar/>
          </w:tcPr>
          <w:p w:rsidR="2F989B04" w:rsidP="2216EBB4" w:rsidRDefault="2F989B04" w14:paraId="777ED4BC" w14:textId="6B2F5F3E">
            <w:pPr>
              <w:pStyle w:val="Normale"/>
              <w:jc w:val="center"/>
              <w:rPr>
                <w:rFonts w:cs="Calibri" w:cstheme="minorAscii"/>
                <w:sz w:val="28"/>
                <w:szCs w:val="28"/>
              </w:rPr>
            </w:pPr>
            <w:r w:rsidRPr="2216EBB4" w:rsidR="2F989B04">
              <w:rPr>
                <w:rFonts w:cs="Calibri" w:cstheme="minorAscii"/>
                <w:sz w:val="28"/>
                <w:szCs w:val="28"/>
              </w:rPr>
              <w:t>Media</w:t>
            </w:r>
          </w:p>
        </w:tc>
        <w:tc>
          <w:tcPr>
            <w:tcW w:w="2300" w:type="dxa"/>
            <w:tcMar/>
          </w:tcPr>
          <w:p w:rsidR="2F989B04" w:rsidP="2216EBB4" w:rsidRDefault="2F989B04" w14:paraId="4010D3B4" w14:textId="1C1F49CB">
            <w:pPr>
              <w:pStyle w:val="Normale"/>
              <w:jc w:val="both"/>
              <w:rPr>
                <w:rFonts w:cs="Calibri" w:cstheme="minorAscii"/>
                <w:sz w:val="28"/>
                <w:szCs w:val="28"/>
              </w:rPr>
            </w:pPr>
            <w:r w:rsidRPr="2216EBB4" w:rsidR="2F989B04">
              <w:rPr>
                <w:rFonts w:cs="Calibri" w:cstheme="minorAscii"/>
                <w:sz w:val="28"/>
                <w:szCs w:val="28"/>
              </w:rPr>
              <w:t>Politica interna della compagnia aerea</w:t>
            </w:r>
          </w:p>
        </w:tc>
      </w:tr>
      <w:tr w:rsidRPr="003C6776" w:rsidR="00E018C5" w:rsidTr="2216EBB4" w14:paraId="7A40E5BE" w14:textId="77777777">
        <w:tc>
          <w:tcPr>
            <w:tcW w:w="1413" w:type="dxa"/>
            <w:tcMar/>
          </w:tcPr>
          <w:p w:rsidRPr="003C6776" w:rsidR="00E018C5" w:rsidP="2216EBB4" w:rsidRDefault="00E018C5" w14:paraId="72BA8F98" w14:textId="5D18C038">
            <w:pPr>
              <w:spacing w:before="120" w:after="120"/>
              <w:jc w:val="center"/>
              <w:rPr>
                <w:rFonts w:cs="Calibri" w:cstheme="minorAscii"/>
                <w:sz w:val="28"/>
                <w:szCs w:val="28"/>
              </w:rPr>
            </w:pPr>
            <w:r w:rsidRPr="2216EBB4" w:rsidR="00E018C5">
              <w:rPr>
                <w:rFonts w:cs="Calibri" w:cstheme="minorAscii"/>
                <w:sz w:val="28"/>
                <w:szCs w:val="28"/>
              </w:rPr>
              <w:t>R</w:t>
            </w:r>
            <w:r w:rsidRPr="2216EBB4" w:rsidR="3F352D5B">
              <w:rPr>
                <w:rFonts w:cs="Calibri" w:cstheme="minorAscii"/>
                <w:sz w:val="28"/>
                <w:szCs w:val="28"/>
              </w:rPr>
              <w:t>4</w:t>
            </w:r>
          </w:p>
        </w:tc>
        <w:tc>
          <w:tcPr>
            <w:tcW w:w="3915" w:type="dxa"/>
            <w:tcMar/>
          </w:tcPr>
          <w:p w:rsidRPr="003C6776" w:rsidR="00E018C5" w:rsidP="2216EBB4" w:rsidRDefault="00E018C5" w14:paraId="7A23A164" w14:textId="572C8D1F">
            <w:pPr>
              <w:pStyle w:val="Normale"/>
              <w:spacing w:before="120" w:after="120"/>
              <w:jc w:val="both"/>
              <w:rPr>
                <w:rFonts w:cs="Calibri" w:cstheme="minorAscii"/>
                <w:sz w:val="28"/>
                <w:szCs w:val="28"/>
              </w:rPr>
            </w:pPr>
            <w:r w:rsidRPr="2216EBB4" w:rsidR="586745C7">
              <w:rPr>
                <w:rFonts w:cs="Calibri" w:cstheme="minorAscii"/>
                <w:sz w:val="28"/>
                <w:szCs w:val="28"/>
              </w:rPr>
              <w:t>In fase di assegnazione di una promozione v</w:t>
            </w:r>
            <w:r w:rsidRPr="2216EBB4" w:rsidR="6272C9A5">
              <w:rPr>
                <w:rFonts w:cs="Calibri" w:cstheme="minorAscii"/>
                <w:sz w:val="28"/>
                <w:szCs w:val="28"/>
              </w:rPr>
              <w:t>iene</w:t>
            </w:r>
            <w:r w:rsidRPr="2216EBB4" w:rsidR="586745C7">
              <w:rPr>
                <w:rFonts w:cs="Calibri" w:cstheme="minorAscii"/>
                <w:sz w:val="28"/>
                <w:szCs w:val="28"/>
              </w:rPr>
              <w:t xml:space="preserve"> assegnato il vantaggio “sc</w:t>
            </w:r>
            <w:r w:rsidRPr="2216EBB4" w:rsidR="2F1468E2">
              <w:rPr>
                <w:rFonts w:cs="Calibri" w:cstheme="minorAscii"/>
                <w:sz w:val="28"/>
                <w:szCs w:val="28"/>
              </w:rPr>
              <w:t>onto 50% sul prossimo acquisto</w:t>
            </w:r>
            <w:r w:rsidRPr="2216EBB4" w:rsidR="586745C7">
              <w:rPr>
                <w:rFonts w:cs="Calibri" w:cstheme="minorAscii"/>
                <w:sz w:val="28"/>
                <w:szCs w:val="28"/>
              </w:rPr>
              <w:t xml:space="preserve">” ai clienti che negli ultimi dieci giorni di calendario hanno effettuato acquisti per un ammontare </w:t>
            </w:r>
            <w:r w:rsidRPr="2216EBB4" w:rsidR="32712ABA">
              <w:rPr>
                <w:rFonts w:cs="Calibri" w:cstheme="minorAscii"/>
                <w:sz w:val="28"/>
                <w:szCs w:val="28"/>
              </w:rPr>
              <w:t xml:space="preserve">maggiore o uguale </w:t>
            </w:r>
            <w:r w:rsidRPr="2216EBB4" w:rsidR="586745C7">
              <w:rPr>
                <w:rFonts w:cs="Calibri" w:cstheme="minorAscii"/>
                <w:sz w:val="28"/>
                <w:szCs w:val="28"/>
              </w:rPr>
              <w:t>a 100 € iva esclusa.</w:t>
            </w:r>
          </w:p>
        </w:tc>
        <w:tc>
          <w:tcPr>
            <w:tcW w:w="2000" w:type="dxa"/>
            <w:tcMar/>
          </w:tcPr>
          <w:p w:rsidRPr="003C6776" w:rsidR="00E018C5" w:rsidP="2216EBB4" w:rsidRDefault="00E018C5" w14:paraId="43F37E2D" w14:textId="1F1A92AC">
            <w:pPr>
              <w:spacing w:before="120" w:after="120"/>
              <w:jc w:val="center"/>
              <w:rPr>
                <w:rFonts w:cs="Calibri" w:cstheme="minorAscii"/>
                <w:sz w:val="28"/>
                <w:szCs w:val="28"/>
              </w:rPr>
            </w:pPr>
            <w:r w:rsidRPr="2216EBB4" w:rsidR="6EB3793D">
              <w:rPr>
                <w:rFonts w:cs="Calibri" w:cstheme="minorAscii"/>
                <w:sz w:val="28"/>
                <w:szCs w:val="28"/>
              </w:rPr>
              <w:t>Media</w:t>
            </w:r>
          </w:p>
        </w:tc>
        <w:tc>
          <w:tcPr>
            <w:tcW w:w="2300" w:type="dxa"/>
            <w:tcMar/>
          </w:tcPr>
          <w:p w:rsidRPr="003C6776" w:rsidR="00E018C5" w:rsidP="00041CEB" w:rsidRDefault="00E018C5" w14:paraId="6F3C6022" w14:textId="5D48DF6C">
            <w:pPr>
              <w:spacing w:before="120" w:after="12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Politica interna della compagnia aerea</w:t>
            </w:r>
          </w:p>
        </w:tc>
      </w:tr>
      <w:tr w:rsidRPr="003C6776" w:rsidR="00E018C5" w:rsidTr="2216EBB4" w14:paraId="542C945E" w14:textId="77777777">
        <w:tc>
          <w:tcPr>
            <w:tcW w:w="1413" w:type="dxa"/>
            <w:tcMar/>
          </w:tcPr>
          <w:p w:rsidR="00E018C5" w:rsidP="2216EBB4" w:rsidRDefault="00E018C5" w14:paraId="7F7411BF" w14:textId="63A4A057">
            <w:pPr>
              <w:spacing w:before="120" w:after="120"/>
              <w:jc w:val="center"/>
              <w:rPr>
                <w:rFonts w:cs="Calibri" w:cstheme="minorAscii"/>
                <w:sz w:val="28"/>
                <w:szCs w:val="28"/>
              </w:rPr>
            </w:pPr>
            <w:r w:rsidRPr="2216EBB4" w:rsidR="00E018C5">
              <w:rPr>
                <w:rFonts w:cs="Calibri" w:cstheme="minorAscii"/>
                <w:sz w:val="28"/>
                <w:szCs w:val="28"/>
              </w:rPr>
              <w:t>R</w:t>
            </w:r>
            <w:r w:rsidRPr="2216EBB4" w:rsidR="0DBF5608">
              <w:rPr>
                <w:rFonts w:cs="Calibri" w:cstheme="minorAscii"/>
                <w:sz w:val="28"/>
                <w:szCs w:val="28"/>
              </w:rPr>
              <w:t>5</w:t>
            </w:r>
          </w:p>
        </w:tc>
        <w:tc>
          <w:tcPr>
            <w:tcW w:w="3915" w:type="dxa"/>
            <w:tcMar/>
          </w:tcPr>
          <w:p w:rsidR="00E018C5" w:rsidP="2216EBB4" w:rsidRDefault="00E018C5" w14:paraId="22D9D56F" w14:textId="0B157D1E">
            <w:pPr>
              <w:spacing w:before="120" w:after="120"/>
              <w:jc w:val="both"/>
              <w:rPr>
                <w:rFonts w:cs="Calibri" w:cstheme="minorAscii"/>
                <w:sz w:val="28"/>
                <w:szCs w:val="28"/>
              </w:rPr>
            </w:pPr>
            <w:r w:rsidRPr="2216EBB4" w:rsidR="00E018C5">
              <w:rPr>
                <w:rFonts w:cs="Calibri" w:cstheme="minorAscii"/>
                <w:sz w:val="28"/>
                <w:szCs w:val="28"/>
              </w:rPr>
              <w:t>Qua</w:t>
            </w:r>
            <w:r w:rsidRPr="2216EBB4" w:rsidR="12173C42">
              <w:rPr>
                <w:rFonts w:cs="Calibri" w:cstheme="minorAscii"/>
                <w:sz w:val="28"/>
                <w:szCs w:val="28"/>
              </w:rPr>
              <w:t>ndo</w:t>
            </w:r>
            <w:r w:rsidRPr="2216EBB4" w:rsidR="00E018C5">
              <w:rPr>
                <w:rFonts w:cs="Calibri" w:cstheme="minorAscii"/>
                <w:sz w:val="28"/>
                <w:szCs w:val="28"/>
              </w:rPr>
              <w:t xml:space="preserve"> </w:t>
            </w:r>
            <w:r w:rsidRPr="2216EBB4" w:rsidR="38A72DEB">
              <w:rPr>
                <w:rFonts w:cs="Calibri" w:cstheme="minorAscii"/>
                <w:sz w:val="28"/>
                <w:szCs w:val="28"/>
              </w:rPr>
              <w:t xml:space="preserve">un </w:t>
            </w:r>
            <w:r w:rsidRPr="2216EBB4" w:rsidR="50944E55">
              <w:rPr>
                <w:rFonts w:cs="Calibri" w:cstheme="minorAscii"/>
                <w:sz w:val="28"/>
                <w:szCs w:val="28"/>
              </w:rPr>
              <w:t xml:space="preserve">cliente </w:t>
            </w:r>
            <w:r w:rsidRPr="2216EBB4" w:rsidR="38A72DEB">
              <w:rPr>
                <w:rFonts w:cs="Calibri" w:cstheme="minorAscii"/>
                <w:sz w:val="28"/>
                <w:szCs w:val="28"/>
              </w:rPr>
              <w:t>decide di modificare</w:t>
            </w:r>
            <w:r w:rsidRPr="2216EBB4" w:rsidR="00E018C5">
              <w:rPr>
                <w:rFonts w:cs="Calibri" w:cstheme="minorAscii"/>
                <w:sz w:val="28"/>
                <w:szCs w:val="28"/>
              </w:rPr>
              <w:t xml:space="preserve"> l’identità del viaggiatore</w:t>
            </w:r>
            <w:r w:rsidRPr="2216EBB4" w:rsidR="3FB95F7D">
              <w:rPr>
                <w:rFonts w:cs="Calibri" w:cstheme="minorAscii"/>
                <w:sz w:val="28"/>
                <w:szCs w:val="28"/>
              </w:rPr>
              <w:t xml:space="preserve"> associato ad una determinata prenotazione</w:t>
            </w:r>
            <w:r w:rsidRPr="2216EBB4" w:rsidR="00E018C5">
              <w:rPr>
                <w:rFonts w:cs="Calibri" w:cstheme="minorAscii"/>
                <w:sz w:val="28"/>
                <w:szCs w:val="28"/>
              </w:rPr>
              <w:t xml:space="preserve"> </w:t>
            </w:r>
            <w:r w:rsidRPr="2216EBB4" w:rsidR="7169AEDA">
              <w:rPr>
                <w:rFonts w:cs="Calibri" w:cstheme="minorAscii"/>
                <w:sz w:val="28"/>
                <w:szCs w:val="28"/>
              </w:rPr>
              <w:t>viene applicata una penale sulla prenotazione</w:t>
            </w:r>
            <w:r w:rsidRPr="2216EBB4" w:rsidR="426494A0">
              <w:rPr>
                <w:rFonts w:cs="Calibri" w:cstheme="minorAscii"/>
                <w:sz w:val="28"/>
                <w:szCs w:val="28"/>
              </w:rPr>
              <w:t xml:space="preserve"> stessa</w:t>
            </w:r>
            <w:r w:rsidRPr="2216EBB4" w:rsidR="7169AEDA">
              <w:rPr>
                <w:rFonts w:cs="Calibri" w:cstheme="minorAscii"/>
                <w:sz w:val="28"/>
                <w:szCs w:val="28"/>
              </w:rPr>
              <w:t>, e al cliente viene addebitato un importo pari al 20% del prezzo del biglietto base.</w:t>
            </w:r>
          </w:p>
        </w:tc>
        <w:tc>
          <w:tcPr>
            <w:tcW w:w="2000" w:type="dxa"/>
            <w:tcMar/>
          </w:tcPr>
          <w:p w:rsidRPr="003C6776" w:rsidR="00E018C5" w:rsidP="2216EBB4" w:rsidRDefault="00E018C5" w14:paraId="19DDBF58" w14:textId="57CE0E91">
            <w:pPr>
              <w:spacing w:before="120" w:after="120"/>
              <w:jc w:val="center"/>
              <w:rPr>
                <w:rFonts w:cs="Calibri" w:cstheme="minorAscii"/>
                <w:sz w:val="28"/>
                <w:szCs w:val="28"/>
              </w:rPr>
            </w:pPr>
            <w:r w:rsidRPr="2216EBB4" w:rsidR="7689D161">
              <w:rPr>
                <w:rFonts w:cs="Calibri" w:cstheme="minorAscii"/>
                <w:sz w:val="28"/>
                <w:szCs w:val="28"/>
              </w:rPr>
              <w:t>Media</w:t>
            </w:r>
          </w:p>
        </w:tc>
        <w:tc>
          <w:tcPr>
            <w:tcW w:w="2300" w:type="dxa"/>
            <w:tcMar/>
          </w:tcPr>
          <w:p w:rsidRPr="003C6776" w:rsidR="00E018C5" w:rsidP="00041CEB" w:rsidRDefault="00E018C5" w14:paraId="6B025966" w14:textId="5164B8A5">
            <w:pPr>
              <w:spacing w:before="120" w:after="12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Politica interna della compagnia aerea</w:t>
            </w:r>
          </w:p>
        </w:tc>
      </w:tr>
      <w:tr w:rsidR="2216EBB4" w:rsidTr="2216EBB4" w14:paraId="4E39CA92">
        <w:trPr>
          <w:trHeight w:val="300"/>
        </w:trPr>
        <w:tc>
          <w:tcPr>
            <w:tcW w:w="1413" w:type="dxa"/>
            <w:tcMar/>
          </w:tcPr>
          <w:p w:rsidR="40AC09C5" w:rsidP="2216EBB4" w:rsidRDefault="40AC09C5" w14:paraId="752D8296" w14:textId="4D80AD8F">
            <w:pPr>
              <w:pStyle w:val="Normale"/>
              <w:jc w:val="center"/>
              <w:rPr>
                <w:rFonts w:cs="Calibri" w:cstheme="minorAscii"/>
                <w:sz w:val="28"/>
                <w:szCs w:val="28"/>
              </w:rPr>
            </w:pPr>
            <w:r w:rsidRPr="2216EBB4" w:rsidR="40AC09C5">
              <w:rPr>
                <w:rFonts w:cs="Calibri" w:cstheme="minorAscii"/>
                <w:sz w:val="28"/>
                <w:szCs w:val="28"/>
              </w:rPr>
              <w:t>R6</w:t>
            </w:r>
          </w:p>
        </w:tc>
        <w:tc>
          <w:tcPr>
            <w:tcW w:w="3915" w:type="dxa"/>
            <w:tcMar/>
          </w:tcPr>
          <w:p w:rsidR="6E9E0FC5" w:rsidP="2216EBB4" w:rsidRDefault="6E9E0FC5" w14:paraId="7828249A" w14:textId="57D668DE">
            <w:pPr>
              <w:spacing w:before="120" w:after="120"/>
              <w:jc w:val="both"/>
              <w:rPr>
                <w:rFonts w:cs="Calibri" w:cstheme="minorAscii"/>
                <w:sz w:val="28"/>
                <w:szCs w:val="28"/>
              </w:rPr>
            </w:pPr>
            <w:r w:rsidRPr="2216EBB4" w:rsidR="6E9E0FC5">
              <w:rPr>
                <w:rFonts w:cs="Calibri" w:cstheme="minorAscii"/>
                <w:sz w:val="28"/>
                <w:szCs w:val="28"/>
              </w:rPr>
              <w:t xml:space="preserve">Quando un </w:t>
            </w:r>
            <w:r w:rsidRPr="2216EBB4" w:rsidR="2E092B6B">
              <w:rPr>
                <w:rFonts w:cs="Calibri" w:cstheme="minorAscii"/>
                <w:sz w:val="28"/>
                <w:szCs w:val="28"/>
              </w:rPr>
              <w:t xml:space="preserve">cliente </w:t>
            </w:r>
            <w:r w:rsidRPr="2216EBB4" w:rsidR="6E9E0FC5">
              <w:rPr>
                <w:rFonts w:cs="Calibri" w:cstheme="minorAscii"/>
                <w:sz w:val="28"/>
                <w:szCs w:val="28"/>
              </w:rPr>
              <w:t>decide di modificare la data del viaggio viene applicata una penale sulla prenotazione, e al cliente viene addebitato un importo pari al 35% del prezzo del biglietto base.</w:t>
            </w:r>
          </w:p>
        </w:tc>
        <w:tc>
          <w:tcPr>
            <w:tcW w:w="2000" w:type="dxa"/>
            <w:tcMar/>
          </w:tcPr>
          <w:p w:rsidR="6E9E0FC5" w:rsidP="2216EBB4" w:rsidRDefault="6E9E0FC5" w14:paraId="50430F8E" w14:textId="485C221C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216EBB4" w:rsidR="6E9E0FC5">
              <w:rPr>
                <w:rFonts w:cs="Calibri" w:cstheme="minorAscii"/>
                <w:sz w:val="28"/>
                <w:szCs w:val="28"/>
              </w:rPr>
              <w:t>Media</w:t>
            </w:r>
          </w:p>
        </w:tc>
        <w:tc>
          <w:tcPr>
            <w:tcW w:w="2300" w:type="dxa"/>
            <w:tcMar/>
          </w:tcPr>
          <w:p w:rsidR="3DBF9268" w:rsidP="2216EBB4" w:rsidRDefault="3DBF9268" w14:paraId="0425710F" w14:textId="36CF8D1E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2216EBB4" w:rsidR="3DBF9268">
              <w:rPr>
                <w:rFonts w:cs="Calibri" w:cstheme="minorAscii"/>
                <w:sz w:val="28"/>
                <w:szCs w:val="28"/>
              </w:rPr>
              <w:t>Politica interna della compagnia aerea</w:t>
            </w:r>
          </w:p>
        </w:tc>
      </w:tr>
      <w:tr w:rsidRPr="003C6776" w:rsidR="00041CEB" w:rsidTr="2216EBB4" w14:paraId="0D71E927" w14:textId="77777777">
        <w:tc>
          <w:tcPr>
            <w:tcW w:w="1413" w:type="dxa"/>
            <w:tcMar/>
          </w:tcPr>
          <w:p w:rsidRPr="003C6776" w:rsidR="00041CEB" w:rsidP="2216EBB4" w:rsidRDefault="00041CEB" w14:paraId="42632F9B" w14:textId="6163F8F4">
            <w:pPr>
              <w:spacing w:before="120" w:after="120"/>
              <w:jc w:val="center"/>
              <w:rPr>
                <w:rFonts w:cs="Calibri" w:cstheme="minorAscii"/>
                <w:sz w:val="28"/>
                <w:szCs w:val="28"/>
              </w:rPr>
            </w:pPr>
            <w:r w:rsidRPr="2216EBB4" w:rsidR="00041CEB">
              <w:rPr>
                <w:rFonts w:cs="Calibri" w:cstheme="minorAscii"/>
                <w:sz w:val="28"/>
                <w:szCs w:val="28"/>
              </w:rPr>
              <w:t>R</w:t>
            </w:r>
            <w:r w:rsidRPr="2216EBB4" w:rsidR="051539EE">
              <w:rPr>
                <w:rFonts w:cs="Calibri" w:cstheme="minorAscii"/>
                <w:sz w:val="28"/>
                <w:szCs w:val="28"/>
              </w:rPr>
              <w:t>7</w:t>
            </w:r>
          </w:p>
        </w:tc>
        <w:tc>
          <w:tcPr>
            <w:tcW w:w="3915" w:type="dxa"/>
            <w:tcMar/>
          </w:tcPr>
          <w:p w:rsidRPr="003C6776" w:rsidR="00041CEB" w:rsidP="003C6776" w:rsidRDefault="0068745E" w14:paraId="72262AD1" w14:textId="4B7B387A">
            <w:pPr>
              <w:spacing w:before="120" w:after="120"/>
              <w:jc w:val="both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 xml:space="preserve">Se viene richiesto il rimborso di un biglietto </w:t>
            </w:r>
            <w:r w:rsidRPr="003C6776" w:rsidR="007E2A72">
              <w:rPr>
                <w:rFonts w:cstheme="minorHAnsi"/>
                <w:sz w:val="28"/>
                <w:szCs w:val="28"/>
              </w:rPr>
              <w:t>almeno 2 giorni prima da quello</w:t>
            </w:r>
            <w:r w:rsidRPr="003C6776">
              <w:rPr>
                <w:rFonts w:cstheme="minorHAnsi"/>
                <w:sz w:val="28"/>
                <w:szCs w:val="28"/>
              </w:rPr>
              <w:t xml:space="preserve"> in cui è previsto il volo,  la cifra rimborsata ammonta al 25% del costo del biglietto</w:t>
            </w:r>
          </w:p>
        </w:tc>
        <w:tc>
          <w:tcPr>
            <w:tcW w:w="2000" w:type="dxa"/>
            <w:tcMar/>
          </w:tcPr>
          <w:p w:rsidRPr="003C6776" w:rsidR="00041CEB" w:rsidP="00041CEB" w:rsidRDefault="00041CEB" w14:paraId="3D458824" w14:textId="7E4D7DD4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Bassa</w:t>
            </w:r>
          </w:p>
        </w:tc>
        <w:tc>
          <w:tcPr>
            <w:tcW w:w="2300" w:type="dxa"/>
            <w:tcMar/>
          </w:tcPr>
          <w:p w:rsidRPr="003C6776" w:rsidR="00041CEB" w:rsidP="00041CEB" w:rsidRDefault="00041CEB" w14:paraId="2F849C6E" w14:textId="58EC4280">
            <w:pPr>
              <w:spacing w:before="120" w:after="120"/>
              <w:jc w:val="both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Politica interna della compagnia aerea</w:t>
            </w:r>
          </w:p>
        </w:tc>
      </w:tr>
      <w:tr w:rsidRPr="003C6776" w:rsidR="0068745E" w:rsidTr="2216EBB4" w14:paraId="6A1F5F6A" w14:textId="77777777">
        <w:tc>
          <w:tcPr>
            <w:tcW w:w="1413" w:type="dxa"/>
            <w:tcMar/>
          </w:tcPr>
          <w:p w:rsidRPr="003C6776" w:rsidR="0068745E" w:rsidP="2216EBB4" w:rsidRDefault="0068745E" w14:paraId="364F4448" w14:textId="1B641AB7">
            <w:pPr>
              <w:spacing w:before="120" w:after="120"/>
              <w:jc w:val="center"/>
              <w:rPr>
                <w:rFonts w:cs="Calibri" w:cstheme="minorAscii"/>
                <w:sz w:val="28"/>
                <w:szCs w:val="28"/>
              </w:rPr>
            </w:pPr>
            <w:r w:rsidRPr="2216EBB4" w:rsidR="0068745E">
              <w:rPr>
                <w:rFonts w:cs="Calibri" w:cstheme="minorAscii"/>
                <w:sz w:val="28"/>
                <w:szCs w:val="28"/>
              </w:rPr>
              <w:t>R</w:t>
            </w:r>
            <w:r w:rsidRPr="2216EBB4" w:rsidR="2C94640A">
              <w:rPr>
                <w:rFonts w:cs="Calibri" w:cstheme="minorAscii"/>
                <w:sz w:val="28"/>
                <w:szCs w:val="28"/>
              </w:rPr>
              <w:t>8</w:t>
            </w:r>
            <w:bookmarkStart w:name="_GoBack" w:id="0"/>
            <w:bookmarkEnd w:id="0"/>
          </w:p>
        </w:tc>
        <w:tc>
          <w:tcPr>
            <w:tcW w:w="3915" w:type="dxa"/>
            <w:tcMar/>
          </w:tcPr>
          <w:p w:rsidRPr="003C6776" w:rsidR="0068745E" w:rsidP="0068745E" w:rsidRDefault="0068745E" w14:paraId="19FB5381" w14:textId="69D7CEFF">
            <w:pPr>
              <w:spacing w:before="120" w:after="120"/>
              <w:jc w:val="both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Se viene richiesto il rimborso di un biglietto entro 1 mese dal giorno in cui è previsto il volo,  la cifra rimborsata ammonta al 50% del costo del biglietto</w:t>
            </w:r>
          </w:p>
        </w:tc>
        <w:tc>
          <w:tcPr>
            <w:tcW w:w="2000" w:type="dxa"/>
            <w:tcMar/>
          </w:tcPr>
          <w:p w:rsidRPr="003C6776" w:rsidR="0068745E" w:rsidP="0068745E" w:rsidRDefault="0068745E" w14:paraId="59BF2B11" w14:textId="08A77F80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Bassa</w:t>
            </w:r>
          </w:p>
        </w:tc>
        <w:tc>
          <w:tcPr>
            <w:tcW w:w="2300" w:type="dxa"/>
            <w:tcMar/>
          </w:tcPr>
          <w:p w:rsidRPr="003C6776" w:rsidR="0068745E" w:rsidP="0068745E" w:rsidRDefault="0068745E" w14:paraId="15E415A7" w14:textId="1CD319E2">
            <w:pPr>
              <w:spacing w:before="120" w:after="120"/>
              <w:jc w:val="both"/>
              <w:rPr>
                <w:rFonts w:cstheme="minorHAnsi"/>
                <w:sz w:val="28"/>
                <w:szCs w:val="28"/>
              </w:rPr>
            </w:pPr>
            <w:r w:rsidRPr="003C6776">
              <w:rPr>
                <w:rFonts w:cstheme="minorHAnsi"/>
                <w:sz w:val="28"/>
                <w:szCs w:val="28"/>
              </w:rPr>
              <w:t>Politica interna della compagnia aerea</w:t>
            </w:r>
          </w:p>
        </w:tc>
      </w:tr>
    </w:tbl>
    <w:p w:rsidRPr="00C57048" w:rsidR="001B568D" w:rsidP="00C57048" w:rsidRDefault="001B568D" w14:paraId="5ED38978" w14:textId="77777777">
      <w:pPr>
        <w:spacing w:before="120" w:after="120"/>
        <w:rPr>
          <w:rFonts w:ascii="Times New Roman" w:hAnsi="Times New Roman" w:cs="Times New Roman"/>
          <w:sz w:val="36"/>
          <w:szCs w:val="36"/>
        </w:rPr>
      </w:pPr>
    </w:p>
    <w:sectPr w:rsidRPr="00C57048" w:rsidR="001B568D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3AA"/>
    <w:rsid w:val="00036C31"/>
    <w:rsid w:val="00041CEB"/>
    <w:rsid w:val="00167F3E"/>
    <w:rsid w:val="001B568D"/>
    <w:rsid w:val="002579E4"/>
    <w:rsid w:val="003C6776"/>
    <w:rsid w:val="004C63AA"/>
    <w:rsid w:val="004E3259"/>
    <w:rsid w:val="0068745E"/>
    <w:rsid w:val="007640CC"/>
    <w:rsid w:val="007B7DC9"/>
    <w:rsid w:val="007E2A72"/>
    <w:rsid w:val="00843994"/>
    <w:rsid w:val="00C57048"/>
    <w:rsid w:val="00E018C5"/>
    <w:rsid w:val="00E02A59"/>
    <w:rsid w:val="033FE9FB"/>
    <w:rsid w:val="04D41672"/>
    <w:rsid w:val="051539EE"/>
    <w:rsid w:val="07AF4785"/>
    <w:rsid w:val="090178FD"/>
    <w:rsid w:val="0AE6E847"/>
    <w:rsid w:val="0DBF5608"/>
    <w:rsid w:val="0E66DB7B"/>
    <w:rsid w:val="0F5D3738"/>
    <w:rsid w:val="10346E1E"/>
    <w:rsid w:val="10F90799"/>
    <w:rsid w:val="12173C42"/>
    <w:rsid w:val="1AFCDA3B"/>
    <w:rsid w:val="1B36BC76"/>
    <w:rsid w:val="1DBE6244"/>
    <w:rsid w:val="1F0F4769"/>
    <w:rsid w:val="2216EBB4"/>
    <w:rsid w:val="249900DF"/>
    <w:rsid w:val="25A59222"/>
    <w:rsid w:val="2C94640A"/>
    <w:rsid w:val="2E092B6B"/>
    <w:rsid w:val="2EC84901"/>
    <w:rsid w:val="2F1468E2"/>
    <w:rsid w:val="2F989B04"/>
    <w:rsid w:val="32712ABA"/>
    <w:rsid w:val="38A72DEB"/>
    <w:rsid w:val="3B27BA8F"/>
    <w:rsid w:val="3DBF9268"/>
    <w:rsid w:val="3E1D3700"/>
    <w:rsid w:val="3F352D5B"/>
    <w:rsid w:val="3FB95F7D"/>
    <w:rsid w:val="40AC09C5"/>
    <w:rsid w:val="42615C00"/>
    <w:rsid w:val="426494A0"/>
    <w:rsid w:val="450AB099"/>
    <w:rsid w:val="4FB49770"/>
    <w:rsid w:val="4FF9C130"/>
    <w:rsid w:val="507F261F"/>
    <w:rsid w:val="50944E55"/>
    <w:rsid w:val="54E3C9FF"/>
    <w:rsid w:val="56EE67A3"/>
    <w:rsid w:val="58289299"/>
    <w:rsid w:val="586745C7"/>
    <w:rsid w:val="5FD4141E"/>
    <w:rsid w:val="6272C9A5"/>
    <w:rsid w:val="664355A2"/>
    <w:rsid w:val="6B16C6C5"/>
    <w:rsid w:val="6CB29726"/>
    <w:rsid w:val="6E9E0FC5"/>
    <w:rsid w:val="6EB3793D"/>
    <w:rsid w:val="6F7B6AA5"/>
    <w:rsid w:val="7169AEDA"/>
    <w:rsid w:val="718DF5CF"/>
    <w:rsid w:val="7321D8AA"/>
    <w:rsid w:val="741FE477"/>
    <w:rsid w:val="7689D161"/>
    <w:rsid w:val="76D61A14"/>
    <w:rsid w:val="794E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7AD20"/>
  <w15:chartTrackingRefBased/>
  <w15:docId w15:val="{FF62E471-2440-405C-80E5-7AEB010D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C677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C677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30"/>
      <w:szCs w:val="2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570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itolo1Carattere" w:customStyle="1">
    <w:name w:val="Titolo 1 Carattere"/>
    <w:basedOn w:val="Carpredefinitoparagrafo"/>
    <w:link w:val="Titolo1"/>
    <w:uiPriority w:val="9"/>
    <w:rsid w:val="003C6776"/>
    <w:rPr>
      <w:rFonts w:asciiTheme="majorHAnsi" w:hAnsiTheme="majorHAnsi" w:eastAsiaTheme="majorEastAsia" w:cstheme="majorBidi"/>
      <w:color w:val="2F5496" w:themeColor="accent1" w:themeShade="BF"/>
      <w:sz w:val="36"/>
      <w:szCs w:val="32"/>
    </w:rPr>
  </w:style>
  <w:style w:type="character" w:styleId="Titolo2Carattere" w:customStyle="1">
    <w:name w:val="Titolo 2 Carattere"/>
    <w:basedOn w:val="Carpredefinitoparagrafo"/>
    <w:link w:val="Titolo2"/>
    <w:uiPriority w:val="9"/>
    <w:rsid w:val="003C6776"/>
    <w:rPr>
      <w:rFonts w:asciiTheme="majorHAnsi" w:hAnsiTheme="majorHAnsi" w:eastAsiaTheme="majorEastAsia" w:cstheme="majorBidi"/>
      <w:color w:val="2F5496" w:themeColor="accent1" w:themeShade="BF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GABRIELE VITALI</dc:creator>
  <keywords/>
  <dc:description/>
  <lastModifiedBy>JAN VINCENTH MALATO</lastModifiedBy>
  <revision>3</revision>
  <dcterms:created xsi:type="dcterms:W3CDTF">2023-01-30T12:58:00.0000000Z</dcterms:created>
  <dcterms:modified xsi:type="dcterms:W3CDTF">2023-01-30T20:24:24.0114716Z</dcterms:modified>
</coreProperties>
</file>