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Fairness Reflection</w:t>
      </w:r>
    </w:p>
    <w:p>
      <w:r>
        <w:t>This reflection presents two possible ways to judge whether a neighborhood is under-represented in the cleaned library data. The two versions use different criteria to interpret the same comparison.</w:t>
      </w:r>
    </w:p>
    <w:p>
      <w:pPr>
        <w:pStyle w:val="Heading1"/>
      </w:pPr>
      <w:r>
        <w:t>Version 1: Using the Largest Difference</w:t>
      </w:r>
    </w:p>
    <w:p>
      <w:pPr>
        <w:pStyle w:val="Heading2"/>
      </w:pPr>
      <w:r>
        <w:t>1. Basis</w:t>
      </w:r>
    </w:p>
    <w:p>
      <w:r>
        <w:t>I considered a neighborhood under-represented when it had a negative difference between its share of members and its share of checkouts. The difference was calculated by subtracting the member share from the checkout share.</w:t>
      </w:r>
    </w:p>
    <w:p>
      <w:pPr>
        <w:pStyle w:val="Heading2"/>
      </w:pPr>
      <w:r>
        <w:t>2. Finding</w:t>
      </w:r>
    </w:p>
    <w:p>
      <w:r>
        <w:t>Using this criterion, Maadi is the most under-represented neighborhood. Maadi has 20 members, representing 30.77% of all members, and 114 checkouts, representing 28.22% of all checkouts. This gives a difference of -2.55 percentage points, which is the largest negative difference among the neighborhoods.</w:t>
      </w:r>
    </w:p>
    <w:p>
      <w:r>
        <w:t>This does not mean that Maadi has a serious representation problem. It only means that it has the largest gap when the neighborhoods are compared using this specific measure.</w:t>
      </w:r>
    </w:p>
    <w:p>
      <w:pPr>
        <w:pStyle w:val="Heading2"/>
      </w:pPr>
      <w:r>
        <w:t>3. A Possible Reason</w:t>
      </w:r>
    </w:p>
    <w:p>
      <w:r>
        <w:t>One possible explanation is that members in Maadi may use the library less frequently than members in some of the other neighborhoods.</w:t>
      </w:r>
    </w:p>
    <w:p>
      <w:r>
        <w:t>The data does not show the exact reason for the difference, so this should be treated as a possible explanation rather than a confirmed cause.</w:t>
      </w:r>
    </w:p>
    <w:p>
      <w:pPr>
        <w:pStyle w:val="Heading2"/>
      </w:pPr>
      <w:r>
        <w:t>4. Next Step</w:t>
      </w:r>
    </w:p>
    <w:p>
      <w:r>
        <w:t>Next summer, the library could increase outreach in Maadi or organize a reading activity there to encourage members to use the library more often.</w:t>
      </w:r>
    </w:p>
    <w:p>
      <w:r>
        <w:t>===========================================</w:t>
      </w:r>
    </w:p>
    <w:p>
      <w:pPr>
        <w:pStyle w:val="Heading1"/>
      </w:pPr>
      <w:r>
        <w:t>Version 2: Using Overall Differences</w:t>
      </w:r>
    </w:p>
    <w:p>
      <w:pPr>
        <w:pStyle w:val="Heading2"/>
      </w:pPr>
      <w:r>
        <w:t>1. Premise</w:t>
      </w:r>
    </w:p>
    <w:p>
      <w:r>
        <w:t>Rather than automatically treating the neighborhood with the largest difference as under-represented, I looked at the size of the differences between member share and checkout share across all neighborhoods.</w:t>
      </w:r>
    </w:p>
    <w:p>
      <w:pPr>
        <w:pStyle w:val="Heading2"/>
      </w:pPr>
      <w:r>
        <w:t>2. Discovery</w:t>
      </w:r>
    </w:p>
    <w:p>
      <w:r>
        <w:t>When looking at the overall differences, the gaps between member share and checkout share are relatively small. For example, Maadi has the largest negative difference at -2.55 percentage points. This suggests that the overall differences are not large enough by themselves to show a serious representation problem.</w:t>
      </w:r>
    </w:p>
    <w:p>
      <w:r>
        <w:t>Accordingly, the difference that is largest does not have to be viewed as the sign of being under-represented automatically. The magnitude of the difference should be taken into account too.</w:t>
      </w:r>
    </w:p>
    <w:p>
      <w:pPr>
        <w:pStyle w:val="Heading2"/>
      </w:pPr>
      <w:r>
        <w:t>3. Possible Explanation</w:t>
      </w:r>
    </w:p>
    <w:p>
      <w:r>
        <w:t>The relatively small difference can just be an outcome of the differences in usage rates among the neighborhoods' members.</w:t>
      </w:r>
    </w:p>
    <w:p>
      <w:r>
        <w:t>It is possible that there are other variables influencing the checkouts, such as personal reading preferences and frequency of visits to the library.</w:t>
      </w:r>
    </w:p>
    <w:p>
      <w:pPr>
        <w:pStyle w:val="Heading2"/>
      </w:pPr>
      <w:r>
        <w:t>4. Next Step</w:t>
      </w:r>
    </w:p>
    <w:p>
      <w:r>
        <w:t>The library can observe the member and check-out activities in the upcoming summer and obtain additional data before making any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