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6E63"/>
          <w:sz w:val="18"/>
        </w:rPr>
        <w:t>MSBX 5415 · Group Project</w:t>
      </w:r>
    </w:p>
    <w:p>
      <w:pPr>
        <w:spacing w:after="80"/>
      </w:pPr>
      <w:r>
        <w:rPr>
          <w:b/>
          <w:color w:val="1E2A28"/>
          <w:sz w:val="40"/>
        </w:rPr>
        <w:t>Netflix TV Show Dataset — Data Merging &amp; Cleaning Summary</w:t>
      </w:r>
    </w:p>
    <w:p>
      <w:pPr>
        <w:spacing w:after="320"/>
      </w:pPr>
      <w:r>
        <w:rPr>
          <w:i/>
          <w:color w:val="55635E"/>
          <w:sz w:val="21"/>
        </w:rPr>
        <w:t>How four separate data sources were combined into one clean, analysis-ready dataset.</w:t>
      </w:r>
    </w:p>
    <w:p>
      <w:pPr>
        <w:spacing w:before="320" w:after="120"/>
        <w:pBdr>
          <w:bottom w:val="single" w:sz="6" w:space="4" w:color="D8D8D8"/>
        </w:pBdr>
      </w:pPr>
      <w:r>
        <w:rPr>
          <w:b/>
          <w:color w:val="1F6E63"/>
          <w:sz w:val="27"/>
        </w:rPr>
        <w:t>Overview</w:t>
      </w:r>
    </w:p>
    <w:p>
      <w:pPr>
        <w:spacing w:after="160" w:line="283" w:lineRule="auto"/>
      </w:pPr>
      <w:r>
        <w:rPr>
          <w:i w:val="0"/>
          <w:color w:val="333333"/>
          <w:sz w:val="21"/>
        </w:rPr>
        <w:t>This project combines four separate data sources into a single table — one row per Netflix TV show — to support analysis of what predicts viewing hours: established audience popularity, rating quality, global availability, and historical catalog exclusivity. Getting there required matching titles across sources that share no common ID, aggregating season-level records up to the series level, and fixing several real data-quality problems discovered along the way.</w:t>
      </w:r>
    </w:p>
    <w:p>
      <w:pPr>
        <w:spacing w:before="320" w:after="120"/>
        <w:pBdr>
          <w:bottom w:val="single" w:sz="6" w:space="4" w:color="D8D8D8"/>
        </w:pBdr>
      </w:pPr>
      <w:r>
        <w:rPr>
          <w:b/>
          <w:color w:val="1F6E63"/>
          <w:sz w:val="27"/>
        </w:rPr>
        <w:t>Data Sources</w:t>
      </w:r>
    </w:p>
    <w:tbl>
      <w:tblPr>
        <w:tblStyle w:val="TableGrid"/>
        <w:tblW w:type="auto" w:w="0"/>
        <w:jc w:val="left"/>
        <w:tblLayout w:type="fixed"/>
        <w:tblLook w:firstColumn="1" w:firstRow="1" w:lastColumn="0" w:lastRow="0" w:noHBand="0" w:noVBand="1" w:val="04A0"/>
      </w:tblPr>
      <w:tblGrid>
        <w:gridCol w:w="3216"/>
        <w:gridCol w:w="3216"/>
        <w:gridCol w:w="3216"/>
      </w:tblGrid>
      <w:tr>
        <w:tc>
          <w:tcPr>
            <w:tcW w:type="dxa" w:w="2448"/>
            <w:shd w:val="clear" w:color="auto" w:fill="EDEFE9"/>
          </w:tcPr>
          <w:p>
            <w:r/>
            <w:r>
              <w:rPr>
                <w:b/>
                <w:color w:val="1E2A28"/>
                <w:sz w:val="19"/>
              </w:rPr>
              <w:t>Source</w:t>
            </w:r>
          </w:p>
        </w:tc>
        <w:tc>
          <w:tcPr>
            <w:tcW w:type="dxa" w:w="4320"/>
            <w:shd w:val="clear" w:color="auto" w:fill="EDEFE9"/>
          </w:tcPr>
          <w:p>
            <w:r/>
            <w:r>
              <w:rPr>
                <w:b/>
                <w:color w:val="1E2A28"/>
                <w:sz w:val="19"/>
              </w:rPr>
              <w:t>Content</w:t>
            </w:r>
          </w:p>
        </w:tc>
        <w:tc>
          <w:tcPr>
            <w:tcW w:type="dxa" w:w="2736"/>
            <w:shd w:val="clear" w:color="auto" w:fill="EDEFE9"/>
          </w:tcPr>
          <w:p>
            <w:r/>
            <w:r>
              <w:rPr>
                <w:b/>
                <w:color w:val="1E2A28"/>
                <w:sz w:val="19"/>
              </w:rPr>
              <w:t>Vintage</w:t>
            </w:r>
          </w:p>
        </w:tc>
      </w:tr>
      <w:tr>
        <w:tc>
          <w:tcPr>
            <w:tcW w:type="dxa" w:w="2448"/>
          </w:tcPr>
          <w:p>
            <w:r/>
            <w:r>
              <w:rPr>
                <w:sz w:val="19"/>
              </w:rPr>
              <w:t>Historical catalog (Kaggle)</w:t>
            </w:r>
          </w:p>
        </w:tc>
        <w:tc>
          <w:tcPr>
            <w:tcW w:type="dxa" w:w="4320"/>
          </w:tcPr>
          <w:p>
            <w:r/>
            <w:r>
              <w:rPr>
                <w:sz w:val="19"/>
              </w:rPr>
              <w:t>TV/movie titles across Netflix, Hulu, Prime Video, Disney+, with IMDb &amp; Rotten Tomatoes ratings, age rating, release year</w:t>
            </w:r>
          </w:p>
        </w:tc>
        <w:tc>
          <w:tcPr>
            <w:tcW w:type="dxa" w:w="2736"/>
          </w:tcPr>
          <w:p>
            <w:r/>
            <w:r>
              <w:rPr>
                <w:sz w:val="19"/>
              </w:rPr>
              <w:t>2021 snapshot (corrected — originally mislabeled 2020)</w:t>
            </w:r>
          </w:p>
        </w:tc>
      </w:tr>
      <w:tr>
        <w:tc>
          <w:tcPr>
            <w:tcW w:type="dxa" w:w="2448"/>
          </w:tcPr>
          <w:p>
            <w:r/>
            <w:r>
              <w:rPr>
                <w:sz w:val="19"/>
              </w:rPr>
              <w:t>IMDb rating-count snapshot (Kaggle)</w:t>
            </w:r>
          </w:p>
        </w:tc>
        <w:tc>
          <w:tcPr>
            <w:tcW w:type="dxa" w:w="4320"/>
          </w:tcPr>
          <w:p>
            <w:r/>
            <w:r>
              <w:rPr>
                <w:sz w:val="19"/>
              </w:rPr>
              <w:t>Vote counts per title, used as “established popularity”</w:t>
            </w:r>
          </w:p>
        </w:tc>
        <w:tc>
          <w:tcPr>
            <w:tcW w:type="dxa" w:w="2736"/>
          </w:tcPr>
          <w:p>
            <w:r/>
            <w:r>
              <w:rPr>
                <w:sz w:val="19"/>
              </w:rPr>
              <w:t>~June 2021</w:t>
            </w:r>
          </w:p>
        </w:tc>
      </w:tr>
      <w:tr>
        <w:tc>
          <w:tcPr>
            <w:tcW w:type="dxa" w:w="2448"/>
          </w:tcPr>
          <w:p>
            <w:r/>
            <w:r>
              <w:rPr>
                <w:sz w:val="19"/>
              </w:rPr>
              <w:t>IMDb official bulk data</w:t>
            </w:r>
          </w:p>
        </w:tc>
        <w:tc>
          <w:tcPr>
            <w:tcW w:type="dxa" w:w="4320"/>
          </w:tcPr>
          <w:p>
            <w:r/>
            <w:r>
              <w:rPr>
                <w:sz w:val="19"/>
              </w:rPr>
              <w:t>Current rating, current vote count, permanent title IDs</w:t>
            </w:r>
          </w:p>
        </w:tc>
        <w:tc>
          <w:tcPr>
            <w:tcW w:type="dxa" w:w="2736"/>
          </w:tcPr>
          <w:p>
            <w:r/>
            <w:r>
              <w:rPr>
                <w:sz w:val="19"/>
              </w:rPr>
              <w:t>Current</w:t>
            </w:r>
          </w:p>
        </w:tc>
      </w:tr>
      <w:tr>
        <w:tc>
          <w:tcPr>
            <w:tcW w:type="dxa" w:w="2448"/>
          </w:tcPr>
          <w:p>
            <w:r/>
            <w:r>
              <w:rPr>
                <w:sz w:val="19"/>
              </w:rPr>
              <w:t>Netflix engagement reports</w:t>
            </w:r>
          </w:p>
        </w:tc>
        <w:tc>
          <w:tcPr>
            <w:tcW w:type="dxa" w:w="4320"/>
          </w:tcPr>
          <w:p>
            <w:r/>
            <w:r>
              <w:rPr>
                <w:sz w:val="19"/>
              </w:rPr>
              <w:t>Official viewing hours, global availability</w:t>
            </w:r>
          </w:p>
        </w:tc>
        <w:tc>
          <w:tcPr>
            <w:tcW w:type="dxa" w:w="2736"/>
          </w:tcPr>
          <w:p>
            <w:r/>
            <w:r>
              <w:rPr>
                <w:sz w:val="19"/>
              </w:rPr>
              <w:t>Jan–Jun 2023 + Jul–Dec 2023</w:t>
            </w:r>
          </w:p>
        </w:tc>
      </w:tr>
    </w:tbl>
    <w:p>
      <w:pPr>
        <w:spacing w:after="40"/>
      </w:pPr>
    </w:p>
    <w:p>
      <w:pPr>
        <w:spacing w:before="320" w:after="120"/>
        <w:pBdr>
          <w:bottom w:val="single" w:sz="6" w:space="4" w:color="D8D8D8"/>
        </w:pBdr>
      </w:pPr>
      <w:r>
        <w:rPr>
          <w:b/>
          <w:color w:val="1F6E63"/>
          <w:sz w:val="27"/>
        </w:rPr>
        <w:t>Matching &amp; Merging Process</w:t>
      </w:r>
    </w:p>
    <w:p>
      <w:pPr>
        <w:pStyle w:val="ListBullet"/>
        <w:spacing w:after="100" w:line="276" w:lineRule="auto"/>
      </w:pPr>
      <w:r>
        <w:rPr>
          <w:b/>
          <w:sz w:val="21"/>
        </w:rPr>
        <w:t xml:space="preserve">Match catalog titles to IMDb. </w:t>
      </w:r>
      <w:r>
        <w:rPr>
          <w:sz w:val="21"/>
        </w:rPr>
        <w:t>Tiered title + release-year matching (exact match first, then narrower fallback rules), accepting a match only when it resolves to exactly one candidate — an ambiguous match is left blank rather than guessed.</w:t>
      </w:r>
    </w:p>
    <w:p>
      <w:pPr>
        <w:pStyle w:val="ListBullet"/>
        <w:spacing w:after="100" w:line="276" w:lineRule="auto"/>
      </w:pPr>
      <w:r>
        <w:rPr>
          <w:b/>
          <w:sz w:val="21"/>
        </w:rPr>
        <w:t xml:space="preserve">Reuse the permanent IMDb ID for a second time point. </w:t>
      </w:r>
      <w:r>
        <w:rPr>
          <w:sz w:val="21"/>
        </w:rPr>
        <w:t>Each match carries IMDb’s permanent title ID, which never changes over time. That ID was then used to look up the same title’s vote count both today and in a 2021 snapshot — no need to re-match by name a second time.</w:t>
      </w:r>
    </w:p>
    <w:p>
      <w:pPr>
        <w:pStyle w:val="ListBullet"/>
        <w:spacing w:after="100" w:line="276" w:lineRule="auto"/>
      </w:pPr>
      <w:r>
        <w:rPr>
          <w:b/>
          <w:sz w:val="21"/>
        </w:rPr>
        <w:t xml:space="preserve">Aggregate Netflix’s viewing data to series level. </w:t>
      </w:r>
      <w:r>
        <w:rPr>
          <w:sz w:val="21"/>
        </w:rPr>
        <w:t>Season- and half-year-level report rows were summed into one row per series (e.g., 12 seasons × 2 half-year reports = 24 rows correctly combined into one series total).</w:t>
      </w:r>
    </w:p>
    <w:p>
      <w:pPr>
        <w:pStyle w:val="ListBullet"/>
        <w:spacing w:after="100" w:line="276" w:lineRule="auto"/>
      </w:pPr>
      <w:r>
        <w:rPr>
          <w:b/>
          <w:sz w:val="21"/>
        </w:rPr>
        <w:t xml:space="preserve">Match Netflix titles to the catalog. </w:t>
      </w:r>
      <w:r>
        <w:rPr>
          <w:sz w:val="21"/>
        </w:rPr>
        <w:t>The one join that could not use a permanent ID, since Netflix’s own report has no ID system — matched on cleaned title text, with a disambiguation rule for titles with more than one candidate.</w:t>
      </w:r>
    </w:p>
    <w:p>
      <w:pPr>
        <w:pStyle w:val="ListBullet"/>
        <w:spacing w:after="100" w:line="276" w:lineRule="auto"/>
      </w:pPr>
      <w:r>
        <w:rPr>
          <w:b/>
          <w:sz w:val="21"/>
        </w:rPr>
        <w:t xml:space="preserve">Combine into one final table. </w:t>
      </w:r>
      <w:r>
        <w:rPr>
          <w:sz w:val="21"/>
        </w:rPr>
        <w:t>Catalog + IMDb popularity + Netflix viewing data merged into a single table, one row per matched title.</w:t>
      </w:r>
    </w:p>
    <w:p>
      <w:pPr>
        <w:spacing w:before="320" w:after="120"/>
        <w:pBdr>
          <w:bottom w:val="single" w:sz="6" w:space="4" w:color="D8D8D8"/>
        </w:pBdr>
      </w:pPr>
      <w:r>
        <w:rPr>
          <w:b/>
          <w:color w:val="1F6E63"/>
          <w:sz w:val="27"/>
        </w:rPr>
        <w:t>Data Quality Issues Found &amp; Fixed</w:t>
      </w:r>
    </w:p>
    <w:p>
      <w:pPr>
        <w:spacing w:after="160" w:line="283" w:lineRule="auto"/>
      </w:pPr>
      <w:r>
        <w:rPr>
          <w:i/>
          <w:color w:val="55635E"/>
          <w:sz w:val="21"/>
        </w:rPr>
        <w:t>Several real problems surfaced during review rather than being assumed away:</w:t>
      </w:r>
    </w:p>
    <w:p>
      <w:pPr>
        <w:pStyle w:val="ListBullet"/>
        <w:spacing w:after="100" w:line="276" w:lineRule="auto"/>
      </w:pPr>
      <w:r>
        <w:rPr>
          <w:b/>
          <w:sz w:val="21"/>
        </w:rPr>
        <w:t xml:space="preserve">Dataset mislabeled by two years. </w:t>
      </w:r>
      <w:r>
        <w:rPr>
          <w:sz w:val="21"/>
        </w:rPr>
        <w:t>The catalog was assumed to be a 2020 snapshot; its own content and Kaggle’s metadata confirmed it was actually from 2021.</w:t>
      </w:r>
    </w:p>
    <w:p>
      <w:pPr>
        <w:pStyle w:val="ListBullet"/>
        <w:spacing w:after="100" w:line="276" w:lineRule="auto"/>
      </w:pPr>
      <w:r>
        <w:rPr>
          <w:b/>
          <w:sz w:val="21"/>
        </w:rPr>
        <w:t xml:space="preserve">The “TV Shows” catalog isn’t purely TV. </w:t>
      </w:r>
      <w:r>
        <w:rPr>
          <w:sz w:val="21"/>
        </w:rPr>
        <w:t>Cross-checking every title against IMDb’s own classification found movies, shorts, and specials mixed in. These are now labeled by type rather than silently miscounted as TV shows.</w:t>
      </w:r>
    </w:p>
    <w:p>
      <w:pPr>
        <w:pStyle w:val="ListBullet"/>
        <w:spacing w:after="100" w:line="276" w:lineRule="auto"/>
      </w:pPr>
      <w:r>
        <w:rPr>
          <w:b/>
          <w:sz w:val="21"/>
        </w:rPr>
        <w:t xml:space="preserve">Inconsistent capitalization split some shows in two. </w:t>
      </w:r>
      <w:r>
        <w:rPr>
          <w:sz w:val="21"/>
        </w:rPr>
        <w:t>Netflix’s report capitalized the same show differently between its two halves (e.g. “A Boyfriend For My Wife” vs. “A boyfriend for my wife”), which was splitting one show’s hours across two rows. Fixed by grouping on a case-insensitive key.</w:t>
      </w:r>
    </w:p>
    <w:p>
      <w:pPr>
        <w:pStyle w:val="ListBullet"/>
        <w:spacing w:after="100" w:line="276" w:lineRule="auto"/>
      </w:pPr>
      <w:r>
        <w:rPr>
          <w:b/>
          <w:sz w:val="21"/>
        </w:rPr>
        <w:t xml:space="preserve">Unrelated content sharing a franchise name was merged together. </w:t>
      </w:r>
      <w:r>
        <w:rPr>
          <w:sz w:val="21"/>
        </w:rPr>
        <w:t>Stripping season labels to group a show’s seasons could also merge in an unrelated movie or a same-named foreign franchise sharing that name (e.g. the Death Note anime vs. an unrelated Death Note movie; a Korean vs. a Japanese show both called “Kingdom”). Fixed by grouping on season-label presence and detected script/language together, so unrelated content splits apart instead of merging.</w:t>
      </w:r>
    </w:p>
    <w:p>
      <w:pPr>
        <w:pStyle w:val="ListBullet"/>
        <w:spacing w:after="100" w:line="276" w:lineRule="auto"/>
      </w:pPr>
      <w:r>
        <w:rPr>
          <w:b/>
          <w:sz w:val="21"/>
        </w:rPr>
        <w:t xml:space="preserve">A duplicate-ID check caught a subtler matching bug. </w:t>
      </w:r>
      <w:r>
        <w:rPr>
          <w:sz w:val="21"/>
        </w:rPr>
        <w:t>Checking for the same IMDb ID matched to two different titles found that a title-shortening shortcut could occasionally reduce two different titles down to the same generic word (e.g. two different specials both reduced to just “True,” coincidentally matching an unrelated short film). That shortcut was removed; zero duplicate IDs remain in the final data.</w:t>
      </w:r>
    </w:p>
    <w:p>
      <w:pPr>
        <w:spacing w:before="320" w:after="120"/>
        <w:pBdr>
          <w:bottom w:val="single" w:sz="6" w:space="4" w:color="D8D8D8"/>
        </w:pBdr>
      </w:pPr>
      <w:r>
        <w:rPr>
          <w:b/>
          <w:color w:val="1F6E63"/>
          <w:sz w:val="27"/>
        </w:rPr>
        <w:t>Final Analysis-Ready Dataset</w:t>
      </w:r>
    </w:p>
    <w:p>
      <w:pPr>
        <w:spacing w:after="160" w:line="283" w:lineRule="auto"/>
      </w:pPr>
      <w:r>
        <w:rPr>
          <w:i w:val="0"/>
          <w:color w:val="333333"/>
          <w:sz w:val="21"/>
        </w:rPr>
        <w:t>netflix_analysis_ready.csv — 1,250 rows, one per matched Netflix TV series (filtered to real TV series/mini-series only). A broader companion file, netflix_research_dataset.csv, keeps every matched category (including movies and shorts) labeled rather than dropped, for reference.</w:t>
      </w:r>
    </w:p>
    <w:tbl>
      <w:tblPr>
        <w:tblStyle w:val="TableGrid"/>
        <w:tblW w:type="auto" w:w="0"/>
        <w:jc w:val="left"/>
        <w:tblLayout w:type="fixed"/>
        <w:tblLook w:firstColumn="1" w:firstRow="1" w:lastColumn="0" w:lastRow="0" w:noHBand="0" w:noVBand="1" w:val="04A0"/>
      </w:tblPr>
      <w:tblGrid>
        <w:gridCol w:w="3216"/>
        <w:gridCol w:w="3216"/>
        <w:gridCol w:w="3216"/>
      </w:tblGrid>
      <w:tr>
        <w:tc>
          <w:tcPr>
            <w:tcW w:type="dxa" w:w="2736"/>
            <w:shd w:val="clear" w:color="auto" w:fill="EDEFE9"/>
          </w:tcPr>
          <w:p>
            <w:r/>
            <w:r>
              <w:rPr>
                <w:b/>
                <w:color w:val="1E2A28"/>
                <w:sz w:val="19"/>
              </w:rPr>
              <w:t>Concept</w:t>
            </w:r>
          </w:p>
        </w:tc>
        <w:tc>
          <w:tcPr>
            <w:tcW w:type="dxa" w:w="3744"/>
            <w:shd w:val="clear" w:color="auto" w:fill="EDEFE9"/>
          </w:tcPr>
          <w:p>
            <w:r/>
            <w:r>
              <w:rPr>
                <w:b/>
                <w:color w:val="1E2A28"/>
                <w:sz w:val="19"/>
              </w:rPr>
              <w:t>Column(s)</w:t>
            </w:r>
          </w:p>
        </w:tc>
        <w:tc>
          <w:tcPr>
            <w:tcW w:type="dxa" w:w="3024"/>
            <w:shd w:val="clear" w:color="auto" w:fill="EDEFE9"/>
          </w:tcPr>
          <w:p>
            <w:r/>
            <w:r>
              <w:rPr>
                <w:b/>
                <w:color w:val="1E2A28"/>
                <w:sz w:val="19"/>
              </w:rPr>
              <w:t>Notes</w:t>
            </w:r>
          </w:p>
        </w:tc>
      </w:tr>
      <w:tr>
        <w:tc>
          <w:tcPr>
            <w:tcW w:type="dxa" w:w="2736"/>
          </w:tcPr>
          <w:p>
            <w:r/>
            <w:r>
              <w:rPr>
                <w:sz w:val="19"/>
              </w:rPr>
              <w:t>Viewing hours (outcome)</w:t>
            </w:r>
          </w:p>
        </w:tc>
        <w:tc>
          <w:tcPr>
            <w:tcW w:type="dxa" w:w="3744"/>
          </w:tcPr>
          <w:p>
            <w:r/>
            <w:r>
              <w:rPr>
                <w:sz w:val="19"/>
              </w:rPr>
              <w:t>hours_viewed_2023, log_hours_viewed_2023</w:t>
            </w:r>
          </w:p>
        </w:tc>
        <w:tc>
          <w:tcPr>
            <w:tcW w:type="dxa" w:w="3024"/>
          </w:tcPr>
          <w:p>
            <w:r/>
            <w:r>
              <w:rPr>
                <w:sz w:val="19"/>
              </w:rPr>
              <w:t>Right-skewed — use the log version for modeling</w:t>
            </w:r>
          </w:p>
        </w:tc>
      </w:tr>
      <w:tr>
        <w:tc>
          <w:tcPr>
            <w:tcW w:type="dxa" w:w="2736"/>
          </w:tcPr>
          <w:p>
            <w:r/>
            <w:r>
              <w:rPr>
                <w:sz w:val="19"/>
              </w:rPr>
              <w:t>Established popularity</w:t>
            </w:r>
          </w:p>
        </w:tc>
        <w:tc>
          <w:tcPr>
            <w:tcW w:type="dxa" w:w="3744"/>
          </w:tcPr>
          <w:p>
            <w:r/>
            <w:r>
              <w:rPr>
                <w:sz w:val="19"/>
              </w:rPr>
              <w:t>imdb_ratecount_2021, log_imdb_ratecount_2021</w:t>
            </w:r>
          </w:p>
        </w:tc>
        <w:tc>
          <w:tcPr>
            <w:tcW w:type="dxa" w:w="3024"/>
          </w:tcPr>
          <w:p>
            <w:r/>
            <w:r>
              <w:rPr>
                <w:sz w:val="19"/>
              </w:rPr>
              <w:t>Dated before the 2023 viewing window, to avoid leakage</w:t>
            </w:r>
          </w:p>
        </w:tc>
      </w:tr>
      <w:tr>
        <w:tc>
          <w:tcPr>
            <w:tcW w:type="dxa" w:w="2736"/>
          </w:tcPr>
          <w:p>
            <w:r/>
            <w:r>
              <w:rPr>
                <w:sz w:val="19"/>
              </w:rPr>
              <w:t>Rating quality</w:t>
            </w:r>
          </w:p>
        </w:tc>
        <w:tc>
          <w:tcPr>
            <w:tcW w:type="dxa" w:w="3744"/>
          </w:tcPr>
          <w:p>
            <w:r/>
            <w:r>
              <w:rPr>
                <w:sz w:val="19"/>
              </w:rPr>
              <w:t>imdb_rating_catalog_2021, rotten_tomatoes_numeric</w:t>
            </w:r>
          </w:p>
        </w:tc>
        <w:tc>
          <w:tcPr>
            <w:tcW w:type="dxa" w:w="3024"/>
          </w:tcPr>
          <w:p>
            <w:r/>
            <w:r>
              <w:rPr>
                <w:sz w:val="19"/>
              </w:rPr>
              <w:t>15 rows missing IMDb rating — exclude only from models needing it</w:t>
            </w:r>
          </w:p>
        </w:tc>
      </w:tr>
      <w:tr>
        <w:tc>
          <w:tcPr>
            <w:tcW w:type="dxa" w:w="2736"/>
          </w:tcPr>
          <w:p>
            <w:r/>
            <w:r>
              <w:rPr>
                <w:sz w:val="19"/>
              </w:rPr>
              <w:t>Global availability</w:t>
            </w:r>
          </w:p>
        </w:tc>
        <w:tc>
          <w:tcPr>
            <w:tcW w:type="dxa" w:w="3744"/>
          </w:tcPr>
          <w:p>
            <w:r/>
            <w:r>
              <w:rPr>
                <w:sz w:val="19"/>
              </w:rPr>
              <w:t>available_globally_ever, available_globally_always</w:t>
            </w:r>
          </w:p>
        </w:tc>
        <w:tc>
          <w:tcPr>
            <w:tcW w:type="dxa" w:w="3024"/>
          </w:tcPr>
          <w:p>
            <w:r/>
            <w:r>
              <w:rPr>
                <w:sz w:val="19"/>
              </w:rPr>
              <w:t>Two distinct definitions</w:t>
            </w:r>
          </w:p>
        </w:tc>
      </w:tr>
      <w:tr>
        <w:tc>
          <w:tcPr>
            <w:tcW w:type="dxa" w:w="2736"/>
          </w:tcPr>
          <w:p>
            <w:r/>
            <w:r>
              <w:rPr>
                <w:sz w:val="19"/>
              </w:rPr>
              <w:t>Historical differentiation</w:t>
            </w:r>
          </w:p>
        </w:tc>
        <w:tc>
          <w:tcPr>
            <w:tcW w:type="dxa" w:w="3744"/>
          </w:tcPr>
          <w:p>
            <w:r/>
            <w:r>
              <w:rPr>
                <w:sz w:val="19"/>
              </w:rPr>
              <w:t>exclusive, n_platforms</w:t>
            </w:r>
          </w:p>
        </w:tc>
        <w:tc>
          <w:tcPr>
            <w:tcW w:type="dxa" w:w="3024"/>
          </w:tcPr>
          <w:p>
            <w:r/>
            <w:r>
              <w:rPr>
                <w:sz w:val="19"/>
              </w:rPr>
              <w:t>From the 2021 catalog snapshot</w:t>
            </w:r>
          </w:p>
        </w:tc>
      </w:tr>
      <w:tr>
        <w:tc>
          <w:tcPr>
            <w:tcW w:type="dxa" w:w="2736"/>
          </w:tcPr>
          <w:p>
            <w:r/>
            <w:r>
              <w:rPr>
                <w:sz w:val="19"/>
              </w:rPr>
              <w:t>Per-platform detail</w:t>
            </w:r>
          </w:p>
        </w:tc>
        <w:tc>
          <w:tcPr>
            <w:tcW w:type="dxa" w:w="3744"/>
          </w:tcPr>
          <w:p>
            <w:r/>
            <w:r>
              <w:rPr>
                <w:sz w:val="19"/>
              </w:rPr>
              <w:t>hulu, prime_video, disney_plus</w:t>
            </w:r>
          </w:p>
        </w:tc>
        <w:tc>
          <w:tcPr>
            <w:tcW w:type="dxa" w:w="3024"/>
          </w:tcPr>
          <w:p>
            <w:r/>
            <w:r>
              <w:rPr>
                <w:sz w:val="19"/>
              </w:rPr>
              <w:t>1/0 flags</w:t>
            </w:r>
          </w:p>
        </w:tc>
      </w:tr>
      <w:tr>
        <w:tc>
          <w:tcPr>
            <w:tcW w:type="dxa" w:w="2736"/>
          </w:tcPr>
          <w:p>
            <w:r/>
            <w:r>
              <w:rPr>
                <w:sz w:val="19"/>
              </w:rPr>
              <w:t>Age rating</w:t>
            </w:r>
          </w:p>
        </w:tc>
        <w:tc>
          <w:tcPr>
            <w:tcW w:type="dxa" w:w="3744"/>
          </w:tcPr>
          <w:p>
            <w:r/>
            <w:r>
              <w:rPr>
                <w:sz w:val="19"/>
              </w:rPr>
              <w:t>age</w:t>
            </w:r>
          </w:p>
        </w:tc>
        <w:tc>
          <w:tcPr>
            <w:tcW w:type="dxa" w:w="3024"/>
          </w:tcPr>
          <w:p>
            <w:r/>
            <w:r>
              <w:rPr>
                <w:sz w:val="19"/>
              </w:rPr>
              <w:t>Missing values kept as their own “Unknown” category</w:t>
            </w:r>
          </w:p>
        </w:tc>
      </w:tr>
      <w:tr>
        <w:tc>
          <w:tcPr>
            <w:tcW w:type="dxa" w:w="2736"/>
          </w:tcPr>
          <w:p>
            <w:r/>
            <w:r>
              <w:rPr>
                <w:sz w:val="19"/>
              </w:rPr>
              <w:t>Release timing</w:t>
            </w:r>
          </w:p>
        </w:tc>
        <w:tc>
          <w:tcPr>
            <w:tcW w:type="dxa" w:w="3744"/>
          </w:tcPr>
          <w:p>
            <w:r/>
            <w:r>
              <w:rPr>
                <w:sz w:val="19"/>
              </w:rPr>
              <w:t>year</w:t>
            </w:r>
          </w:p>
        </w:tc>
        <w:tc>
          <w:tcPr>
            <w:tcW w:type="dxa" w:w="3024"/>
          </w:tcPr>
          <w:p>
            <w:r/>
            <w:r>
              <w:rPr>
                <w:sz w:val="19"/>
              </w:rPr>
              <w:t>Preferred over release_date_earliest, which is missing for ~328 rows</w:t>
            </w:r>
          </w:p>
        </w:tc>
      </w:tr>
    </w:tbl>
    <w:p>
      <w:pPr>
        <w:spacing w:after="40"/>
      </w:pPr>
    </w:p>
    <w:p>
      <w:pPr>
        <w:spacing w:before="200"/>
        <w:pBdr>
          <w:top w:val="single" w:sz="6" w:space="6" w:color="D8D8D8"/>
        </w:pBdr>
      </w:pPr>
      <w:r>
        <w:rPr>
          <w:i/>
          <w:color w:val="7C8983"/>
          <w:sz w:val="18"/>
        </w:rPr>
        <w:t>Full step-by-step detail, including every script and diagnostic check, is documented in project_notes.md.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