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8BAE6" w14:textId="77777777" w:rsidR="00250653" w:rsidRDefault="004A372A">
      <w:r>
        <w:t>Homepage &gt; Timeline</w:t>
      </w:r>
    </w:p>
    <w:p w14:paraId="03A6B7DD" w14:textId="77777777" w:rsidR="004A372A" w:rsidRDefault="004A372A" w:rsidP="004A372A">
      <w:pPr>
        <w:pStyle w:val="Heading1"/>
      </w:pPr>
      <w:r>
        <w:t>Page Title (H1): Timeline</w:t>
      </w:r>
    </w:p>
    <w:p w14:paraId="2DE85681" w14:textId="77777777" w:rsidR="004A372A" w:rsidRDefault="004A372A">
      <w:pP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  <w:t>This projected timeline will most likely require changes as capabilities and needs are reassessed. Objectives are listed in their general sequence.</w:t>
      </w:r>
    </w:p>
    <w:p w14:paraId="454B55B3" w14:textId="77777777" w:rsidR="004A372A" w:rsidRDefault="004A372A">
      <w:pPr>
        <w:rPr>
          <w:rStyle w:val="Emphasis"/>
          <w:rFonts w:ascii="Arial" w:hAnsi="Arial" w:cs="Arial"/>
          <w:color w:val="333333"/>
          <w:sz w:val="18"/>
          <w:szCs w:val="18"/>
          <w:bdr w:val="none" w:sz="0" w:space="0" w:color="auto" w:frame="1"/>
          <w:shd w:val="clear" w:color="auto" w:fill="FFFFFF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635"/>
      </w:tblGrid>
      <w:tr w:rsidR="004A372A" w:rsidRPr="004A372A" w14:paraId="316ACD04" w14:textId="77777777" w:rsidTr="004A372A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782F40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76238EC3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t>Term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782F40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4D28CDC5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bdr w:val="none" w:sz="0" w:space="0" w:color="auto" w:frame="1"/>
              </w:rPr>
              <w:t>Objectives</w:t>
            </w:r>
          </w:p>
        </w:tc>
      </w:tr>
      <w:tr w:rsidR="004A372A" w:rsidRPr="004A372A" w14:paraId="2B2D59A1" w14:textId="77777777" w:rsidTr="004A372A">
        <w:trPr>
          <w:trHeight w:val="135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947F31C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Spring 2017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08465F27" w14:textId="77777777" w:rsidR="004A372A" w:rsidRPr="004A372A" w:rsidRDefault="004A372A" w:rsidP="004A372A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Develop custom apps and processes (e.g., automatic enrollments, </w:t>
            </w:r>
            <w:proofErr w:type="spellStart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cohorting</w:t>
            </w:r>
            <w:proofErr w:type="spellEnd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Grade Transfer Tool, Course/Development Site Request Tool)</w:t>
            </w:r>
          </w:p>
          <w:p w14:paraId="0EBD16D0" w14:textId="77777777" w:rsidR="004A372A" w:rsidRPr="004A372A" w:rsidRDefault="004A372A" w:rsidP="004A372A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Set up third-party app integrations (e.g., </w:t>
            </w:r>
            <w:proofErr w:type="spellStart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Turnitin</w:t>
            </w:r>
            <w:proofErr w:type="spellEnd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Kaltura</w:t>
            </w:r>
            <w:proofErr w:type="spellEnd"/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, Bb Collaborate)</w:t>
            </w:r>
          </w:p>
          <w:p w14:paraId="0720F385" w14:textId="77777777" w:rsidR="004A372A" w:rsidRPr="004A372A" w:rsidRDefault="004A372A" w:rsidP="004A372A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Release Canvas "Sandbox" environment to faculty and staff</w:t>
            </w: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</w:t>
            </w:r>
            <w:hyperlink r:id="rId5" w:tgtFrame="_blank" w:history="1">
              <w:r w:rsidRPr="004A372A">
                <w:rPr>
                  <w:rFonts w:ascii="Arial" w:eastAsia="Times New Roman" w:hAnsi="Arial" w:cs="Arial"/>
                  <w:color w:val="990000"/>
                  <w:sz w:val="18"/>
                  <w:szCs w:val="18"/>
                  <w:bdr w:val="none" w:sz="0" w:space="0" w:color="auto" w:frame="1"/>
                </w:rPr>
                <w:t>(sign up now!)</w:t>
              </w:r>
            </w:hyperlink>
          </w:p>
          <w:p w14:paraId="162AF383" w14:textId="77777777" w:rsidR="004A372A" w:rsidRPr="004A372A" w:rsidRDefault="004A372A" w:rsidP="004A372A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Prepare instructor training sessions; prepare end-user resources</w:t>
            </w:r>
          </w:p>
          <w:p w14:paraId="08CC92EE" w14:textId="77777777" w:rsidR="004A372A" w:rsidRPr="004A372A" w:rsidRDefault="004A372A" w:rsidP="004A372A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Prepare early adopters for Canvas Pilot</w:t>
            </w:r>
          </w:p>
        </w:tc>
      </w:tr>
      <w:tr w:rsidR="004A372A" w:rsidRPr="004A372A" w14:paraId="32E9D12F" w14:textId="77777777" w:rsidTr="004A372A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3EDE1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5D42C91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Summer 2017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3EDE1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37BE5732" w14:textId="77777777" w:rsidR="004A372A" w:rsidRPr="004A372A" w:rsidRDefault="004A372A" w:rsidP="004A372A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Organize large Canvas demo event</w:t>
            </w:r>
          </w:p>
          <w:p w14:paraId="1C23EC90" w14:textId="77777777" w:rsidR="004A372A" w:rsidRPr="004A372A" w:rsidRDefault="004A372A" w:rsidP="004A372A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Run Canvas Pilot for select courses and instructors</w:t>
            </w:r>
          </w:p>
          <w:p w14:paraId="29370A29" w14:textId="77777777" w:rsidR="004A372A" w:rsidRPr="004A372A" w:rsidRDefault="004A372A" w:rsidP="004A372A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Provide training opportunities and one-on-one consultations</w:t>
            </w: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with Instructional Development staff and Technical Support staff</w:t>
            </w:r>
          </w:p>
          <w:p w14:paraId="3F8D8310" w14:textId="77777777" w:rsidR="004A372A" w:rsidRPr="004A372A" w:rsidRDefault="004A372A" w:rsidP="004A372A">
            <w:pPr>
              <w:numPr>
                <w:ilvl w:val="0"/>
                <w:numId w:val="2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Finalize configurations, custom apps, processes and integrations</w:t>
            </w:r>
          </w:p>
        </w:tc>
      </w:tr>
      <w:tr w:rsidR="004A372A" w:rsidRPr="004A372A" w14:paraId="60D33D70" w14:textId="77777777" w:rsidTr="004A372A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F0ABFC8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Fall 2017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6A6C2EF9" w14:textId="77777777" w:rsidR="004A372A" w:rsidRPr="004A372A" w:rsidRDefault="004A372A" w:rsidP="004A372A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Release official Canvas environment to all faculty, staff, and students</w:t>
            </w: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for optional use in Fall (open beta) and for development of Spring 2018 courses</w:t>
            </w:r>
          </w:p>
          <w:p w14:paraId="5353060F" w14:textId="77777777" w:rsidR="004A372A" w:rsidRPr="004A372A" w:rsidRDefault="004A372A" w:rsidP="004A372A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Continue providing training opportunities and one-on-one consultations</w:t>
            </w:r>
          </w:p>
          <w:p w14:paraId="331C541A" w14:textId="77777777" w:rsidR="004A372A" w:rsidRPr="004A372A" w:rsidRDefault="004A372A" w:rsidP="004A372A">
            <w:pPr>
              <w:numPr>
                <w:ilvl w:val="0"/>
                <w:numId w:val="3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Organize one or two large Canvas training events</w:t>
            </w:r>
          </w:p>
        </w:tc>
      </w:tr>
      <w:tr w:rsidR="004A372A" w:rsidRPr="004A372A" w14:paraId="26C92436" w14:textId="77777777" w:rsidTr="004A372A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3EDE1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22E8E348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Spring 2018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3EDE1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B6402B8" w14:textId="77777777" w:rsidR="004A372A" w:rsidRPr="004A372A" w:rsidRDefault="004A372A" w:rsidP="004A372A">
            <w:pPr>
              <w:numPr>
                <w:ilvl w:val="0"/>
                <w:numId w:val="4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All active courses are now taught in Canvas</w:t>
            </w: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 (except College of Medicine’s yearlong courses)</w:t>
            </w:r>
          </w:p>
        </w:tc>
      </w:tr>
      <w:tr w:rsidR="004A372A" w:rsidRPr="004A372A" w14:paraId="73C18964" w14:textId="77777777" w:rsidTr="004A372A"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0D7EFD84" w14:textId="77777777" w:rsidR="004A372A" w:rsidRPr="004A372A" w:rsidRDefault="004A372A" w:rsidP="004A372A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Summer 2018</w:t>
            </w:r>
          </w:p>
        </w:tc>
        <w:tc>
          <w:tcPr>
            <w:tcW w:w="76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14:paraId="5BD078E2" w14:textId="77777777" w:rsidR="004A372A" w:rsidRPr="004A372A" w:rsidRDefault="004A372A" w:rsidP="004A372A">
            <w:pPr>
              <w:numPr>
                <w:ilvl w:val="0"/>
                <w:numId w:val="5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bdr w:val="none" w:sz="0" w:space="0" w:color="auto" w:frame="1"/>
              </w:rPr>
              <w:t>FSU Blackboard system closes on July 1, 2018</w:t>
            </w:r>
          </w:p>
          <w:p w14:paraId="67BA5E53" w14:textId="77777777" w:rsidR="004A372A" w:rsidRPr="004A372A" w:rsidRDefault="004A372A" w:rsidP="004A372A">
            <w:pPr>
              <w:numPr>
                <w:ilvl w:val="0"/>
                <w:numId w:val="5"/>
              </w:numPr>
              <w:spacing w:after="0" w:line="240" w:lineRule="auto"/>
              <w:ind w:left="450"/>
              <w:textAlignment w:val="baseline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4A372A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College of Medicine transitions to Canvas</w:t>
            </w:r>
          </w:p>
        </w:tc>
      </w:tr>
    </w:tbl>
    <w:p w14:paraId="62C0A91A" w14:textId="77777777" w:rsidR="004A372A" w:rsidRDefault="004A372A" w:rsidP="004A372A">
      <w:pPr>
        <w:shd w:val="clear" w:color="auto" w:fill="FFFFFF"/>
        <w:spacing w:after="0" w:line="312" w:lineRule="atLeast"/>
        <w:ind w:left="-72"/>
        <w:textAlignment w:val="baseline"/>
        <w:outlineLvl w:val="1"/>
        <w:rPr>
          <w:rFonts w:ascii="Arial" w:eastAsia="Times New Roman" w:hAnsi="Arial" w:cs="Arial"/>
          <w:color w:val="800000"/>
          <w:sz w:val="29"/>
          <w:szCs w:val="29"/>
          <w:bdr w:val="none" w:sz="0" w:space="0" w:color="auto" w:frame="1"/>
        </w:rPr>
      </w:pPr>
    </w:p>
    <w:p w14:paraId="14243A51" w14:textId="77777777" w:rsidR="00B56E33" w:rsidRPr="00960312" w:rsidRDefault="00B56E33" w:rsidP="00960312">
      <w:pPr>
        <w:pStyle w:val="Heading2"/>
        <w:rPr>
          <w:rStyle w:val="Emphasis"/>
          <w:b w:val="0"/>
          <w:i w:val="0"/>
          <w:iCs w:val="0"/>
        </w:rPr>
      </w:pPr>
      <w:r w:rsidRPr="00960312">
        <w:rPr>
          <w:rStyle w:val="Emphasis"/>
          <w:b w:val="0"/>
          <w:i w:val="0"/>
          <w:iCs w:val="0"/>
        </w:rPr>
        <w:t>Section heading (H2): Course Migration</w:t>
      </w:r>
    </w:p>
    <w:p w14:paraId="4CDDF02B" w14:textId="77777777" w:rsidR="00B56E33" w:rsidRPr="004A372A" w:rsidRDefault="00B56E33" w:rsidP="00B56E33">
      <w:pPr>
        <w:rPr>
          <w:rStyle w:val="Emphasis"/>
          <w:i w:val="0"/>
          <w:iCs w:val="0"/>
        </w:rPr>
      </w:pPr>
      <w:r w:rsidRPr="00B56E33">
        <w:rPr>
          <w:rStyle w:val="Emphasis"/>
          <w:b/>
          <w:i w:val="0"/>
          <w:iCs w:val="0"/>
        </w:rPr>
        <w:t xml:space="preserve">We recommend that you begin </w:t>
      </w:r>
      <w:r w:rsidR="0026002D">
        <w:rPr>
          <w:rStyle w:val="Emphasis"/>
          <w:b/>
          <w:i w:val="0"/>
          <w:iCs w:val="0"/>
        </w:rPr>
        <w:t xml:space="preserve">corralling all course files and resources you are currently using in Blackboard as soon as possible </w:t>
      </w:r>
      <w:r>
        <w:rPr>
          <w:rStyle w:val="Emphasis"/>
          <w:i w:val="0"/>
          <w:iCs w:val="0"/>
        </w:rPr>
        <w:t>and storing them in folders on your computer</w:t>
      </w:r>
      <w:r w:rsidR="0026002D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or a zip drive in preparation for migrating your materials over to Canvas.</w:t>
      </w:r>
    </w:p>
    <w:p w14:paraId="79538B0B" w14:textId="77777777" w:rsidR="00B56E33" w:rsidRPr="00B56E33" w:rsidRDefault="00B56E33" w:rsidP="00B56E33">
      <w:r w:rsidRPr="00B56E33">
        <w:t>Unfortunately, we have not found a way to consistently or easily migrate Blackboard course site content into Canvas. On the few occasions that we have been able to move content over, it has come over in a format that is un-e</w:t>
      </w:r>
      <w:bookmarkStart w:id="0" w:name="_GoBack"/>
      <w:bookmarkEnd w:id="0"/>
      <w:r w:rsidRPr="00B56E33">
        <w:t>ditable or has had other problems.</w:t>
      </w:r>
      <w:r w:rsidR="0026002D">
        <w:t xml:space="preserve">  We have had the most promising results from bringing over tests and question pools, but again, these are mixed results and we cannot guarantee that </w:t>
      </w:r>
      <w:r w:rsidR="00E23AE7">
        <w:t>content copied over directly from Blackboard will function as it ought to in Canvas.</w:t>
      </w:r>
      <w:r w:rsidRPr="00B56E33">
        <w:t xml:space="preserve"> </w:t>
      </w:r>
      <w:r w:rsidRPr="0044175B">
        <w:rPr>
          <w:b/>
        </w:rPr>
        <w:t>The best option we can recommend at present is to re-build your course site from scratch within the Canvas framework.</w:t>
      </w:r>
      <w:r w:rsidR="00E23AE7">
        <w:t xml:space="preserve">  This way you will not only gain familiarity with Canvas, but will also be far, far less likely to encounter broken items in your course site mid-semester.</w:t>
      </w:r>
      <w:r w:rsidRPr="00B56E33">
        <w:t> </w:t>
      </w:r>
      <w:hyperlink r:id="rId6" w:tgtFrame="_blank" w:history="1">
        <w:r w:rsidRPr="0044175B">
          <w:rPr>
            <w:rFonts w:ascii="inherit" w:hAnsi="inherit"/>
            <w:b/>
            <w:color w:val="0000FF"/>
            <w:u w:val="single"/>
          </w:rPr>
          <w:t xml:space="preserve">Once you have a course built out in Canvas, it will be </w:t>
        </w:r>
        <w:r w:rsidRPr="0044175B">
          <w:rPr>
            <w:rFonts w:ascii="inherit" w:hAnsi="inherit"/>
            <w:b/>
            <w:color w:val="0000FF"/>
            <w:u w:val="single"/>
          </w:rPr>
          <w:lastRenderedPageBreak/>
          <w:t>much easier to copy that content over into a new Canvas course site</w:t>
        </w:r>
      </w:hyperlink>
      <w:r w:rsidRPr="0044175B">
        <w:rPr>
          <w:b/>
        </w:rPr>
        <w:t> at the start of future semesters</w:t>
      </w:r>
      <w:r w:rsidRPr="00B56E33">
        <w:t>. We apologize for this significant inconvenience.</w:t>
      </w:r>
    </w:p>
    <w:p w14:paraId="150A14A4" w14:textId="77777777" w:rsidR="00704619" w:rsidRPr="00B56E33" w:rsidRDefault="00704619" w:rsidP="00704619">
      <w:pPr>
        <w:pStyle w:val="ListParagraph"/>
        <w:ind w:left="0"/>
      </w:pPr>
      <w:r>
        <w:t xml:space="preserve">Feeling dismayed at having to re-build your course site in a new system? Don’t panic: we have </w:t>
      </w:r>
      <w:commentRangeStart w:id="1"/>
      <w:r>
        <w:t xml:space="preserve">a </w:t>
      </w:r>
      <w:hyperlink r:id="rId7" w:history="1">
        <w:r w:rsidRPr="00704619">
          <w:rPr>
            <w:rStyle w:val="Hyperlink"/>
          </w:rPr>
          <w:t>guide to help you quickly prepare for the transition</w:t>
        </w:r>
      </w:hyperlink>
      <w:commentRangeEnd w:id="1"/>
      <w:r>
        <w:rPr>
          <w:rStyle w:val="CommentReference"/>
        </w:rPr>
        <w:commentReference w:id="1"/>
      </w:r>
      <w:r>
        <w:t>.</w:t>
      </w:r>
    </w:p>
    <w:p w14:paraId="3EC6A3EE" w14:textId="77777777" w:rsidR="00B56E33" w:rsidRPr="00B56E33" w:rsidRDefault="00B56E33" w:rsidP="00B56E33">
      <w:r w:rsidRPr="00B56E33">
        <w:t xml:space="preserve">For more </w:t>
      </w:r>
      <w:proofErr w:type="gramStart"/>
      <w:r w:rsidRPr="00B56E33">
        <w:t>information</w:t>
      </w:r>
      <w:proofErr w:type="gramEnd"/>
      <w:r w:rsidRPr="00B56E33">
        <w:t xml:space="preserve"> to help you get started in Canvas, see the resources below:</w:t>
      </w:r>
    </w:p>
    <w:p w14:paraId="658BBED2" w14:textId="77777777" w:rsidR="00B56E33" w:rsidRPr="00B56E33" w:rsidRDefault="00B56E33" w:rsidP="00B56E33">
      <w:pPr>
        <w:pStyle w:val="ListParagraph"/>
        <w:numPr>
          <w:ilvl w:val="0"/>
          <w:numId w:val="7"/>
        </w:numPr>
      </w:pPr>
      <w:hyperlink r:id="rId10" w:tgtFrame="_blank" w:history="1">
        <w:r w:rsidRPr="00B56E33">
          <w:rPr>
            <w:rFonts w:ascii="inherit" w:hAnsi="inherit"/>
            <w:color w:val="0000FF"/>
            <w:u w:val="single"/>
          </w:rPr>
          <w:t>Getting Started with Canvas as an Instructor</w:t>
        </w:r>
      </w:hyperlink>
    </w:p>
    <w:p w14:paraId="3D246491" w14:textId="77777777" w:rsidR="00B56E33" w:rsidRPr="00B56E33" w:rsidRDefault="00B56E33" w:rsidP="00B56E33">
      <w:pPr>
        <w:pStyle w:val="ListParagraph"/>
        <w:numPr>
          <w:ilvl w:val="0"/>
          <w:numId w:val="7"/>
        </w:numPr>
      </w:pPr>
      <w:hyperlink r:id="rId11" w:tgtFrame="_blank" w:history="1">
        <w:r w:rsidRPr="00B56E33">
          <w:rPr>
            <w:rFonts w:ascii="inherit" w:hAnsi="inherit"/>
            <w:color w:val="0000FF"/>
            <w:u w:val="single"/>
          </w:rPr>
          <w:t>How do I use the Course Setup Checklist?</w:t>
        </w:r>
      </w:hyperlink>
    </w:p>
    <w:p w14:paraId="3832E631" w14:textId="77777777" w:rsidR="00B56E33" w:rsidRPr="00B56E33" w:rsidRDefault="00B56E33" w:rsidP="00B56E33">
      <w:pPr>
        <w:pStyle w:val="ListParagraph"/>
        <w:numPr>
          <w:ilvl w:val="0"/>
          <w:numId w:val="7"/>
        </w:numPr>
      </w:pPr>
      <w:hyperlink r:id="rId12" w:tgtFrame="_blank" w:history="1">
        <w:r w:rsidRPr="00B56E33">
          <w:rPr>
            <w:rFonts w:ascii="inherit" w:hAnsi="inherit"/>
            <w:color w:val="0000FF"/>
            <w:u w:val="single"/>
          </w:rPr>
          <w:t>How do I reorder and hide Course Navigation links?</w:t>
        </w:r>
      </w:hyperlink>
    </w:p>
    <w:p w14:paraId="13B5C5A3" w14:textId="77777777" w:rsidR="00B56E33" w:rsidRDefault="00B56E33" w:rsidP="00B56E33">
      <w:pPr>
        <w:pStyle w:val="ListParagraph"/>
        <w:numPr>
          <w:ilvl w:val="0"/>
          <w:numId w:val="7"/>
        </w:numPr>
      </w:pPr>
      <w:hyperlink r:id="rId13" w:tgtFrame="_blank" w:history="1">
        <w:r w:rsidRPr="00B56E33">
          <w:rPr>
            <w:rFonts w:ascii="inherit" w:hAnsi="inherit"/>
            <w:color w:val="0000FF"/>
            <w:u w:val="single"/>
          </w:rPr>
          <w:t>What are the Canvas settings at the course level?</w:t>
        </w:r>
      </w:hyperlink>
    </w:p>
    <w:p w14:paraId="62772A06" w14:textId="0B5AD00A" w:rsidR="00B56E33" w:rsidRDefault="00B56E33" w:rsidP="00B56E33">
      <w:pPr>
        <w:rPr>
          <w:rStyle w:val="Emphasis"/>
          <w:i w:val="0"/>
          <w:iCs w:val="0"/>
        </w:rPr>
      </w:pPr>
    </w:p>
    <w:p w14:paraId="10940D1C" w14:textId="77777777" w:rsidR="004A372A" w:rsidRPr="00960312" w:rsidRDefault="00B56E33" w:rsidP="00B56E33">
      <w:pPr>
        <w:pStyle w:val="Heading2"/>
        <w:rPr>
          <w:b w:val="0"/>
          <w:color w:val="540115"/>
        </w:rPr>
      </w:pPr>
      <w:r w:rsidRPr="00960312">
        <w:rPr>
          <w:b w:val="0"/>
          <w:bdr w:val="none" w:sz="0" w:space="0" w:color="auto" w:frame="1"/>
        </w:rPr>
        <w:t xml:space="preserve">Section heading (H2): </w:t>
      </w:r>
      <w:r w:rsidR="004A372A" w:rsidRPr="00960312">
        <w:rPr>
          <w:b w:val="0"/>
          <w:bdr w:val="none" w:sz="0" w:space="0" w:color="auto" w:frame="1"/>
        </w:rPr>
        <w:t>Interested in trying out Canvas?</w:t>
      </w:r>
    </w:p>
    <w:p w14:paraId="1AC7B85A" w14:textId="77777777" w:rsidR="004A372A" w:rsidRPr="004A372A" w:rsidRDefault="004A372A" w:rsidP="0044175B">
      <w:hyperlink r:id="rId14" w:tgtFrame="_blank" w:history="1">
        <w:r w:rsidRPr="004A372A">
          <w:rPr>
            <w:color w:val="990000"/>
            <w:bdr w:val="none" w:sz="0" w:space="0" w:color="auto" w:frame="1"/>
          </w:rPr>
          <w:t>Request a Canvas "Sandbox" account!</w:t>
        </w:r>
      </w:hyperlink>
      <w:r w:rsidRPr="004A372A">
        <w:t> </w:t>
      </w:r>
      <w:r w:rsidR="0044175B">
        <w:t>We would love to give you some hands-on experience to get comfortable with Canvas!</w:t>
      </w:r>
      <w:r w:rsidR="0044175B">
        <w:t xml:space="preserve"> </w:t>
      </w:r>
      <w:r w:rsidRPr="004A372A">
        <w:t xml:space="preserve">We expect to have our own Canvas “Sandbox” environment ready for instructors during the first half of the </w:t>
      </w:r>
      <w:r w:rsidRPr="004A372A">
        <w:rPr>
          <w:b/>
        </w:rPr>
        <w:t>Spring 2017</w:t>
      </w:r>
      <w:r w:rsidRPr="004A372A">
        <w:t xml:space="preserve"> term.</w:t>
      </w:r>
    </w:p>
    <w:p w14:paraId="7AF80B9D" w14:textId="77777777" w:rsidR="004A372A" w:rsidRDefault="004A372A"/>
    <w:sectPr w:rsidR="004A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Fincham, Camilla" w:date="2017-01-17T16:16:00Z" w:initials="FC">
    <w:p w14:paraId="667CE0B5" w14:textId="77777777" w:rsidR="00704619" w:rsidRDefault="00704619">
      <w:pPr>
        <w:pStyle w:val="CommentText"/>
      </w:pPr>
      <w:r>
        <w:rPr>
          <w:rStyle w:val="CommentReference"/>
        </w:rPr>
        <w:annotationRef/>
      </w:r>
      <w:r>
        <w:t xml:space="preserve">Currently goes to KB “How do I prepare for Canvas?” article.  Will eventually go to </w:t>
      </w:r>
      <w:r w:rsidR="00CE5062">
        <w:t>“Get ready” page in CSC.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7CE0B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1DA9"/>
    <w:multiLevelType w:val="hybridMultilevel"/>
    <w:tmpl w:val="326E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748"/>
    <w:multiLevelType w:val="multilevel"/>
    <w:tmpl w:val="4D0C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67652A"/>
    <w:multiLevelType w:val="multilevel"/>
    <w:tmpl w:val="8792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54A38"/>
    <w:multiLevelType w:val="multilevel"/>
    <w:tmpl w:val="100E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B694A"/>
    <w:multiLevelType w:val="multilevel"/>
    <w:tmpl w:val="EE5A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7D2AC9"/>
    <w:multiLevelType w:val="multilevel"/>
    <w:tmpl w:val="58D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E4618"/>
    <w:multiLevelType w:val="multilevel"/>
    <w:tmpl w:val="AE4C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incham, Camilla">
    <w15:presenceInfo w15:providerId="AD" w15:userId="S-1-5-21-2052111302-1897051121-725345543-177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2A"/>
    <w:rsid w:val="001E658D"/>
    <w:rsid w:val="00250653"/>
    <w:rsid w:val="0026002D"/>
    <w:rsid w:val="0044175B"/>
    <w:rsid w:val="004A372A"/>
    <w:rsid w:val="00704619"/>
    <w:rsid w:val="00960312"/>
    <w:rsid w:val="00B56E33"/>
    <w:rsid w:val="00CE5062"/>
    <w:rsid w:val="00E2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E396"/>
  <w15:chartTrackingRefBased/>
  <w15:docId w15:val="{1ACFA1F0-3B77-42FA-9277-AEA98748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60312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4472C4" w:themeColor="accent5"/>
      <w:sz w:val="2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372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60312"/>
    <w:rPr>
      <w:rFonts w:asciiTheme="majorHAnsi" w:eastAsia="Times New Roman" w:hAnsiTheme="majorHAnsi" w:cs="Times New Roman"/>
      <w:b/>
      <w:bCs/>
      <w:color w:val="4472C4" w:themeColor="accent5"/>
      <w:sz w:val="26"/>
      <w:szCs w:val="36"/>
    </w:rPr>
  </w:style>
  <w:style w:type="paragraph" w:styleId="NormalWeb">
    <w:name w:val="Normal (Web)"/>
    <w:basedOn w:val="Normal"/>
    <w:uiPriority w:val="99"/>
    <w:semiHidden/>
    <w:unhideWhenUsed/>
    <w:rsid w:val="004A3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72A"/>
    <w:rPr>
      <w:b/>
      <w:bCs/>
    </w:rPr>
  </w:style>
  <w:style w:type="character" w:customStyle="1" w:styleId="apple-converted-space">
    <w:name w:val="apple-converted-space"/>
    <w:basedOn w:val="DefaultParagraphFont"/>
    <w:rsid w:val="004A372A"/>
  </w:style>
  <w:style w:type="character" w:styleId="Hyperlink">
    <w:name w:val="Hyperlink"/>
    <w:basedOn w:val="DefaultParagraphFont"/>
    <w:uiPriority w:val="99"/>
    <w:unhideWhenUsed/>
    <w:rsid w:val="004A37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E3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4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6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community.canvaslms.com/docs/DOC-19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campus.fsu.edu/kb/article/703-how-do-i-prepare-for-canvas" TargetMode="External"/><Relationship Id="rId12" Type="http://schemas.openxmlformats.org/officeDocument/2006/relationships/hyperlink" Target="https://community.canvaslms.com/docs/DOC-255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community.canvaslms.com/docs/DOC-2685" TargetMode="External"/><Relationship Id="rId11" Type="http://schemas.openxmlformats.org/officeDocument/2006/relationships/hyperlink" Target="https://community.canvaslms.com/docs/DOC-2552" TargetMode="External"/><Relationship Id="rId5" Type="http://schemas.openxmlformats.org/officeDocument/2006/relationships/hyperlink" Target="https://fsu.qualtrics.com/SE/?SID=SV_2aVuNASAi4kvTm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mmunity.canvaslms.com/docs/DOC-2035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fsu.qualtrics.com/SE/?SID=SV_2aVuNASAi4kvT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Distance Learning</Company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Fincham, Camilla</dc:creator>
  <cp:keywords/>
  <dc:description/>
  <cp:lastModifiedBy>Fincham, Camilla</cp:lastModifiedBy>
  <cp:revision>7</cp:revision>
  <dcterms:created xsi:type="dcterms:W3CDTF">2017-01-17T20:46:00Z</dcterms:created>
  <dcterms:modified xsi:type="dcterms:W3CDTF">2017-01-17T21:25:00Z</dcterms:modified>
</cp:coreProperties>
</file>