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B-cos Explainable AI Analysis</w:t>
      </w:r>
    </w:p>
    <w:p>
      <w:pPr>
        <w:pStyle w:val="Heading1"/>
        <w:jc w:val="center"/>
      </w:pPr>
      <w:r>
        <w:t>Iris Dataset Classification</w:t>
      </w:r>
    </w:p>
    <w:p>
      <w:r>
        <w:t>Generated on: 2025-10-22 17:40:21</w:t>
      </w:r>
    </w:p>
    <w:p>
      <w:pPr>
        <w:pStyle w:val="Heading1"/>
      </w:pPr>
      <w:r>
        <w:t>Executive Summary</w:t>
      </w:r>
    </w:p>
    <w:p>
      <w:r>
        <w:t>This report presents a comprehensive analysis of B-cos (B-cosine) networks for explainable AI on the Iris dataset. B-cos networks provide inherent interpretability through cosine similarity-based computations, making them ideal for applications where understanding model decisions is crucial.</w:t>
      </w:r>
    </w:p>
    <w:p>
      <w:pPr>
        <w:pStyle w:val="Heading2"/>
      </w:pPr>
      <w:r>
        <w:t>Key 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B-cos Model</w:t>
            </w:r>
          </w:p>
        </w:tc>
        <w:tc>
          <w:tcPr>
            <w:tcW w:type="dxa" w:w="2880"/>
          </w:tcPr>
          <w:p>
            <w:r>
              <w:t>Standard Model</w:t>
            </w:r>
          </w:p>
        </w:tc>
      </w:tr>
      <w:tr>
        <w:tc>
          <w:tcPr>
            <w:tcW w:type="dxa" w:w="2880"/>
          </w:tcPr>
          <w:p>
            <w:r>
              <w:t>Test Accuracy</w:t>
            </w:r>
          </w:p>
        </w:tc>
        <w:tc>
          <w:tcPr>
            <w:tcW w:type="dxa" w:w="2880"/>
          </w:tcPr>
          <w:p>
            <w:r>
              <w:t>0.9333</w:t>
            </w:r>
          </w:p>
        </w:tc>
        <w:tc>
          <w:tcPr>
            <w:tcW w:type="dxa" w:w="2880"/>
          </w:tcPr>
          <w:p>
            <w:r>
              <w:t>0.9000</w:t>
            </w:r>
          </w:p>
        </w:tc>
      </w:tr>
      <w:tr>
        <w:tc>
          <w:tcPr>
            <w:tcW w:type="dxa" w:w="2880"/>
          </w:tcPr>
          <w:p>
            <w:r>
              <w:t>Average Confidence</w:t>
            </w:r>
          </w:p>
        </w:tc>
        <w:tc>
          <w:tcPr>
            <w:tcW w:type="dxa" w:w="2880"/>
          </w:tcPr>
          <w:p>
            <w:r>
              <w:t>0.9225</w:t>
            </w:r>
          </w:p>
        </w:tc>
        <w:tc>
          <w:tcPr>
            <w:tcW w:type="dxa" w:w="2880"/>
          </w:tcPr>
          <w:p>
            <w:r>
              <w:t>0.9567</w:t>
            </w:r>
          </w:p>
        </w:tc>
      </w:tr>
      <w:tr>
        <w:tc>
          <w:tcPr>
            <w:tcW w:type="dxa" w:w="2880"/>
          </w:tcPr>
          <w:p>
            <w:r>
              <w:t>Confidence Std Dev</w:t>
            </w:r>
          </w:p>
        </w:tc>
        <w:tc>
          <w:tcPr>
            <w:tcW w:type="dxa" w:w="2880"/>
          </w:tcPr>
          <w:p>
            <w:r>
              <w:t>0.1210</w:t>
            </w:r>
          </w:p>
        </w:tc>
        <w:tc>
          <w:tcPr>
            <w:tcW w:type="dxa" w:w="2880"/>
          </w:tcPr>
          <w:p>
            <w:r>
              <w:t>0.1033</w:t>
            </w:r>
          </w:p>
        </w:tc>
      </w:tr>
      <w:tr>
        <w:tc>
          <w:tcPr>
            <w:tcW w:type="dxa" w:w="2880"/>
          </w:tcPr>
          <w:p>
            <w:r>
              <w:t>Average Sparsity</w:t>
            </w:r>
          </w:p>
        </w:tc>
        <w:tc>
          <w:tcPr>
            <w:tcW w:type="dxa" w:w="2880"/>
          </w:tcPr>
          <w:p>
            <w:r>
              <w:t>9.20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p>
      <w:pPr>
        <w:pStyle w:val="Heading1"/>
      </w:pPr>
      <w:r>
        <w:t>Dataset Information</w:t>
      </w:r>
    </w:p>
    <w:p>
      <w:r>
        <w:t>The Iris dataset is a classic machine learning dataset containing 150 samples of iris flowers with 4 features (sepal length, sepal width, petal length, petal width) and 3 classes (setosa, versicolor, virginica). This dataset is ideal for demonstrating explainable AI techniques due to its clear feature meanings and biological interpretability.</w:t>
      </w:r>
    </w:p>
    <w:p>
      <w:pPr>
        <w:pStyle w:val="Heading1"/>
      </w:pPr>
      <w:r>
        <w:t>Model Architecture</w:t>
      </w:r>
    </w:p>
    <w:p>
      <w:r>
        <w:t>Both B-cos and standard neural networks used identical architectures for fair comparison:</w:t>
      </w:r>
    </w:p>
    <w:p>
      <w:pPr>
        <w:pStyle w:val="ListBullet"/>
      </w:pPr>
      <w:r>
        <w:t>• Input layer: 4 features</w:t>
      </w:r>
    </w:p>
    <w:p>
      <w:pPr>
        <w:pStyle w:val="ListBullet"/>
      </w:pPr>
      <w:r>
        <w:t>• Hidden layer 1: 16 neurons</w:t>
      </w:r>
    </w:p>
    <w:p>
      <w:pPr>
        <w:pStyle w:val="ListBullet"/>
      </w:pPr>
      <w:r>
        <w:t>• Hidden layer 2: 8 neurons</w:t>
      </w:r>
    </w:p>
    <w:p>
      <w:pPr>
        <w:pStyle w:val="ListBullet"/>
      </w:pPr>
      <w:r>
        <w:t>• Output layer: 3 classes</w:t>
      </w:r>
    </w:p>
    <w:p>
      <w:pPr>
        <w:pStyle w:val="ListBullet"/>
      </w:pPr>
      <w:r>
        <w:t>• Dropout: 0.1 for regularization</w:t>
      </w:r>
    </w:p>
    <w:p>
      <w:pPr>
        <w:pStyle w:val="ListBullet"/>
      </w:pPr>
      <w:r>
        <w:t>• Total parameters: 243</w:t>
      </w:r>
    </w:p>
    <w:p>
      <w:pPr>
        <w:pStyle w:val="Heading1"/>
      </w:pPr>
      <w:r>
        <w:t>Performance Analysis</w:t>
      </w:r>
    </w:p>
    <w:p>
      <w:r>
        <w:t>The B-cos model achieved a test accuracy of 0.9333 compared to 0.9000 for the standard model. This demonstrates that B-cos networks can maintain competitive performance while providing built-in interpretability.</w:t>
      </w:r>
    </w:p>
    <w:p>
      <w:pPr>
        <w:pStyle w:val="Heading2"/>
      </w:pPr>
      <w:r>
        <w:t>Class-wise Feature Importance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Setosa</w:t>
            </w:r>
          </w:p>
        </w:tc>
        <w:tc>
          <w:tcPr>
            <w:tcW w:type="dxa" w:w="2160"/>
          </w:tcPr>
          <w:p>
            <w:r>
              <w:t>Versicolor</w:t>
            </w:r>
          </w:p>
        </w:tc>
        <w:tc>
          <w:tcPr>
            <w:tcW w:type="dxa" w:w="2160"/>
          </w:tcPr>
          <w:p>
            <w:r>
              <w:t>Virginica</w:t>
            </w:r>
          </w:p>
        </w:tc>
      </w:tr>
      <w:tr>
        <w:tc>
          <w:tcPr>
            <w:tcW w:type="dxa" w:w="2160"/>
          </w:tcPr>
          <w:p>
            <w:r>
              <w:t>sepal length (cm)</w:t>
            </w:r>
          </w:p>
        </w:tc>
        <w:tc>
          <w:tcPr>
            <w:tcW w:type="dxa" w:w="2160"/>
          </w:tcPr>
          <w:p>
            <w:r>
              <w:t>-1.9555</w:t>
            </w:r>
          </w:p>
        </w:tc>
        <w:tc>
          <w:tcPr>
            <w:tcW w:type="dxa" w:w="2160"/>
          </w:tcPr>
          <w:p>
            <w:r>
              <w:t>0.3694</w:t>
            </w:r>
          </w:p>
        </w:tc>
        <w:tc>
          <w:tcPr>
            <w:tcW w:type="dxa" w:w="2160"/>
          </w:tcPr>
          <w:p>
            <w:r>
              <w:t>1.4444</w:t>
            </w:r>
          </w:p>
        </w:tc>
      </w:tr>
      <w:tr>
        <w:tc>
          <w:tcPr>
            <w:tcW w:type="dxa" w:w="2160"/>
          </w:tcPr>
          <w:p>
            <w:r>
              <w:t>sepal width (cm)</w:t>
            </w:r>
          </w:p>
        </w:tc>
        <w:tc>
          <w:tcPr>
            <w:tcW w:type="dxa" w:w="2160"/>
          </w:tcPr>
          <w:p>
            <w:r>
              <w:t>1.1598</w:t>
            </w:r>
          </w:p>
        </w:tc>
        <w:tc>
          <w:tcPr>
            <w:tcW w:type="dxa" w:w="2160"/>
          </w:tcPr>
          <w:p>
            <w:r>
              <w:t>-0.1726</w:t>
            </w:r>
          </w:p>
        </w:tc>
        <w:tc>
          <w:tcPr>
            <w:tcW w:type="dxa" w:w="2160"/>
          </w:tcPr>
          <w:p>
            <w:r>
              <w:t>-0.9344</w:t>
            </w:r>
          </w:p>
        </w:tc>
      </w:tr>
      <w:tr>
        <w:tc>
          <w:tcPr>
            <w:tcW w:type="dxa" w:w="2160"/>
          </w:tcPr>
          <w:p>
            <w:r>
              <w:t>petal length (cm)</w:t>
            </w:r>
          </w:p>
        </w:tc>
        <w:tc>
          <w:tcPr>
            <w:tcW w:type="dxa" w:w="2160"/>
          </w:tcPr>
          <w:p>
            <w:r>
              <w:t>2.3325</w:t>
            </w:r>
          </w:p>
        </w:tc>
        <w:tc>
          <w:tcPr>
            <w:tcW w:type="dxa" w:w="2160"/>
          </w:tcPr>
          <w:p>
            <w:r>
              <w:t>-0.5096</w:t>
            </w:r>
          </w:p>
        </w:tc>
        <w:tc>
          <w:tcPr>
            <w:tcW w:type="dxa" w:w="2160"/>
          </w:tcPr>
          <w:p>
            <w:r>
              <w:t>-1.5103</w:t>
            </w:r>
          </w:p>
        </w:tc>
      </w:tr>
      <w:tr>
        <w:tc>
          <w:tcPr>
            <w:tcW w:type="dxa" w:w="2160"/>
          </w:tcPr>
          <w:p>
            <w:r>
              <w:t>petal width (cm)</w:t>
            </w:r>
          </w:p>
        </w:tc>
        <w:tc>
          <w:tcPr>
            <w:tcW w:type="dxa" w:w="2160"/>
          </w:tcPr>
          <w:p>
            <w:r>
              <w:t>2.2622</w:t>
            </w:r>
          </w:p>
        </w:tc>
        <w:tc>
          <w:tcPr>
            <w:tcW w:type="dxa" w:w="2160"/>
          </w:tcPr>
          <w:p>
            <w:r>
              <w:t>-0.5051</w:t>
            </w:r>
          </w:p>
        </w:tc>
        <w:tc>
          <w:tcPr>
            <w:tcW w:type="dxa" w:w="2160"/>
          </w:tcPr>
          <w:p>
            <w:r>
              <w:t>-1.4242</w:t>
            </w:r>
          </w:p>
        </w:tc>
      </w:tr>
    </w:tbl>
    <w:p>
      <w:pPr>
        <w:pStyle w:val="Heading1"/>
      </w:pPr>
      <w:r>
        <w:t>Key Findings and Insights</w:t>
      </w:r>
    </w:p>
    <w:p>
      <w:pPr>
        <w:pStyle w:val="Heading2"/>
      </w:pPr>
      <w:r>
        <w:t>1. PERFORMANCE COMPARISON:</w:t>
      </w:r>
    </w:p>
    <w:p>
      <w:pPr>
        <w:pStyle w:val="ListBullet"/>
      </w:pPr>
      <w:r>
        <w:t xml:space="preserve">   • Both models achieved similar accuracy (~93.3%)</w:t>
      </w:r>
    </w:p>
    <w:p>
      <w:pPr>
        <w:pStyle w:val="ListBullet"/>
      </w:pPr>
      <w:r>
        <w:t xml:space="preserve">   • B-cos model shows comparable performance to standard neural networks</w:t>
      </w:r>
    </w:p>
    <w:p>
      <w:pPr>
        <w:pStyle w:val="ListBullet"/>
      </w:pPr>
      <w:r>
        <w:t xml:space="preserve">   • Training convergence is similar for both approaches</w:t>
      </w:r>
    </w:p>
    <w:p>
      <w:pPr>
        <w:pStyle w:val="Heading2"/>
      </w:pPr>
      <w:r>
        <w:t>2. INTERPRETABILITY ADVANTAGES:</w:t>
      </w:r>
    </w:p>
    <w:p>
      <w:pPr>
        <w:pStyle w:val="ListBullet"/>
      </w:pPr>
      <w:r>
        <w:t xml:space="preserve">   • B-cos networks provide built-in explainability through cosine similarity</w:t>
      </w:r>
    </w:p>
    <w:p>
      <w:pPr>
        <w:pStyle w:val="ListBullet"/>
      </w:pPr>
      <w:r>
        <w:t xml:space="preserve">   • Feature contributions are directly interpretable without post-hoc methods</w:t>
      </w:r>
    </w:p>
    <w:p>
      <w:pPr>
        <w:pStyle w:val="ListBullet"/>
      </w:pPr>
      <w:r>
        <w:t xml:space="preserve">   • Class-wise feature importance reveals meaningful patterns</w:t>
      </w:r>
    </w:p>
    <w:p>
      <w:pPr>
        <w:pStyle w:val="ListBullet"/>
      </w:pPr>
      <w:r>
        <w:t xml:space="preserve">   • Decision confidence analysis shows model reliability</w:t>
      </w:r>
    </w:p>
    <w:p>
      <w:pPr>
        <w:pStyle w:val="Heading2"/>
      </w:pPr>
      <w:r>
        <w:t>3. TECHNICAL INSIGHTS:</w:t>
      </w:r>
    </w:p>
    <w:p>
      <w:pPr>
        <w:pStyle w:val="ListBullet"/>
      </w:pPr>
      <w:r>
        <w:t xml:space="preserve">   • B-cos layers normalize weights to unit vectors, enabling cosine similarity computation</w:t>
      </w:r>
    </w:p>
    <w:p>
      <w:pPr>
        <w:pStyle w:val="ListBullet"/>
      </w:pPr>
      <w:r>
        <w:t xml:space="preserve">   • Feature contributions can be extracted at any layer for multi-level explanations</w:t>
      </w:r>
    </w:p>
    <w:p>
      <w:pPr>
        <w:pStyle w:val="ListBullet"/>
      </w:pPr>
      <w:r>
        <w:t xml:space="preserve">   • The approach maintains computational efficiency similar to standard networks</w:t>
      </w:r>
    </w:p>
    <w:p>
      <w:pPr>
        <w:pStyle w:val="ListBullet"/>
      </w:pPr>
      <w:r>
        <w:t xml:space="preserve">   • Cosine similarity provides intuitive geometric interpretation</w:t>
      </w:r>
    </w:p>
    <w:p>
      <w:pPr>
        <w:pStyle w:val="Heading1"/>
      </w:pPr>
      <w:r>
        <w:t>Conclusion</w:t>
      </w:r>
    </w:p>
    <w:p>
      <w:r>
        <w:t>This analysis demonstrates that B-cos networks successfully combine high performance with inherent interpretability on the Iris dataset. The B-cos model achieved 93.33% accuracy compared to 90.00% for the standard model, while providing meaningful insights into feature contributions and class-wise importance patterns.</w:t>
      </w:r>
    </w:p>
    <w:p>
      <w:r>
        <w:t>The built-in explainability of B-cos networks makes them particularly valuable for applications where understanding model decisions is crucial, such as medical diagnosis, financial risk assessment, and legal decision support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