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A01FF8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FF8">
        <w:rPr>
          <w:rFonts w:ascii="Times New Roman" w:hAnsi="Times New Roman" w:cs="Times New Roman"/>
          <w:b/>
          <w:sz w:val="28"/>
          <w:szCs w:val="28"/>
        </w:rPr>
        <w:t>Project Design Phase</w:t>
      </w:r>
    </w:p>
    <w:p w14:paraId="0E538A2F" w14:textId="77777777" w:rsidR="00604E29" w:rsidRPr="00A01FF8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FF8">
        <w:rPr>
          <w:rFonts w:ascii="Times New Roman" w:hAnsi="Times New Roman" w:cs="Times New Roman"/>
          <w:b/>
          <w:sz w:val="28"/>
          <w:szCs w:val="28"/>
        </w:rPr>
        <w:t>Proposed Solution Template</w:t>
      </w:r>
    </w:p>
    <w:p w14:paraId="35E8E725" w14:textId="77777777" w:rsidR="00604E29" w:rsidRPr="00A01FF8" w:rsidRDefault="00604E29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A01FF8" w14:paraId="259A5833" w14:textId="77777777">
        <w:tc>
          <w:tcPr>
            <w:tcW w:w="4695" w:type="dxa"/>
          </w:tcPr>
          <w:p w14:paraId="42F84784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3481175B" w:rsidR="00604E29" w:rsidRPr="00A01FF8" w:rsidRDefault="006055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604E29" w:rsidRPr="00A01FF8" w14:paraId="7A66939B" w14:textId="77777777">
        <w:tc>
          <w:tcPr>
            <w:tcW w:w="4695" w:type="dxa"/>
          </w:tcPr>
          <w:p w14:paraId="2D366549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2C9B5565" w:rsidR="00604E29" w:rsidRPr="00A01FF8" w:rsidRDefault="00A01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LTVIP2025TMID48490</w:t>
            </w:r>
          </w:p>
        </w:tc>
      </w:tr>
      <w:tr w:rsidR="00604E29" w:rsidRPr="00A01FF8" w14:paraId="0E84FB5D" w14:textId="77777777">
        <w:tc>
          <w:tcPr>
            <w:tcW w:w="4695" w:type="dxa"/>
          </w:tcPr>
          <w:p w14:paraId="4C398D34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3A955EEA" w:rsidR="00604E29" w:rsidRPr="00A01FF8" w:rsidRDefault="00411E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Comprehensive Analysis and Dietary Strategies with Tableau</w:t>
            </w:r>
          </w:p>
        </w:tc>
      </w:tr>
      <w:tr w:rsidR="00604E29" w:rsidRPr="00A01FF8" w14:paraId="271BDBA3" w14:textId="77777777">
        <w:tc>
          <w:tcPr>
            <w:tcW w:w="4695" w:type="dxa"/>
          </w:tcPr>
          <w:p w14:paraId="1EABD436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A01FF8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A01FF8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37C39CAD" w14:textId="2CAA9E14" w:rsidR="00604E29" w:rsidRPr="00A01FF8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A01FF8">
        <w:rPr>
          <w:rFonts w:ascii="Times New Roman" w:hAnsi="Times New Roman" w:cs="Times New Roman"/>
          <w:b/>
          <w:sz w:val="28"/>
          <w:szCs w:val="28"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A01FF8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A01FF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1FF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01FF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Pr="00A01FF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A01FF8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04E29" w:rsidRPr="00A01FF8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FF28270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1BE7C5E" w:rsidR="00604E29" w:rsidRPr="00A01FF8" w:rsidRDefault="0064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Users lack an integrated, visually intuitive platform to </w:t>
            </w:r>
            <w:r w:rsidR="00A01FF8" w:rsidRPr="00A01FF8">
              <w:rPr>
                <w:rFonts w:ascii="Times New Roman" w:hAnsi="Times New Roman" w:cs="Times New Roman"/>
                <w:sz w:val="24"/>
                <w:szCs w:val="24"/>
              </w:rPr>
              <w:t>analyse</w:t>
            </w: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 daily nutrition habits. Existing tools are limited to basic calorie counts and don’t offer personalized insights or actionable visual feedback on dietary </w:t>
            </w:r>
            <w:r w:rsidR="00A01FF8" w:rsidRPr="00A01FF8">
              <w:rPr>
                <w:rFonts w:ascii="Times New Roman" w:hAnsi="Times New Roman" w:cs="Times New Roman"/>
                <w:sz w:val="24"/>
                <w:szCs w:val="24"/>
              </w:rPr>
              <w:t>behaviours</w:t>
            </w: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:rsidRPr="00A01FF8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E5677B7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8CA3C7C" w:rsidR="00604E29" w:rsidRPr="00A01FF8" w:rsidRDefault="0064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Develop a Tableau-powered system that aggregates dietary logs, </w:t>
            </w:r>
            <w:r w:rsidR="00A01FF8" w:rsidRPr="00A01FF8">
              <w:rPr>
                <w:rFonts w:ascii="Times New Roman" w:hAnsi="Times New Roman" w:cs="Times New Roman"/>
                <w:sz w:val="24"/>
                <w:szCs w:val="24"/>
              </w:rPr>
              <w:t>analyses</w:t>
            </w: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 nutrient patterns, and visually presents trends, deficiencies, and custom recommendations through dynamic dashboards.</w:t>
            </w:r>
          </w:p>
        </w:tc>
      </w:tr>
      <w:tr w:rsidR="00604E29" w:rsidRPr="00A01FF8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CE12A68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8E58679" w:rsidR="00604E29" w:rsidRPr="00A01FF8" w:rsidRDefault="0064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Unlike standard diet trackers, this solution merges real-time analytics with visual storytelling, offering deep insights into nutrient balance, </w:t>
            </w:r>
            <w:r w:rsidR="00A01FF8" w:rsidRPr="00A01FF8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 xml:space="preserve"> trends, and goal alignment through interactive Tableau visuals.</w:t>
            </w:r>
          </w:p>
        </w:tc>
      </w:tr>
      <w:tr w:rsidR="00604E29" w:rsidRPr="00A01FF8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282EBA1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2F94674" w:rsidR="00604E29" w:rsidRPr="00A01FF8" w:rsidRDefault="0064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Enhances public health awareness, empowers informed eating choices, and builds sustainable habits. Customers gain confidence in their progress, while professionals benefit from faster, data-driven coaching and consultations.</w:t>
            </w:r>
          </w:p>
        </w:tc>
      </w:tr>
      <w:tr w:rsidR="00604E29" w:rsidRPr="00A01FF8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7E95CC0" w14:textId="77777777" w:rsidR="00604E29" w:rsidRPr="00A01FF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B1C4DCD" w:rsidR="00604E29" w:rsidRPr="00A01FF8" w:rsidRDefault="00640B72" w:rsidP="00640B72">
            <w:pPr>
              <w:tabs>
                <w:tab w:val="left" w:pos="10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Freemium app with core features and premium subscription for advanced insights, personalized recommendations, data exports, and integrations. Additional revenue from institutional licenses (clinics, gyms, corporate wellness).</w:t>
            </w:r>
          </w:p>
        </w:tc>
      </w:tr>
      <w:tr w:rsidR="00604E29" w:rsidRPr="00A01FF8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A01FF8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4EBFC13" w14:textId="77777777" w:rsidR="00604E29" w:rsidRPr="00A01FF8" w:rsidRDefault="00000000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CEFD50A" w:rsidR="00604E29" w:rsidRPr="00A01FF8" w:rsidRDefault="00640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1FF8">
              <w:rPr>
                <w:rFonts w:ascii="Times New Roman" w:hAnsi="Times New Roman" w:cs="Times New Roman"/>
                <w:sz w:val="24"/>
                <w:szCs w:val="24"/>
              </w:rPr>
              <w:t>Easily scalable across mobile/web platforms and adaptable for various demographics—fitness enthusiasts, patients, schools, corporate wellness programs—by training on region-specific data and expanding dashboard modules.</w:t>
            </w:r>
          </w:p>
        </w:tc>
      </w:tr>
    </w:tbl>
    <w:p w14:paraId="5BC2B474" w14:textId="77777777" w:rsidR="00604E29" w:rsidRPr="00A01FF8" w:rsidRDefault="00604E29">
      <w:pPr>
        <w:rPr>
          <w:rFonts w:ascii="Times New Roman" w:hAnsi="Times New Roman" w:cs="Times New Roman"/>
          <w:sz w:val="24"/>
          <w:szCs w:val="24"/>
        </w:rPr>
      </w:pPr>
    </w:p>
    <w:sectPr w:rsidR="00604E29" w:rsidRPr="00A01F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411E39"/>
    <w:rsid w:val="005F3443"/>
    <w:rsid w:val="00604E29"/>
    <w:rsid w:val="006055B9"/>
    <w:rsid w:val="00640B72"/>
    <w:rsid w:val="00887E54"/>
    <w:rsid w:val="00A01FF8"/>
    <w:rsid w:val="00C27B72"/>
    <w:rsid w:val="00D90E76"/>
    <w:rsid w:val="00DB49CE"/>
    <w:rsid w:val="00F4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Sathvika yadav</cp:lastModifiedBy>
  <cp:revision>8</cp:revision>
  <dcterms:created xsi:type="dcterms:W3CDTF">2022-09-18T16:51:00Z</dcterms:created>
  <dcterms:modified xsi:type="dcterms:W3CDTF">2025-06-30T17:04:00Z</dcterms:modified>
</cp:coreProperties>
</file>