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Random Wiring Variants</w:t>
      </w:r>
    </w:p>
    <w:p>
      <w:pPr>
        <w:pStyle w:val="Heading1"/>
      </w:pPr>
      <w:r>
        <w:t>Convergence Check on hard-wired lookup variant</w:t>
      </w:r>
    </w:p>
    <w:p>
      <w:pPr>
        <w:pStyle w:val="Heading2"/>
      </w:pPr>
      <w:r>
        <w:t>1. Experiment Information</w:t>
      </w:r>
    </w:p>
    <w:p>
      <w:pPr>
        <w:pStyle w:val="Heading3"/>
      </w:pPr>
      <w:r>
        <w:t>Random Wiring Variants:</w:t>
      </w:r>
    </w:p>
    <w:p>
      <w:r>
        <w:t>Experiment file: 2026-03-12_19-19-06_random_lookup.h5</w:t>
      </w:r>
    </w:p>
    <w:p>
      <w:r>
        <w:t>Total random variants analyzed: 1</w:t>
      </w:r>
    </w:p>
    <w:p>
      <w:r>
        <w:t>Runs per variant: 500</w:t>
      </w:r>
    </w:p>
    <w:p>
      <w:r>
        <w:t>Total data points (random): 500</w:t>
      </w:r>
    </w:p>
    <w:p>
      <w:pPr>
        <w:pStyle w:val="Heading2"/>
      </w:pPr>
      <w:r>
        <w:t>1.1. Summary Statistics - Random Wiring Variants</w:t>
      </w:r>
    </w:p>
    <w:p>
      <w:r>
        <w:t>Summary of how long random wiring variants survive in the experimental environment. We measure survival time in simulation ticks across all 1 variants and 500 runs per variant. The statistics below provide a comprehensive overview of survival time distribution across all measurements.</w:t>
      </w:r>
    </w:p>
    <w:p>
      <w:pPr>
        <w:pStyle w:val="Heading3"/>
      </w:pPr>
      <w:r>
        <w:t>Overall Descriptive Statistics (Across All Variants):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99.29 ticks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87.00 ticks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63.22 ticks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19.00 ticks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388.00 ticks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369.00 ticks</w:t>
            </w:r>
          </w:p>
        </w:tc>
      </w:tr>
      <w:tr>
        <w:tc>
          <w:tcPr>
            <w:tcW w:type="dxa" w:w="4320"/>
          </w:tcPr>
          <w:p>
            <w:r>
              <w:t>IQR (25th-75th percentile)</w:t>
            </w:r>
          </w:p>
        </w:tc>
        <w:tc>
          <w:tcPr>
            <w:tcW w:type="dxa" w:w="4320"/>
          </w:tcPr>
          <w:p>
            <w:r>
              <w:t>71.00 ticks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29.00 ticks</w:t>
            </w:r>
          </w:p>
        </w:tc>
      </w:tr>
      <w:tr>
        <w:tc>
          <w:tcPr>
            <w:tcW w:type="dxa" w:w="4320"/>
          </w:tcPr>
          <w:p>
            <w:r>
              <w:t>25th Percentile</w:t>
            </w:r>
          </w:p>
        </w:tc>
        <w:tc>
          <w:tcPr>
            <w:tcW w:type="dxa" w:w="4320"/>
          </w:tcPr>
          <w:p>
            <w:r>
              <w:t>53.00 ticks</w:t>
            </w:r>
          </w:p>
        </w:tc>
      </w:tr>
      <w:tr>
        <w:tc>
          <w:tcPr>
            <w:tcW w:type="dxa" w:w="4320"/>
          </w:tcPr>
          <w:p>
            <w:r>
              <w:t>75th Percentile</w:t>
            </w:r>
          </w:p>
        </w:tc>
        <w:tc>
          <w:tcPr>
            <w:tcW w:type="dxa" w:w="4320"/>
          </w:tcPr>
          <w:p>
            <w:r>
              <w:t>124.00 ticks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230.25 ticks</w:t>
            </w:r>
          </w:p>
        </w:tc>
      </w:tr>
      <w:tr>
        <w:tc>
          <w:tcPr>
            <w:tcW w:type="dxa" w:w="4320"/>
          </w:tcPr>
          <w:p>
            <w:r>
              <w:t>Skewness</w:t>
            </w:r>
          </w:p>
        </w:tc>
        <w:tc>
          <w:tcPr>
            <w:tcW w:type="dxa" w:w="4320"/>
          </w:tcPr>
          <w:p>
            <w:r>
              <w:t>1.650</w:t>
            </w:r>
          </w:p>
        </w:tc>
      </w:tr>
      <w:tr>
        <w:tc>
          <w:tcPr>
            <w:tcW w:type="dxa" w:w="4320"/>
          </w:tcPr>
          <w:p>
            <w:r>
              <w:t>Kurtosis (excess)</w:t>
            </w:r>
          </w:p>
        </w:tc>
        <w:tc>
          <w:tcPr>
            <w:tcW w:type="dxa" w:w="4320"/>
          </w:tcPr>
          <w:p>
            <w:r>
              <w:t>3.351</w:t>
            </w:r>
          </w:p>
        </w:tc>
      </w:tr>
      <w:tr>
        <w:tc>
          <w:tcPr>
            <w:tcW w:type="dxa" w:w="4320"/>
          </w:tcPr>
          <w:p>
            <w:r>
              <w:t>Coefficient of Variation</w:t>
            </w:r>
          </w:p>
        </w:tc>
        <w:tc>
          <w:tcPr>
            <w:tcW w:type="dxa" w:w="4320"/>
          </w:tcPr>
          <w:p>
            <w:r>
              <w:t>63.68 %</w:t>
            </w:r>
          </w:p>
        </w:tc>
      </w:tr>
    </w:tbl>
    <w:p>
      <w:pPr>
        <w:pStyle w:val="Heading2"/>
      </w:pPr>
      <w:r>
        <w:t>2. Survival Race</w:t>
      </w:r>
    </w:p>
    <w:p>
      <w:r>
        <w:t xml:space="preserve">This plot shows the survival curves for all 1 wiring variants. </w:t>
      </w:r>
    </w:p>
    <w:p>
      <w:r>
        <w:drawing>
          <wp:inline xmlns:a="http://schemas.openxmlformats.org/drawingml/2006/main" xmlns:pic="http://schemas.openxmlformats.org/drawingml/2006/picture">
            <wp:extent cx="5486400" cy="3080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_convergence_Convergence_Check_on_hard-wired_lookup_vari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4"/>
      </w:pPr>
      <w:r>
        <w:t>Network Development</w:t>
      </w:r>
    </w:p>
    <w:p>
      <w:r>
        <w:t>Below are combined network visualizations showing initial wiring and the first three runtime states.</w:t>
      </w:r>
    </w:p>
    <w:p>
      <w:r>
        <w:drawing>
          <wp:inline xmlns:a="http://schemas.openxmlformats.org/drawingml/2006/main" xmlns:pic="http://schemas.openxmlformats.org/drawingml/2006/picture">
            <wp:extent cx="5943600" cy="4617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vergence_Check_on_hard-wired_lookup_variant_variant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Convergence</w:t>
      </w:r>
    </w:p>
    <w:p>
      <w:r>
        <w:t>We analyze the convergence of simulation metrics and of variance of simulation metrics over the number of runs. Each run subjects the same variant to a different world seed, which can be thought of as a different environment. Simulations should run a large enough number of runs to allow metrics to converge to stable values that are reliable readouts of the variant's performance, rather than dominated by chance from rng world seeds.</w:t>
      </w:r>
    </w:p>
    <w:p>
      <w:pPr>
        <w:pStyle w:val="Heading3"/>
      </w:pPr>
      <w:r>
        <w:t>3.1. Survival Times</w:t>
      </w:r>
    </w:p>
    <w:p>
      <w:r>
        <w:t>Convergence analysis of survival times (lifetime_ticks) across all runs.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survival_t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 Food Consumed</w:t>
      </w:r>
    </w:p>
    <w:p>
      <w:r>
        <w:t>Convergence analysis of food consumed across all runs.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food_consum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3.3. Distance Travelled</w:t>
      </w:r>
    </w:p>
    <w:p>
      <w:r>
        <w:t>Convergence analysis of distance travelled across all runs.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distance_trave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3.4. Decisions Made</w:t>
      </w:r>
    </w:p>
    <w:p>
      <w:r>
        <w:t>Convergence analysis of decisions made across all runs.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decisions_m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3.5. Food Consumption Per Tick</w:t>
      </w:r>
    </w:p>
    <w:p>
      <w:r>
        <w:t>Convergence analysis of food consumption per tick (total food consumed divided by survival time).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food_per_ti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3.6. Distance Per Tick</w:t>
      </w:r>
    </w:p>
    <w:p>
      <w:r>
        <w:t>Convergence analysis of distance travelled per tick (total distance divided by survival time).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distance_per_ti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3.7. Decisions Per Tick</w:t>
      </w:r>
    </w:p>
    <w:p>
      <w:r>
        <w:t>Convergence analysis of decisions made per tick (total decisions divided by survival time). The left y-axis shows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decisions_per_ti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3.8. Connection Weights</w:t>
      </w:r>
    </w:p>
    <w:p>
      <w:r>
        <w:t>Convergence analysis of synaptic connection weights for representative connections. Two representative connections are shown: Connection 1→6 and Connection 3→10. Each plot shows the left y-axis with central tendency (rolling mean and median) and data spread (rolling IQR), while the right y-axis shows uncertainty estimates (bootstrap SE of median and SE of mean). Convergence is achieved when both the central tendency and uncertainty curves have stabilized.</w:t>
      </w:r>
    </w:p>
    <w:p>
      <w:r>
        <w:drawing>
          <wp:inline xmlns:a="http://schemas.openxmlformats.org/drawingml/2006/main" xmlns:pic="http://schemas.openxmlformats.org/drawingml/2006/picture">
            <wp:extent cx="5486400" cy="28833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connection_1_to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8833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connection_3_to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