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median_survival</w:t>
      </w:r>
    </w:p>
    <w:p>
      <w:pPr>
        <w:pStyle w:val="Heading2"/>
      </w:pPr>
      <w:r>
        <w:t>1. Experiment Information</w:t>
      </w:r>
    </w:p>
    <w:p>
      <w:pPr>
        <w:pStyle w:val="Heading3"/>
      </w:pPr>
      <w:r>
        <w:t>Random Wiring Variants:</w:t>
      </w:r>
    </w:p>
    <w:p>
      <w:r>
        <w:t>Experiment folder: 2026-03-08_15-39-28_random_no_regrow_all_tracked</w:t>
      </w:r>
    </w:p>
    <w:p>
      <w:r>
        <w:t>Total random variants analyzed: 1000</w:t>
      </w:r>
    </w:p>
    <w:p>
      <w:r>
        <w:t>Runs per variant: 100</w:t>
      </w:r>
    </w:p>
    <w:p>
      <w:r>
        <w:t>Total data points (random): 100000</w:t>
      </w:r>
    </w:p>
    <w:p>
      <w:pPr>
        <w:pStyle w:val="Heading2"/>
      </w:pPr>
      <w:r>
        <w:t>1.1. Summary Statistics - Random Wiring Variants</w:t>
      </w:r>
    </w:p>
    <w:p>
      <w:r>
        <w:t>Summary of how long random wiring variants survive in the experimental environment. We measure survival time in simulation ticks across all 1000 variants and 100 runs per variant. The statistics below provide a comprehensive overview of survival time distribution across all measurements.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33.93 ticks</w:t>
            </w:r>
          </w:p>
        </w:tc>
      </w:tr>
      <w:tr>
        <w:tc>
          <w:tcPr>
            <w:tcW w:type="dxa" w:w="4320"/>
          </w:tcPr>
          <w:p>
            <w:r>
              <w:t>Median</w:t>
            </w:r>
          </w:p>
        </w:tc>
        <w:tc>
          <w:tcPr>
            <w:tcW w:type="dxa" w:w="4320"/>
          </w:tcPr>
          <w:p>
            <w:r>
              <w:t>28.00 ticks</w:t>
            </w:r>
          </w:p>
        </w:tc>
      </w:tr>
      <w:tr>
        <w:tc>
          <w:tcPr>
            <w:tcW w:type="dxa" w:w="4320"/>
          </w:tcPr>
          <w:p>
            <w:r>
              <w:t>Std Dev</w:t>
            </w:r>
          </w:p>
        </w:tc>
        <w:tc>
          <w:tcPr>
            <w:tcW w:type="dxa" w:w="4320"/>
          </w:tcPr>
          <w:p>
            <w:r>
              <w:t>26.85 ticks</w:t>
            </w:r>
          </w:p>
        </w:tc>
      </w:tr>
      <w:tr>
        <w:tc>
          <w:tcPr>
            <w:tcW w:type="dxa" w:w="4320"/>
          </w:tcPr>
          <w:p>
            <w:r>
              <w:t>Min</w:t>
            </w:r>
          </w:p>
        </w:tc>
        <w:tc>
          <w:tcPr>
            <w:tcW w:type="dxa" w:w="4320"/>
          </w:tcPr>
          <w:p>
            <w:r>
              <w:t>16.00 ticks</w:t>
            </w:r>
          </w:p>
        </w:tc>
      </w:tr>
      <w:tr>
        <w:tc>
          <w:tcPr>
            <w:tcW w:type="dxa" w:w="4320"/>
          </w:tcPr>
          <w:p>
            <w:r>
              <w:t>Max</w:t>
            </w:r>
          </w:p>
        </w:tc>
        <w:tc>
          <w:tcPr>
            <w:tcW w:type="dxa" w:w="4320"/>
          </w:tcPr>
          <w:p>
            <w:r>
              <w:t>795.00 ticks</w:t>
            </w:r>
          </w:p>
        </w:tc>
      </w:tr>
      <w:tr>
        <w:tc>
          <w:tcPr>
            <w:tcW w:type="dxa" w:w="4320"/>
          </w:tcPr>
          <w:p>
            <w:r>
              <w:t>Range</w:t>
            </w:r>
          </w:p>
        </w:tc>
        <w:tc>
          <w:tcPr>
            <w:tcW w:type="dxa" w:w="4320"/>
          </w:tcPr>
          <w:p>
            <w:r>
              <w:t>779.00 ticks</w:t>
            </w:r>
          </w:p>
        </w:tc>
      </w:tr>
      <w:tr>
        <w:tc>
          <w:tcPr>
            <w:tcW w:type="dxa" w:w="4320"/>
          </w:tcPr>
          <w:p>
            <w:r>
              <w:t>IQR (25th-75th percentile)</w:t>
            </w:r>
          </w:p>
        </w:tc>
        <w:tc>
          <w:tcPr>
            <w:tcW w:type="dxa" w:w="4320"/>
          </w:tcPr>
          <w:p>
            <w:r>
              <w:t>19.00 ticks</w:t>
            </w:r>
          </w:p>
        </w:tc>
      </w:tr>
      <w:tr>
        <w:tc>
          <w:tcPr>
            <w:tcW w:type="dxa" w:w="4320"/>
          </w:tcPr>
          <w:p>
            <w:r>
              <w:t>5th Percentile</w:t>
            </w:r>
          </w:p>
        </w:tc>
        <w:tc>
          <w:tcPr>
            <w:tcW w:type="dxa" w:w="4320"/>
          </w:tcPr>
          <w:p>
            <w:r>
              <w:t>16.00 ticks</w:t>
            </w:r>
          </w:p>
        </w:tc>
      </w:tr>
      <w:tr>
        <w:tc>
          <w:tcPr>
            <w:tcW w:type="dxa" w:w="4320"/>
          </w:tcPr>
          <w:p>
            <w:r>
              <w:t>25th Percentile</w:t>
            </w:r>
          </w:p>
        </w:tc>
        <w:tc>
          <w:tcPr>
            <w:tcW w:type="dxa" w:w="4320"/>
          </w:tcPr>
          <w:p>
            <w:r>
              <w:t>18.00 ticks</w:t>
            </w:r>
          </w:p>
        </w:tc>
      </w:tr>
      <w:tr>
        <w:tc>
          <w:tcPr>
            <w:tcW w:type="dxa" w:w="4320"/>
          </w:tcPr>
          <w:p>
            <w:r>
              <w:t>75th Percentile</w:t>
            </w:r>
          </w:p>
        </w:tc>
        <w:tc>
          <w:tcPr>
            <w:tcW w:type="dxa" w:w="4320"/>
          </w:tcPr>
          <w:p>
            <w:r>
              <w:t>37.00 ticks</w:t>
            </w:r>
          </w:p>
        </w:tc>
      </w:tr>
      <w:tr>
        <w:tc>
          <w:tcPr>
            <w:tcW w:type="dxa" w:w="4320"/>
          </w:tcPr>
          <w:p>
            <w:r>
              <w:t>95th Percentile</w:t>
            </w:r>
          </w:p>
        </w:tc>
        <w:tc>
          <w:tcPr>
            <w:tcW w:type="dxa" w:w="4320"/>
          </w:tcPr>
          <w:p>
            <w:r>
              <w:t>80.00 ticks</w:t>
            </w:r>
          </w:p>
        </w:tc>
      </w:tr>
      <w:tr>
        <w:tc>
          <w:tcPr>
            <w:tcW w:type="dxa" w:w="4320"/>
          </w:tcPr>
          <w:p>
            <w:r>
              <w:t>Skewness</w:t>
            </w:r>
          </w:p>
        </w:tc>
        <w:tc>
          <w:tcPr>
            <w:tcW w:type="dxa" w:w="4320"/>
          </w:tcPr>
          <w:p>
            <w:r>
              <w:t>5.085</w:t>
            </w:r>
          </w:p>
        </w:tc>
      </w:tr>
      <w:tr>
        <w:tc>
          <w:tcPr>
            <w:tcW w:type="dxa" w:w="4320"/>
          </w:tcPr>
          <w:p>
            <w:r>
              <w:t>Kurtosis (excess)</w:t>
            </w:r>
          </w:p>
        </w:tc>
        <w:tc>
          <w:tcPr>
            <w:tcW w:type="dxa" w:w="4320"/>
          </w:tcPr>
          <w:p>
            <w:r>
              <w:t>54.580</w:t>
            </w:r>
          </w:p>
        </w:tc>
      </w:tr>
      <w:tr>
        <w:tc>
          <w:tcPr>
            <w:tcW w:type="dxa" w:w="4320"/>
          </w:tcPr>
          <w:p>
            <w:r>
              <w:t>Coefficient of Variation</w:t>
            </w:r>
          </w:p>
        </w:tc>
        <w:tc>
          <w:tcPr>
            <w:tcW w:type="dxa" w:w="4320"/>
          </w:tcPr>
          <w:p>
            <w:r>
              <w:t>79.14 %</w:t>
            </w:r>
          </w:p>
        </w:tc>
      </w:tr>
    </w:tbl>
    <w:p>
      <w:pPr>
        <w:pStyle w:val="Heading2"/>
      </w:pPr>
      <w:r>
        <w:t>2. Group Selection Based on Survival Race</w:t>
      </w:r>
    </w:p>
    <w:p>
      <w:r>
        <w:t xml:space="preserve">Variants are classified as successful or unsuccessful based on their median survival time relative to the achievable performance range. Successful variants achieve median survival ≥ 100.6 ticks (top 10% of 16.0–110.0 range). Unsuccessful variants achieve median survival ≤ 25.4 ticks (bottom 10% of range). </w:t>
      </w:r>
    </w:p>
    <w:p>
      <w:pPr>
        <w:pStyle w:val="Heading3"/>
      </w:pPr>
      <w:r>
        <w:t>Successful Variant Group (Top 10%):</w:t>
      </w:r>
    </w:p>
    <w:p>
      <w:r>
        <w:t>variant_468, variant_639, variant_819</w:t>
      </w:r>
    </w:p>
    <w:p>
      <w:pPr>
        <w:pStyle w:val="Heading3"/>
      </w:pPr>
      <w:r>
        <w:t>Unsuccessful Variant Group (Bottom 10%):</w:t>
      </w:r>
    </w:p>
    <w:p>
      <w:r>
        <w:t>variant_09, variant_100, variant_101, variant_102, variant_103, variant_104, variant_105, variant_107, variant_108, variant_11, variant_111, variant_113, variant_116, variant_119, variant_121, variant_123, variant_124, variant_126, variant_127, variant_129, variant_131, variant_136, variant_138, variant_140, variant_142, variant_146, variant_149, variant_15, variant_154, variant_158, variant_162, variant_163, variant_169, variant_171, variant_178, variant_179, variant_18, variant_180, variant_181, variant_186, variant_187, variant_188, variant_189, variant_19, variant_190, variant_191, variant_196, variant_197, variant_199, variant_20, variant_200, variant_201, variant_209, variant_21, variant_212, variant_218, variant_220, variant_223, variant_225, variant_227, variant_228, variant_233, variant_236, variant_239, variant_241, variant_245, variant_250, variant_254, variant_255, variant_259, variant_262, variant_263, variant_264, variant_267, variant_269, variant_276, variant_278, variant_281, variant_282, variant_288, variant_295, variant_296, variant_297, variant_298, variant_30, variant_300, variant_305, variant_307, variant_311, variant_312, variant_317, variant_318, variant_319, variant_32, variant_323, variant_325, variant_337, variant_34, variant_340, variant_341, variant_342, variant_344, variant_347, variant_349, variant_35, variant_352, variant_353, variant_360, variant_362, variant_363, variant_366, variant_37, variant_371, variant_374, variant_375, variant_376, variant_377, variant_378, variant_38, variant_382, variant_385, variant_387, variant_388, variant_39, variant_391, variant_395, variant_396, variant_403, variant_404, variant_405, variant_406, variant_408, variant_410, variant_412, variant_413, variant_416, variant_417, variant_418, variant_420, variant_426, variant_428, variant_429, variant_430, variant_432, variant_434, variant_436, variant_439, variant_44, variant_441, variant_446, variant_449, variant_452, variant_454, variant_459, variant_46, variant_460, variant_463, variant_465, variant_467, variant_469, variant_471, variant_474, variant_477, variant_480, variant_481, variant_483, variant_487, variant_489, variant_49, variant_496, variant_497, variant_499, variant_50, variant_502, variant_505, variant_507, variant_510, variant_511, variant_513, variant_515, variant_518, variant_519, variant_521, variant_522, variant_525, variant_529, variant_536, variant_538, variant_542, variant_545, variant_546, variant_547, variant_549, variant_55, variant_550, variant_552, variant_554, variant_56, variant_561, variant_563, variant_564, variant_566, variant_567, variant_571, variant_574, variant_575, variant_576, variant_579, variant_58, variant_581, variant_582, variant_583, variant_585, variant_588, variant_590, variant_591, variant_593, variant_594, variant_595, variant_596, variant_597, variant_600, variant_601, variant_605, variant_61, variant_614, variant_617, variant_618, variant_619, variant_621, variant_622, variant_624, variant_626, variant_627, variant_628, variant_63, variant_632, variant_638, variant_641, variant_643, variant_644, variant_648, variant_649, variant_653, variant_654, variant_659, variant_66, variant_661, variant_663, variant_67, variant_673, variant_674, variant_675, variant_676, variant_678, variant_682, variant_684, variant_686, variant_689, variant_69, variant_691, variant_692, variant_696, variant_70, variant_700, variant_704, variant_709, variant_712, variant_714, variant_718, variant_72, variant_720, variant_722, variant_724, variant_726, variant_727, variant_729, variant_732, variant_734, variant_739, variant_74, variant_740, variant_741, variant_742, variant_744, variant_745, variant_746, variant_749, variant_75, variant_751, variant_753, variant_754, variant_755, variant_757, variant_758, variant_759, variant_76, variant_761, variant_762, variant_763, variant_77, variant_771, variant_772, variant_777, variant_778, variant_779, variant_780, variant_782, variant_786, variant_791, variant_793, variant_794, variant_798, variant_80, variant_802, variant_805, variant_806, variant_810, variant_812, variant_813, variant_815, variant_817, variant_818, variant_82, variant_820, variant_823, variant_824, variant_825, variant_826, variant_831, variant_833, variant_837, variant_846, variant_847, variant_848, variant_852, variant_853, variant_856, variant_858, variant_861, variant_865, variant_87, variant_874, variant_877, variant_879, variant_881, variant_883, variant_885, variant_886, variant_887, variant_888, variant_889, variant_89, variant_893, variant_895, variant_898, variant_899, variant_901, variant_906, variant_908, variant_909, variant_912, variant_918, variant_924, variant_929, variant_932, variant_937, variant_94, variant_941, variant_942, variant_947, variant_949, variant_953, variant_954, variant_956, variant_958, variant_965, variant_966, variant_967, variant_971, variant_972, variant_973, variant_974, variant_978, variant_979, variant_982, variant_984, variant_986, variant_987, variant_988, variant_99, variant_992, variant_993, variant_999</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median_survival.png"/>
                    <pic:cNvPicPr/>
                  </pic:nvPicPr>
                  <pic:blipFill>
                    <a:blip r:embed="rId9"/>
                    <a:stretch>
                      <a:fillRect/>
                    </a:stretch>
                  </pic:blipFill>
                  <pic:spPr>
                    <a:xfrm>
                      <a:off x="0" y="0"/>
                      <a:ext cx="5486400" cy="3079239"/>
                    </a:xfrm>
                    <a:prstGeom prst="rect"/>
                  </pic:spPr>
                </pic:pic>
              </a:graphicData>
            </a:graphic>
          </wp:inline>
        </w:drawing>
      </w:r>
    </w:p>
    <w:p/>
    <w:p>
      <w:pPr>
        <w:pStyle w:val="Heading2"/>
      </w:pPr>
      <w:r>
        <w:t>3. Comparison</w:t>
      </w:r>
    </w:p>
    <w:p>
      <w:r>
        <w:t>This section compares metrics between successful and unsuccessful random variants, and against benchmark implementations where available. Survival times comparison helps validate our group selection; subsequent sections examine behavioral and performance metrics.</w:t>
      </w:r>
    </w:p>
    <w:p>
      <w:pPr>
        <w:pStyle w:val="Heading3"/>
      </w:pPr>
      <w:r>
        <w:t>3.1. Survival Times</w:t>
      </w:r>
    </w:p>
    <w:p>
      <w:r>
        <w:t>Comparison of lifetime survival between successful and unsuccessful variants. Note: This metric is somewhat redundant since we selected groups specifically based on survival time, but it provides useful verification of group separation and reveals distribution characteristics.</w:t>
      </w:r>
    </w:p>
    <w:p>
      <w:r>
        <w:drawing>
          <wp:inline xmlns:a="http://schemas.openxmlformats.org/drawingml/2006/main" xmlns:pic="http://schemas.openxmlformats.org/drawingml/2006/picture">
            <wp:extent cx="5486400" cy="3610547"/>
            <wp:docPr id="2" name="Picture 2"/>
            <wp:cNvGraphicFramePr>
              <a:graphicFrameLocks noChangeAspect="1"/>
            </wp:cNvGraphicFramePr>
            <a:graphic>
              <a:graphicData uri="http://schemas.openxmlformats.org/drawingml/2006/picture">
                <pic:pic>
                  <pic:nvPicPr>
                    <pic:cNvPr id="0" name="comp_survival_median_survival.png"/>
                    <pic:cNvPicPr/>
                  </pic:nvPicPr>
                  <pic:blipFill>
                    <a:blip r:embed="rId10"/>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123.773</w:t>
            </w:r>
          </w:p>
        </w:tc>
        <w:tc>
          <w:tcPr>
            <w:tcW w:type="dxa" w:w="2880"/>
          </w:tcPr>
          <w:p>
            <w:r>
              <w:t>22.849</w:t>
            </w:r>
          </w:p>
        </w:tc>
      </w:tr>
      <w:tr>
        <w:tc>
          <w:tcPr>
            <w:tcW w:type="dxa" w:w="2880"/>
          </w:tcPr>
          <w:p>
            <w:r>
              <w:t>Median</w:t>
            </w:r>
          </w:p>
        </w:tc>
        <w:tc>
          <w:tcPr>
            <w:tcW w:type="dxa" w:w="2880"/>
          </w:tcPr>
          <w:p>
            <w:r>
              <w:t>108.000</w:t>
            </w:r>
          </w:p>
        </w:tc>
        <w:tc>
          <w:tcPr>
            <w:tcW w:type="dxa" w:w="2880"/>
          </w:tcPr>
          <w:p>
            <w:r>
              <w:t>17.000</w:t>
            </w:r>
          </w:p>
        </w:tc>
      </w:tr>
      <w:tr>
        <w:tc>
          <w:tcPr>
            <w:tcW w:type="dxa" w:w="2880"/>
          </w:tcPr>
          <w:p>
            <w:r>
              <w:t>Std Dev</w:t>
            </w:r>
          </w:p>
        </w:tc>
        <w:tc>
          <w:tcPr>
            <w:tcW w:type="dxa" w:w="2880"/>
          </w:tcPr>
          <w:p>
            <w:r>
              <w:t>96.508</w:t>
            </w:r>
          </w:p>
        </w:tc>
        <w:tc>
          <w:tcPr>
            <w:tcW w:type="dxa" w:w="2880"/>
          </w:tcPr>
          <w:p>
            <w:r>
              <w:t>13.176</w:t>
            </w:r>
          </w:p>
        </w:tc>
      </w:tr>
      <w:tr>
        <w:tc>
          <w:tcPr>
            <w:tcW w:type="dxa" w:w="2880"/>
          </w:tcPr>
          <w:p>
            <w:r>
              <w:t>Min</w:t>
            </w:r>
          </w:p>
        </w:tc>
        <w:tc>
          <w:tcPr>
            <w:tcW w:type="dxa" w:w="2880"/>
          </w:tcPr>
          <w:p>
            <w:r>
              <w:t>16.000</w:t>
            </w:r>
          </w:p>
        </w:tc>
        <w:tc>
          <w:tcPr>
            <w:tcW w:type="dxa" w:w="2880"/>
          </w:tcPr>
          <w:p>
            <w:r>
              <w:t>16.000</w:t>
            </w:r>
          </w:p>
        </w:tc>
      </w:tr>
      <w:tr>
        <w:tc>
          <w:tcPr>
            <w:tcW w:type="dxa" w:w="2880"/>
          </w:tcPr>
          <w:p>
            <w:r>
              <w:t>Max</w:t>
            </w:r>
          </w:p>
        </w:tc>
        <w:tc>
          <w:tcPr>
            <w:tcW w:type="dxa" w:w="2880"/>
          </w:tcPr>
          <w:p>
            <w:r>
              <w:t>645.000</w:t>
            </w:r>
          </w:p>
        </w:tc>
        <w:tc>
          <w:tcPr>
            <w:tcW w:type="dxa" w:w="2880"/>
          </w:tcPr>
          <w:p>
            <w:r>
              <w:t>342.000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896630.5000</w:t>
            </w:r>
          </w:p>
        </w:tc>
      </w:tr>
      <w:tr>
        <w:tc>
          <w:tcPr>
            <w:tcW w:type="dxa" w:w="4320"/>
          </w:tcPr>
          <w:p>
            <w:r>
              <w:t>p-value</w:t>
            </w:r>
          </w:p>
        </w:tc>
        <w:tc>
          <w:tcPr>
            <w:tcW w:type="dxa" w:w="4320"/>
          </w:tcPr>
          <w:p>
            <w:r>
              <w:t>9.7296e-155</w:t>
            </w:r>
          </w:p>
        </w:tc>
      </w:tr>
    </w:tbl>
    <w:p/>
    <w:p>
      <w:pPr>
        <w:pStyle w:val="Heading3"/>
      </w:pPr>
      <w:r>
        <w:t>TBD - Interpretation of survival time differences.</w:t>
      </w:r>
    </w:p>
    <w:p>
      <w:pPr>
        <w:pStyle w:val="Heading3"/>
      </w:pPr>
      <w:r>
        <w:t>3.2. Movement Efficiency</w:t>
      </w:r>
    </w:p>
    <w:p>
      <w:r>
        <w:t>Movement efficiency quantifies how effectively variants use sensory information to guide movement. Calculated as movements divided by sensing events in each cardinal direction (N, E, S, W). A ratio close to 1.0 indicates tight coupling between sensing and acting; higher ratios suggest either deliberate multi-movement strategies or noisy sensor integration.</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movement_efficiency_median_survival.png"/>
                    <pic:cNvPicPr/>
                  </pic:nvPicPr>
                  <pic:blipFill>
                    <a:blip r:embed="rId11"/>
                    <a:stretch>
                      <a:fillRect/>
                    </a:stretch>
                  </pic:blipFill>
                  <pic:spPr>
                    <a:xfrm>
                      <a:off x="0" y="0"/>
                      <a:ext cx="5486400" cy="2743200"/>
                    </a:xfrm>
                    <a:prstGeom prst="rect"/>
                  </pic:spPr>
                </pic:pic>
              </a:graphicData>
            </a:graphic>
          </wp:inline>
        </w:drawing>
      </w:r>
    </w:p>
    <w:p/>
    <w:p>
      <w:pPr>
        <w:pStyle w:val="Heading3"/>
      </w:pPr>
      <w:r>
        <w:t>TBD - Interpretation of movement efficiency by direction.</w:t>
      </w:r>
    </w:p>
    <w:p>
      <w:pPr>
        <w:pStyle w:val="Heading3"/>
      </w:pPr>
      <w:r>
        <w:t>3.3. Decision Accuracy</w:t>
      </w:r>
    </w:p>
    <w:p>
      <w:r>
        <w:t>Decision accuracy quantifies how often choices are aligned with food source locations. This measures whether the wiring interprets sensory input to direct movement toward food. Higher accuracy indicates more direct coupling of decisions.</w:t>
      </w:r>
    </w:p>
    <w:p>
      <w:r>
        <w:t>Decision Accuracy = Correct Decisions ÷ Total Decisions</w:t>
      </w:r>
    </w:p>
    <w:p>
      <w:r>
        <w:drawing>
          <wp:inline xmlns:a="http://schemas.openxmlformats.org/drawingml/2006/main" xmlns:pic="http://schemas.openxmlformats.org/drawingml/2006/picture">
            <wp:extent cx="5486400" cy="3610547"/>
            <wp:docPr id="4" name="Picture 4"/>
            <wp:cNvGraphicFramePr>
              <a:graphicFrameLocks noChangeAspect="1"/>
            </wp:cNvGraphicFramePr>
            <a:graphic>
              <a:graphicData uri="http://schemas.openxmlformats.org/drawingml/2006/picture">
                <pic:pic>
                  <pic:nvPicPr>
                    <pic:cNvPr id="0" name="decision_accuracy_median_survival.png"/>
                    <pic:cNvPicPr/>
                  </pic:nvPicPr>
                  <pic:blipFill>
                    <a:blip r:embed="rId12"/>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0.250</w:t>
            </w:r>
          </w:p>
        </w:tc>
        <w:tc>
          <w:tcPr>
            <w:tcW w:type="dxa" w:w="2880"/>
          </w:tcPr>
          <w:p>
            <w:r>
              <w:t>0.296</w:t>
            </w:r>
          </w:p>
        </w:tc>
      </w:tr>
      <w:tr>
        <w:tc>
          <w:tcPr>
            <w:tcW w:type="dxa" w:w="2880"/>
          </w:tcPr>
          <w:p>
            <w:r>
              <w:t>Median</w:t>
            </w:r>
          </w:p>
        </w:tc>
        <w:tc>
          <w:tcPr>
            <w:tcW w:type="dxa" w:w="2880"/>
          </w:tcPr>
          <w:p>
            <w:r>
              <w:t>0.251</w:t>
            </w:r>
          </w:p>
        </w:tc>
        <w:tc>
          <w:tcPr>
            <w:tcW w:type="dxa" w:w="2880"/>
          </w:tcPr>
          <w:p>
            <w:r>
              <w:t>0.286</w:t>
            </w:r>
          </w:p>
        </w:tc>
      </w:tr>
      <w:tr>
        <w:tc>
          <w:tcPr>
            <w:tcW w:type="dxa" w:w="2880"/>
          </w:tcPr>
          <w:p>
            <w:r>
              <w:t>Std Dev</w:t>
            </w:r>
          </w:p>
        </w:tc>
        <w:tc>
          <w:tcPr>
            <w:tcW w:type="dxa" w:w="2880"/>
          </w:tcPr>
          <w:p>
            <w:r>
              <w:t>0.092</w:t>
            </w:r>
          </w:p>
        </w:tc>
        <w:tc>
          <w:tcPr>
            <w:tcW w:type="dxa" w:w="2880"/>
          </w:tcPr>
          <w:p>
            <w:r>
              <w:t>0.168</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0.750</w:t>
            </w:r>
          </w:p>
        </w:tc>
        <w:tc>
          <w:tcPr>
            <w:tcW w:type="dxa" w:w="2880"/>
          </w:tcPr>
          <w:p>
            <w:r>
              <w:t>1.000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6913970.5000</w:t>
            </w:r>
          </w:p>
        </w:tc>
      </w:tr>
      <w:tr>
        <w:tc>
          <w:tcPr>
            <w:tcW w:type="dxa" w:w="4320"/>
          </w:tcPr>
          <w:p>
            <w:r>
              <w:t>p-value</w:t>
            </w:r>
          </w:p>
        </w:tc>
        <w:tc>
          <w:tcPr>
            <w:tcW w:type="dxa" w:w="4320"/>
          </w:tcPr>
          <w:p>
            <w:r>
              <w:t>3.7645e-07</w:t>
            </w:r>
          </w:p>
        </w:tc>
      </w:tr>
    </w:tbl>
    <w:p/>
    <w:p>
      <w:pPr>
        <w:pStyle w:val="Heading3"/>
      </w:pPr>
      <w:r>
        <w:t>TBD - Interpretation of decision accuracy differences.</w:t>
      </w:r>
    </w:p>
    <w:p>
      <w:pPr>
        <w:pStyle w:val="Heading3"/>
      </w:pPr>
      <w:r>
        <w:t>3.4. Distance Traveled</w:t>
      </w:r>
    </w:p>
    <w:p>
      <w:r>
        <w:t>Distance measures how far the worm travels through the environment. Total distance provides insight into exploration strategy; distance per tick reveals movement efficiency in relation to time spent.</w:t>
      </w:r>
    </w:p>
    <w:p>
      <w:pPr>
        <w:pStyle w:val="Heading4"/>
      </w:pPr>
      <w:r>
        <w:t>3.4.1. Distance Traveled (Absolute)</w:t>
      </w:r>
    </w:p>
    <w:p>
      <w:r>
        <w:drawing>
          <wp:inline xmlns:a="http://schemas.openxmlformats.org/drawingml/2006/main" xmlns:pic="http://schemas.openxmlformats.org/drawingml/2006/picture">
            <wp:extent cx="5486400" cy="3610547"/>
            <wp:docPr id="5" name="Picture 5"/>
            <wp:cNvGraphicFramePr>
              <a:graphicFrameLocks noChangeAspect="1"/>
            </wp:cNvGraphicFramePr>
            <a:graphic>
              <a:graphicData uri="http://schemas.openxmlformats.org/drawingml/2006/picture">
                <pic:pic>
                  <pic:nvPicPr>
                    <pic:cNvPr id="0" name="comp_distance_median_survival.png"/>
                    <pic:cNvPicPr/>
                  </pic:nvPicPr>
                  <pic:blipFill>
                    <a:blip r:embed="rId13"/>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92.823</w:t>
            </w:r>
          </w:p>
        </w:tc>
        <w:tc>
          <w:tcPr>
            <w:tcW w:type="dxa" w:w="2880"/>
          </w:tcPr>
          <w:p>
            <w:r>
              <w:t>18.183</w:t>
            </w:r>
          </w:p>
        </w:tc>
      </w:tr>
      <w:tr>
        <w:tc>
          <w:tcPr>
            <w:tcW w:type="dxa" w:w="2880"/>
          </w:tcPr>
          <w:p>
            <w:r>
              <w:t>Median</w:t>
            </w:r>
          </w:p>
        </w:tc>
        <w:tc>
          <w:tcPr>
            <w:tcW w:type="dxa" w:w="2880"/>
          </w:tcPr>
          <w:p>
            <w:r>
              <w:t>80.000</w:t>
            </w:r>
          </w:p>
        </w:tc>
        <w:tc>
          <w:tcPr>
            <w:tcW w:type="dxa" w:w="2880"/>
          </w:tcPr>
          <w:p>
            <w:r>
              <w:t>15.000</w:t>
            </w:r>
          </w:p>
        </w:tc>
      </w:tr>
      <w:tr>
        <w:tc>
          <w:tcPr>
            <w:tcW w:type="dxa" w:w="2880"/>
          </w:tcPr>
          <w:p>
            <w:r>
              <w:t>Std Dev</w:t>
            </w:r>
          </w:p>
        </w:tc>
        <w:tc>
          <w:tcPr>
            <w:tcW w:type="dxa" w:w="2880"/>
          </w:tcPr>
          <w:p>
            <w:r>
              <w:t>74.460</w:t>
            </w:r>
          </w:p>
        </w:tc>
        <w:tc>
          <w:tcPr>
            <w:tcW w:type="dxa" w:w="2880"/>
          </w:tcPr>
          <w:p>
            <w:r>
              <w:t>9.525</w:t>
            </w:r>
          </w:p>
        </w:tc>
      </w:tr>
      <w:tr>
        <w:tc>
          <w:tcPr>
            <w:tcW w:type="dxa" w:w="2880"/>
          </w:tcPr>
          <w:p>
            <w:r>
              <w:t>Min</w:t>
            </w:r>
          </w:p>
        </w:tc>
        <w:tc>
          <w:tcPr>
            <w:tcW w:type="dxa" w:w="2880"/>
          </w:tcPr>
          <w:p>
            <w:r>
              <w:t>8.000</w:t>
            </w:r>
          </w:p>
        </w:tc>
        <w:tc>
          <w:tcPr>
            <w:tcW w:type="dxa" w:w="2880"/>
          </w:tcPr>
          <w:p>
            <w:r>
              <w:t>0.000</w:t>
            </w:r>
          </w:p>
        </w:tc>
      </w:tr>
      <w:tr>
        <w:tc>
          <w:tcPr>
            <w:tcW w:type="dxa" w:w="2880"/>
          </w:tcPr>
          <w:p>
            <w:r>
              <w:t>Max</w:t>
            </w:r>
          </w:p>
        </w:tc>
        <w:tc>
          <w:tcPr>
            <w:tcW w:type="dxa" w:w="2880"/>
          </w:tcPr>
          <w:p>
            <w:r>
              <w:t>525.000</w:t>
            </w:r>
          </w:p>
        </w:tc>
        <w:tc>
          <w:tcPr>
            <w:tcW w:type="dxa" w:w="2880"/>
          </w:tcPr>
          <w:p>
            <w:r>
              <w:t>194.000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1062892.0000</w:t>
            </w:r>
          </w:p>
        </w:tc>
      </w:tr>
      <w:tr>
        <w:tc>
          <w:tcPr>
            <w:tcW w:type="dxa" w:w="4320"/>
          </w:tcPr>
          <w:p>
            <w:r>
              <w:t>p-value</w:t>
            </w:r>
          </w:p>
        </w:tc>
        <w:tc>
          <w:tcPr>
            <w:tcW w:type="dxa" w:w="4320"/>
          </w:tcPr>
          <w:p>
            <w:r>
              <w:t>3.7925e-139</w:t>
            </w:r>
          </w:p>
        </w:tc>
      </w:tr>
    </w:tbl>
    <w:p/>
    <w:p>
      <w:pPr>
        <w:pStyle w:val="Heading3"/>
      </w:pPr>
      <w:r>
        <w:t>TBD - Interpretation of distance differences.</w:t>
      </w:r>
    </w:p>
    <w:p>
      <w:pPr>
        <w:pStyle w:val="Heading4"/>
      </w:pPr>
      <w:r>
        <w:t>3.4.2. Distance Per Tick (Normalized)</w:t>
      </w:r>
    </w:p>
    <w:p>
      <w:pPr>
        <w:pStyle w:val="Heading3"/>
      </w:pPr>
      <w:r>
        <w:t>3.5. Food Consumption</w:t>
      </w:r>
    </w:p>
    <w:p>
      <w:r>
        <w:t>Food consumption measures the number of food items eaten by the worm. Total foods shows absolute consumption; foods per tick reveals feeding efficiency relative to time.</w:t>
      </w:r>
    </w:p>
    <w:p>
      <w:pPr>
        <w:pStyle w:val="Heading4"/>
      </w:pPr>
      <w:r>
        <w:t>3.5.1. Food Consumption (Absolute)</w:t>
      </w:r>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comp_foods_median_survival.png"/>
                    <pic:cNvPicPr/>
                  </pic:nvPicPr>
                  <pic:blipFill>
                    <a:blip r:embed="rId14"/>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20.110</w:t>
            </w:r>
          </w:p>
        </w:tc>
        <w:tc>
          <w:tcPr>
            <w:tcW w:type="dxa" w:w="2880"/>
          </w:tcPr>
          <w:p>
            <w:r>
              <w:t>0.785</w:t>
            </w:r>
          </w:p>
        </w:tc>
      </w:tr>
      <w:tr>
        <w:tc>
          <w:tcPr>
            <w:tcW w:type="dxa" w:w="2880"/>
          </w:tcPr>
          <w:p>
            <w:r>
              <w:t>Median</w:t>
            </w:r>
          </w:p>
        </w:tc>
        <w:tc>
          <w:tcPr>
            <w:tcW w:type="dxa" w:w="2880"/>
          </w:tcPr>
          <w:p>
            <w:r>
              <w:t>17.000</w:t>
            </w:r>
          </w:p>
        </w:tc>
        <w:tc>
          <w:tcPr>
            <w:tcW w:type="dxa" w:w="2880"/>
          </w:tcPr>
          <w:p>
            <w:r>
              <w:t>0.000</w:t>
            </w:r>
          </w:p>
        </w:tc>
      </w:tr>
      <w:tr>
        <w:tc>
          <w:tcPr>
            <w:tcW w:type="dxa" w:w="2880"/>
          </w:tcPr>
          <w:p>
            <w:r>
              <w:t>Std Dev</w:t>
            </w:r>
          </w:p>
        </w:tc>
        <w:tc>
          <w:tcPr>
            <w:tcW w:type="dxa" w:w="2880"/>
          </w:tcPr>
          <w:p>
            <w:r>
              <w:t>18.638</w:t>
            </w:r>
          </w:p>
        </w:tc>
        <w:tc>
          <w:tcPr>
            <w:tcW w:type="dxa" w:w="2880"/>
          </w:tcPr>
          <w:p>
            <w:r>
              <w:t>1.576</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122.000</w:t>
            </w:r>
          </w:p>
        </w:tc>
        <w:tc>
          <w:tcPr>
            <w:tcW w:type="dxa" w:w="2880"/>
          </w:tcPr>
          <w:p>
            <w:r>
              <w:t>40.000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797037.5000</w:t>
            </w:r>
          </w:p>
        </w:tc>
      </w:tr>
      <w:tr>
        <w:tc>
          <w:tcPr>
            <w:tcW w:type="dxa" w:w="4320"/>
          </w:tcPr>
          <w:p>
            <w:r>
              <w:t>p-value</w:t>
            </w:r>
          </w:p>
        </w:tc>
        <w:tc>
          <w:tcPr>
            <w:tcW w:type="dxa" w:w="4320"/>
          </w:tcPr>
          <w:p>
            <w:r>
              <w:t>1.8570e-191</w:t>
            </w:r>
          </w:p>
        </w:tc>
      </w:tr>
    </w:tbl>
    <w:p/>
    <w:p>
      <w:pPr>
        <w:pStyle w:val="Heading3"/>
      </w:pPr>
      <w:r>
        <w:t>TBD - Interpretation of food consumption differences.</w:t>
      </w:r>
    </w:p>
    <w:p>
      <w:pPr>
        <w:pStyle w:val="Heading4"/>
      </w:pPr>
      <w:r>
        <w:t>3.5.2. Food Per Tick (Normalized)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