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Analysis Report: Random Wiring Variants</w:t>
      </w:r>
    </w:p>
    <w:p>
      <w:pPr>
        <w:pStyle w:val="Heading1"/>
      </w:pPr>
      <w:r>
        <w:t>median_survival</w:t>
      </w:r>
    </w:p>
    <w:p>
      <w:pPr>
        <w:pStyle w:val="Heading2"/>
      </w:pPr>
      <w:r>
        <w:t>1. Experiment Information</w:t>
      </w:r>
    </w:p>
    <w:p>
      <w:pPr>
        <w:pStyle w:val="Heading3"/>
      </w:pPr>
      <w:r>
        <w:t>Random Wiring Variants:</w:t>
      </w:r>
    </w:p>
    <w:p>
      <w:r>
        <w:t>Experiment folder: 2026-03-08_15-39-28_random_no_regrow_all_tracked</w:t>
      </w:r>
    </w:p>
    <w:p>
      <w:r>
        <w:t>Total random variants analyzed: 1000</w:t>
      </w:r>
    </w:p>
    <w:p>
      <w:r>
        <w:t>Runs per variant: 100</w:t>
      </w:r>
    </w:p>
    <w:p>
      <w:r>
        <w:t>Total data points (random): 100000</w:t>
      </w:r>
    </w:p>
    <w:p>
      <w:pPr>
        <w:pStyle w:val="Heading2"/>
      </w:pPr>
      <w:r>
        <w:t>1.1. Summary Statistics - Random Wiring Variants</w:t>
      </w:r>
    </w:p>
    <w:p>
      <w:r>
        <w:t>Summary of how long random wiring variants survive in the experimental environment. We measure survival time in simulation ticks and compare the mean and median lifetimes across all 1000 variants to identify which wiring patterns lead to longer survival. The percentile analysis identifies the successful variants with median survival in the top 10% and the least successful variants with median survival in the bottom 10%, which are used for detailed comparisons in subsequent sections.</w:t>
      </w:r>
    </w:p>
    <w:p>
      <w:pPr>
        <w:pStyle w:val="Heading3"/>
      </w:pPr>
      <w:r>
        <w:t>Overall Descriptive Statistics (Across All Variants):</w:t>
      </w:r>
    </w:p>
    <w:tbl>
      <w:tblPr>
        <w:tblStyle w:val="LightGrid-Accent1"/>
        <w:tblW w:type="auto" w:w="0"/>
        <w:tblLook w:firstColumn="1" w:firstRow="1" w:lastColumn="0" w:lastRow="0" w:noHBand="0" w:noVBand="1" w:val="04A0"/>
      </w:tblPr>
      <w:tblGrid>
        <w:gridCol w:w="4320"/>
        <w:gridCol w:w="4320"/>
      </w:tblGrid>
      <w:tr>
        <w:tc>
          <w:tcPr>
            <w:tcW w:type="dxa" w:w="4320"/>
          </w:tcPr>
          <w:p>
            <w:r>
              <w:t>Metric</w:t>
            </w:r>
          </w:p>
        </w:tc>
        <w:tc>
          <w:tcPr>
            <w:tcW w:type="dxa" w:w="4320"/>
          </w:tcPr>
          <w:p>
            <w:r>
              <w:t>Value</w:t>
            </w:r>
          </w:p>
        </w:tc>
      </w:tr>
      <w:tr>
        <w:tc>
          <w:tcPr>
            <w:tcW w:type="dxa" w:w="4320"/>
          </w:tcPr>
          <w:p>
            <w:r>
              <w:t>Mean survival across variants (ticks)</w:t>
            </w:r>
          </w:p>
        </w:tc>
        <w:tc>
          <w:tcPr>
            <w:tcW w:type="dxa" w:w="4320"/>
          </w:tcPr>
          <w:p>
            <w:r>
              <w:t>33.9</w:t>
            </w:r>
          </w:p>
        </w:tc>
      </w:tr>
      <w:tr>
        <w:tc>
          <w:tcPr>
            <w:tcW w:type="dxa" w:w="4320"/>
          </w:tcPr>
          <w:p>
            <w:r>
              <w:t>Std Dev across variants</w:t>
            </w:r>
          </w:p>
        </w:tc>
        <w:tc>
          <w:tcPr>
            <w:tcW w:type="dxa" w:w="4320"/>
          </w:tcPr>
          <w:p>
            <w:r>
              <w:t>14.9</w:t>
            </w:r>
          </w:p>
        </w:tc>
      </w:tr>
      <w:tr>
        <w:tc>
          <w:tcPr>
            <w:tcW w:type="dxa" w:w="4320"/>
          </w:tcPr>
          <w:p>
            <w:r>
              <w:t>Min variant mean</w:t>
            </w:r>
          </w:p>
        </w:tc>
        <w:tc>
          <w:tcPr>
            <w:tcW w:type="dxa" w:w="4320"/>
          </w:tcPr>
          <w:p>
            <w:r>
              <w:t>16.0</w:t>
            </w:r>
          </w:p>
        </w:tc>
      </w:tr>
      <w:tr>
        <w:tc>
          <w:tcPr>
            <w:tcW w:type="dxa" w:w="4320"/>
          </w:tcPr>
          <w:p>
            <w:r>
              <w:t>Max variant mean</w:t>
            </w:r>
          </w:p>
        </w:tc>
        <w:tc>
          <w:tcPr>
            <w:tcW w:type="dxa" w:w="4320"/>
          </w:tcPr>
          <w:p>
            <w:r>
              <w:t>135.7</w:t>
            </w:r>
          </w:p>
        </w:tc>
      </w:tr>
    </w:tbl>
    <w:p>
      <w:pPr>
        <w:pStyle w:val="Heading3"/>
      </w:pPr>
      <w:r>
        <w:t>Percentile Analysis:</w:t>
      </w:r>
    </w:p>
    <w:tbl>
      <w:tblPr>
        <w:tblStyle w:val="LightGrid-Accent1"/>
        <w:tblW w:type="auto" w:w="0"/>
        <w:tblLook w:firstColumn="1" w:firstRow="1" w:lastColumn="0" w:lastRow="0" w:noHBand="0" w:noVBand="1" w:val="04A0"/>
      </w:tblPr>
      <w:tblGrid>
        <w:gridCol w:w="4320"/>
        <w:gridCol w:w="4320"/>
      </w:tblGrid>
      <w:tr>
        <w:tc>
          <w:tcPr>
            <w:tcW w:type="dxa" w:w="4320"/>
          </w:tcPr>
          <w:p>
            <w:r>
              <w:t>Metric</w:t>
            </w:r>
          </w:p>
        </w:tc>
        <w:tc>
          <w:tcPr>
            <w:tcW w:type="dxa" w:w="4320"/>
          </w:tcPr>
          <w:p>
            <w:r>
              <w:t>Value (ticks)</w:t>
            </w:r>
          </w:p>
        </w:tc>
      </w:tr>
      <w:tr>
        <w:tc>
          <w:tcPr>
            <w:tcW w:type="dxa" w:w="4320"/>
          </w:tcPr>
          <w:p>
            <w:r>
              <w:t>90th percentile threshold (Successful)</w:t>
            </w:r>
          </w:p>
        </w:tc>
        <w:tc>
          <w:tcPr>
            <w:tcW w:type="dxa" w:w="4320"/>
          </w:tcPr>
          <w:p>
            <w:r>
              <w:t>40.6</w:t>
            </w:r>
          </w:p>
        </w:tc>
      </w:tr>
      <w:tr>
        <w:tc>
          <w:tcPr>
            <w:tcW w:type="dxa" w:w="4320"/>
          </w:tcPr>
          <w:p>
            <w:r>
              <w:t>10th percentile threshold (Unsuccessful)</w:t>
            </w:r>
          </w:p>
        </w:tc>
        <w:tc>
          <w:tcPr>
            <w:tcW w:type="dxa" w:w="4320"/>
          </w:tcPr>
          <w:p>
            <w:r>
              <w:t>16.0</w:t>
            </w:r>
          </w:p>
        </w:tc>
      </w:tr>
      <w:tr>
        <w:tc>
          <w:tcPr>
            <w:tcW w:type="dxa" w:w="4320"/>
          </w:tcPr>
          <w:p>
            <w:r>
              <w:t>Variants identified in each group</w:t>
            </w:r>
          </w:p>
        </w:tc>
        <w:tc>
          <w:tcPr>
            <w:tcW w:type="dxa" w:w="4320"/>
          </w:tcPr>
          <w:p>
            <w:r>
              <w:t>Successful: 100, Unsuccessful: 153</w:t>
            </w:r>
          </w:p>
        </w:tc>
      </w:tr>
    </w:tbl>
    <w:p>
      <w:pPr>
        <w:pStyle w:val="Heading2"/>
      </w:pPr>
      <w:r>
        <w:t>1.2. Summary Statistics - Benchmark Variants</w:t>
      </w:r>
    </w:p>
    <w:p>
      <w:r>
        <w:t>No benchmark variants provided for this analysis.</w:t>
      </w:r>
    </w:p>
    <w:p>
      <w:pPr>
        <w:pStyle w:val="Heading2"/>
      </w:pPr>
      <w:r>
        <w:t>2. Survival Race Selection</w:t>
      </w:r>
    </w:p>
    <w:p>
      <w:r>
        <w:t>The survival race plot tracks how many individuals from each wiring variant survive over time. Each curve represents a variant's cumulative survival, showing how fitness changes across the simulation. We use this visualization to identify which variants are robustly long-lived. The comparison table shows key statistics for successful versus unsuccessful variants, helping quantify the performance gap.</w:t>
      </w:r>
    </w:p>
    <w:p>
      <w:r>
        <w:t>This plot shows the survival curves for all 1000 wiring variants. Variants are color-coded by their performance percentile:</w:t>
      </w:r>
    </w:p>
    <w:p>
      <w:r>
        <w:t xml:space="preserve">  • Green: Top 10% (median survival ≥ 40.6 ticks) — 100 variants</w:t>
      </w:r>
    </w:p>
    <w:p>
      <w:r>
        <w:t xml:space="preserve">  • Red: Bottom 10% (median survival ≤ 16.0 ticks) — 153 variants</w:t>
      </w:r>
    </w:p>
    <w:p>
      <w:r>
        <w:t xml:space="preserve">  • Gray: Middle 80% (other variants)</w:t>
      </w:r>
    </w:p>
    <w:p>
      <w:r>
        <w:drawing>
          <wp:inline xmlns:a="http://schemas.openxmlformats.org/drawingml/2006/main" xmlns:pic="http://schemas.openxmlformats.org/drawingml/2006/picture">
            <wp:extent cx="5486400" cy="3079239"/>
            <wp:docPr id="1" name="Picture 1"/>
            <wp:cNvGraphicFramePr>
              <a:graphicFrameLocks noChangeAspect="1"/>
            </wp:cNvGraphicFramePr>
            <a:graphic>
              <a:graphicData uri="http://schemas.openxmlformats.org/drawingml/2006/picture">
                <pic:pic>
                  <pic:nvPicPr>
                    <pic:cNvPr id="0" name="survival_race_median_survival.png"/>
                    <pic:cNvPicPr/>
                  </pic:nvPicPr>
                  <pic:blipFill>
                    <a:blip r:embed="rId9"/>
                    <a:stretch>
                      <a:fillRect/>
                    </a:stretch>
                  </pic:blipFill>
                  <pic:spPr>
                    <a:xfrm>
                      <a:off x="0" y="0"/>
                      <a:ext cx="5486400" cy="3079239"/>
                    </a:xfrm>
                    <a:prstGeom prst="rect"/>
                  </pic:spPr>
                </pic:pic>
              </a:graphicData>
            </a:graphic>
          </wp:inline>
        </w:drawing>
      </w:r>
    </w:p>
    <w:p/>
    <w:p>
      <w:r>
        <w:t>Successful vs Unsuccessful Comparison: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Successful (Top 10%)</w:t>
            </w:r>
          </w:p>
        </w:tc>
        <w:tc>
          <w:tcPr>
            <w:tcW w:type="dxa" w:w="2880"/>
          </w:tcPr>
          <w:p>
            <w:r>
              <w:t>Unsuccessful (Bottom 10%)</w:t>
            </w:r>
          </w:p>
        </w:tc>
      </w:tr>
      <w:tr>
        <w:tc>
          <w:tcPr>
            <w:tcW w:type="dxa" w:w="2880"/>
          </w:tcPr>
          <w:p>
            <w:r>
              <w:t>Number of runs</w:t>
            </w:r>
          </w:p>
        </w:tc>
        <w:tc>
          <w:tcPr>
            <w:tcW w:type="dxa" w:w="2880"/>
          </w:tcPr>
          <w:p>
            <w:r>
              <w:t>10000</w:t>
            </w:r>
          </w:p>
        </w:tc>
        <w:tc>
          <w:tcPr>
            <w:tcW w:type="dxa" w:w="2880"/>
          </w:tcPr>
          <w:p>
            <w:r>
              <w:t>15300</w:t>
            </w:r>
          </w:p>
        </w:tc>
      </w:tr>
      <w:tr>
        <w:tc>
          <w:tcPr>
            <w:tcW w:type="dxa" w:w="2880"/>
          </w:tcPr>
          <w:p>
            <w:r>
              <w:t>Mean (ticks)</w:t>
            </w:r>
          </w:p>
        </w:tc>
        <w:tc>
          <w:tcPr>
            <w:tcW w:type="dxa" w:w="2880"/>
          </w:tcPr>
          <w:p>
            <w:r>
              <w:t>66.0</w:t>
            </w:r>
          </w:p>
        </w:tc>
        <w:tc>
          <w:tcPr>
            <w:tcW w:type="dxa" w:w="2880"/>
          </w:tcPr>
          <w:p>
            <w:r>
              <w:t>18.4</w:t>
            </w:r>
          </w:p>
        </w:tc>
      </w:tr>
      <w:tr>
        <w:tc>
          <w:tcPr>
            <w:tcW w:type="dxa" w:w="2880"/>
          </w:tcPr>
          <w:p>
            <w:r>
              <w:t>Median (ticks)</w:t>
            </w:r>
          </w:p>
        </w:tc>
        <w:tc>
          <w:tcPr>
            <w:tcW w:type="dxa" w:w="2880"/>
          </w:tcPr>
          <w:p>
            <w:r>
              <w:t>52.0</w:t>
            </w:r>
          </w:p>
        </w:tc>
        <w:tc>
          <w:tcPr>
            <w:tcW w:type="dxa" w:w="2880"/>
          </w:tcPr>
          <w:p>
            <w:r>
              <w:t>16.0</w:t>
            </w:r>
          </w:p>
        </w:tc>
      </w:tr>
      <w:tr>
        <w:tc>
          <w:tcPr>
            <w:tcW w:type="dxa" w:w="2880"/>
          </w:tcPr>
          <w:p>
            <w:r>
              <w:t>Std Dev (ticks)</w:t>
            </w:r>
          </w:p>
        </w:tc>
        <w:tc>
          <w:tcPr>
            <w:tcW w:type="dxa" w:w="2880"/>
          </w:tcPr>
          <w:p>
            <w:r>
              <w:t>52.7</w:t>
            </w:r>
          </w:p>
        </w:tc>
        <w:tc>
          <w:tcPr>
            <w:tcW w:type="dxa" w:w="2880"/>
          </w:tcPr>
          <w:p>
            <w:r>
              <w:t>6.5</w:t>
            </w:r>
          </w:p>
        </w:tc>
      </w:tr>
      <w:tr>
        <w:tc>
          <w:tcPr>
            <w:tcW w:type="dxa" w:w="2880"/>
          </w:tcPr>
          <w:p>
            <w:r>
              <w:t>Min (ticks)</w:t>
            </w:r>
          </w:p>
        </w:tc>
        <w:tc>
          <w:tcPr>
            <w:tcW w:type="dxa" w:w="2880"/>
          </w:tcPr>
          <w:p>
            <w:r>
              <w:t>16.0</w:t>
            </w:r>
          </w:p>
        </w:tc>
        <w:tc>
          <w:tcPr>
            <w:tcW w:type="dxa" w:w="2880"/>
          </w:tcPr>
          <w:p>
            <w:r>
              <w:t>16.0</w:t>
            </w:r>
          </w:p>
        </w:tc>
      </w:tr>
      <w:tr>
        <w:tc>
          <w:tcPr>
            <w:tcW w:type="dxa" w:w="2880"/>
          </w:tcPr>
          <w:p>
            <w:r>
              <w:t>Max (ticks)</w:t>
            </w:r>
          </w:p>
        </w:tc>
        <w:tc>
          <w:tcPr>
            <w:tcW w:type="dxa" w:w="2880"/>
          </w:tcPr>
          <w:p>
            <w:r>
              <w:t>795.0</w:t>
            </w:r>
          </w:p>
        </w:tc>
        <w:tc>
          <w:tcPr>
            <w:tcW w:type="dxa" w:w="2880"/>
          </w:tcPr>
          <w:p>
            <w:r>
              <w:t>163.0</w:t>
            </w:r>
          </w:p>
        </w:tc>
      </w:tr>
    </w:tbl>
    <w:p>
      <w:r>
        <w:drawing>
          <wp:inline xmlns:a="http://schemas.openxmlformats.org/drawingml/2006/main" xmlns:pic="http://schemas.openxmlformats.org/drawingml/2006/picture">
            <wp:extent cx="5486400" cy="3607410"/>
            <wp:docPr id="2" name="Picture 2"/>
            <wp:cNvGraphicFramePr>
              <a:graphicFrameLocks noChangeAspect="1"/>
            </wp:cNvGraphicFramePr>
            <a:graphic>
              <a:graphicData uri="http://schemas.openxmlformats.org/drawingml/2006/picture">
                <pic:pic>
                  <pic:nvPicPr>
                    <pic:cNvPr id="0" name="comp_survival_median_survival.png"/>
                    <pic:cNvPicPr/>
                  </pic:nvPicPr>
                  <pic:blipFill>
                    <a:blip r:embed="rId10"/>
                    <a:stretch>
                      <a:fillRect/>
                    </a:stretch>
                  </pic:blipFill>
                  <pic:spPr>
                    <a:xfrm>
                      <a:off x="0" y="0"/>
                      <a:ext cx="5486400" cy="3607410"/>
                    </a:xfrm>
                    <a:prstGeom prst="rect"/>
                  </pic:spPr>
                </pic:pic>
              </a:graphicData>
            </a:graphic>
          </wp:inline>
        </w:drawing>
      </w:r>
    </w:p>
    <w:p/>
    <w:p>
      <w:pPr>
        <w:pStyle w:val="Heading3"/>
      </w:pPr>
      <w:r>
        <w:t>Mann-Whitney U Test Results (Random Variants Only):</w:t>
      </w:r>
    </w:p>
    <w:p>
      <w:r>
        <w:t xml:space="preserve">This statistical test compares whether successful and unsuccessful random variants have significantly different survival distributions. </w:t>
      </w:r>
    </w:p>
    <w:tbl>
      <w:tblPr>
        <w:tblStyle w:val="LightGrid-Accent1"/>
        <w:tblW w:type="auto" w:w="0"/>
        <w:tblLook w:firstColumn="1" w:firstRow="1" w:lastColumn="0" w:lastRow="0" w:noHBand="0" w:noVBand="1" w:val="04A0"/>
      </w:tblPr>
      <w:tblGrid>
        <w:gridCol w:w="4320"/>
        <w:gridCol w:w="4320"/>
      </w:tblGrid>
      <w:tr>
        <w:tc>
          <w:tcPr>
            <w:tcW w:type="dxa" w:w="4320"/>
          </w:tcPr>
          <w:p>
            <w:r>
              <w:t>Test Statistic</w:t>
            </w:r>
          </w:p>
        </w:tc>
        <w:tc>
          <w:tcPr>
            <w:tcW w:type="dxa" w:w="4320"/>
          </w:tcPr>
          <w:p>
            <w:r>
              <w:t>Value</w:t>
            </w:r>
          </w:p>
        </w:tc>
      </w:tr>
      <w:tr>
        <w:tc>
          <w:tcPr>
            <w:tcW w:type="dxa" w:w="4320"/>
          </w:tcPr>
          <w:p>
            <w:r>
              <w:t>U-statistic</w:t>
            </w:r>
          </w:p>
        </w:tc>
        <w:tc>
          <w:tcPr>
            <w:tcW w:type="dxa" w:w="4320"/>
          </w:tcPr>
          <w:p>
            <w:r>
              <w:t>7521299.0000</w:t>
            </w:r>
          </w:p>
        </w:tc>
      </w:tr>
      <w:tr>
        <w:tc>
          <w:tcPr>
            <w:tcW w:type="dxa" w:w="4320"/>
          </w:tcPr>
          <w:p>
            <w:r>
              <w:t>p-value</w:t>
            </w:r>
          </w:p>
        </w:tc>
        <w:tc>
          <w:tcPr>
            <w:tcW w:type="dxa" w:w="4320"/>
          </w:tcPr>
          <w:p>
            <w:r>
              <w:t>0.0000e+00</w:t>
            </w:r>
          </w:p>
        </w:tc>
      </w:tr>
    </w:tbl>
    <w:p/>
    <w:p>
      <w:pPr>
        <w:pStyle w:val="Heading2"/>
      </w:pPr>
      <w:r>
        <w:t>3. Comparison between groups</w:t>
      </w:r>
    </w:p>
    <w:p>
      <w:r>
        <w:t xml:space="preserve">Break down of successful versus unsuccessful variants across multiple metrics. </w:t>
      </w:r>
    </w:p>
    <w:p>
      <w:pPr>
        <w:pStyle w:val="Heading2"/>
      </w:pPr>
      <w:r>
        <w:t>3.1. Movement Efficiency</w:t>
      </w:r>
    </w:p>
    <w:p>
      <w:r>
        <w:t>For each cardinal direction (North, East, South, West), we calculate the ratio of movement commands to sensory detections. A ratio close to 1.0 indicates tight coupling between sensing and movement (reflexory behavior: the worm moves in response to each sensory detection). Ratios far from 1.0 (either much higher or much lower) indicate decoupling: the worm either moves more without sensing, or senses food but moves selectively. This metric reveals fundamental differences in movement strategy between successful and unsuccessful variants—whether they rely on reflexory sensorimotor coupling or employ a different navigation strategy.</w:t>
      </w:r>
    </w:p>
    <w:p>
      <w:r>
        <w:t>Movement Efficiency = Movement Count ÷ Sensing Count per direction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Direction</w:t>
            </w:r>
          </w:p>
        </w:tc>
        <w:tc>
          <w:tcPr>
            <w:tcW w:type="dxa" w:w="2880"/>
          </w:tcPr>
          <w:p>
            <w:r>
              <w:t>Unsuccessful (Mean ± Std)</w:t>
            </w:r>
          </w:p>
        </w:tc>
        <w:tc>
          <w:tcPr>
            <w:tcW w:type="dxa" w:w="2880"/>
          </w:tcPr>
          <w:p>
            <w:r>
              <w:t>Successful (Mean ± Std)</w:t>
            </w:r>
          </w:p>
        </w:tc>
      </w:tr>
      <w:tr>
        <w:tc>
          <w:tcPr>
            <w:tcW w:type="dxa" w:w="2880"/>
          </w:tcPr>
          <w:p>
            <w:r>
              <w:t>N</w:t>
            </w:r>
          </w:p>
        </w:tc>
        <w:tc>
          <w:tcPr>
            <w:tcW w:type="dxa" w:w="2880"/>
          </w:tcPr>
          <w:p>
            <w:r>
              <w:t>0.997 ± 1.799</w:t>
            </w:r>
          </w:p>
        </w:tc>
        <w:tc>
          <w:tcPr>
            <w:tcW w:type="dxa" w:w="2880"/>
          </w:tcPr>
          <w:p>
            <w:r>
              <w:t>0.924 ± 1.439</w:t>
            </w:r>
          </w:p>
        </w:tc>
      </w:tr>
      <w:tr>
        <w:tc>
          <w:tcPr>
            <w:tcW w:type="dxa" w:w="2880"/>
          </w:tcPr>
          <w:p>
            <w:r>
              <w:t>E</w:t>
            </w:r>
          </w:p>
        </w:tc>
        <w:tc>
          <w:tcPr>
            <w:tcW w:type="dxa" w:w="2880"/>
          </w:tcPr>
          <w:p>
            <w:r>
              <w:t>1.247 ± 2.014</w:t>
            </w:r>
          </w:p>
        </w:tc>
        <w:tc>
          <w:tcPr>
            <w:tcW w:type="dxa" w:w="2880"/>
          </w:tcPr>
          <w:p>
            <w:r>
              <w:t>1.050 ± 1.707</w:t>
            </w:r>
          </w:p>
        </w:tc>
      </w:tr>
      <w:tr>
        <w:tc>
          <w:tcPr>
            <w:tcW w:type="dxa" w:w="2880"/>
          </w:tcPr>
          <w:p>
            <w:r>
              <w:t>S</w:t>
            </w:r>
          </w:p>
        </w:tc>
        <w:tc>
          <w:tcPr>
            <w:tcW w:type="dxa" w:w="2880"/>
          </w:tcPr>
          <w:p>
            <w:r>
              <w:t>1.161 ± 1.984</w:t>
            </w:r>
          </w:p>
        </w:tc>
        <w:tc>
          <w:tcPr>
            <w:tcW w:type="dxa" w:w="2880"/>
          </w:tcPr>
          <w:p>
            <w:r>
              <w:t>1.105 ± 1.654</w:t>
            </w:r>
          </w:p>
        </w:tc>
      </w:tr>
      <w:tr>
        <w:tc>
          <w:tcPr>
            <w:tcW w:type="dxa" w:w="2880"/>
          </w:tcPr>
          <w:p>
            <w:r>
              <w:t>W</w:t>
            </w:r>
          </w:p>
        </w:tc>
        <w:tc>
          <w:tcPr>
            <w:tcW w:type="dxa" w:w="2880"/>
          </w:tcPr>
          <w:p>
            <w:r>
              <w:t>1.326 ± 2.122</w:t>
            </w:r>
          </w:p>
        </w:tc>
        <w:tc>
          <w:tcPr>
            <w:tcW w:type="dxa" w:w="2880"/>
          </w:tcPr>
          <w:p>
            <w:r>
              <w:t>0.924 ± 1.380</w:t>
            </w:r>
          </w:p>
        </w:tc>
      </w:tr>
    </w:tbl>
    <w:p>
      <w:r>
        <w:drawing>
          <wp:inline xmlns:a="http://schemas.openxmlformats.org/drawingml/2006/main" xmlns:pic="http://schemas.openxmlformats.org/drawingml/2006/picture">
            <wp:extent cx="5486400" cy="2707671"/>
            <wp:docPr id="3" name="Picture 3"/>
            <wp:cNvGraphicFramePr>
              <a:graphicFrameLocks noChangeAspect="1"/>
            </wp:cNvGraphicFramePr>
            <a:graphic>
              <a:graphicData uri="http://schemas.openxmlformats.org/drawingml/2006/picture">
                <pic:pic>
                  <pic:nvPicPr>
                    <pic:cNvPr id="0" name="movement_efficiency_median_survival.png"/>
                    <pic:cNvPicPr/>
                  </pic:nvPicPr>
                  <pic:blipFill>
                    <a:blip r:embed="rId11"/>
                    <a:stretch>
                      <a:fillRect/>
                    </a:stretch>
                  </pic:blipFill>
                  <pic:spPr>
                    <a:xfrm>
                      <a:off x="0" y="0"/>
                      <a:ext cx="5486400" cy="2707671"/>
                    </a:xfrm>
                    <a:prstGeom prst="rect"/>
                  </pic:spPr>
                </pic:pic>
              </a:graphicData>
            </a:graphic>
          </wp:inline>
        </w:drawing>
      </w:r>
    </w:p>
    <w:p/>
    <w:p>
      <w:pPr>
        <w:pStyle w:val="Heading2"/>
      </w:pPr>
      <w:r>
        <w:t>3.2. Decision Accuracy</w:t>
      </w:r>
    </w:p>
    <w:p>
      <w:r>
        <w:t>Decision accuracy quantifies how often choices are aligned with food source locations. This measures the quality of neural computation, whether the wiring interprets sensory input to direct movement toward food. Higher accuracy indicates more reliable neural circuits. We compare the distribution of accuracy values between successful and unsuccessful variants to determine whether fitness correlates with decision-making precision, or if other factors like movement efficiency play a larger role. Note that moving onto sensed food is a very shortsighted strategy that might not lead to an optimal solution in more complex tasks e.g. with food regrow in previous positions.</w:t>
      </w:r>
    </w:p>
    <w:p>
      <w:r>
        <w:t>Decision Accuracy = Correct Decisions ÷ Total Decisions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Successful (Top 10%)</w:t>
            </w:r>
          </w:p>
        </w:tc>
        <w:tc>
          <w:tcPr>
            <w:tcW w:type="dxa" w:w="2880"/>
          </w:tcPr>
          <w:p>
            <w:r>
              <w:t>Unsuccessful (Bottom 10%)</w:t>
            </w:r>
          </w:p>
        </w:tc>
      </w:tr>
      <w:tr>
        <w:tc>
          <w:tcPr>
            <w:tcW w:type="dxa" w:w="2880"/>
          </w:tcPr>
          <w:p>
            <w:r>
              <w:t>Number of runs</w:t>
            </w:r>
          </w:p>
        </w:tc>
        <w:tc>
          <w:tcPr>
            <w:tcW w:type="dxa" w:w="2880"/>
          </w:tcPr>
          <w:p>
            <w:r>
              <w:t>10000</w:t>
            </w:r>
          </w:p>
        </w:tc>
        <w:tc>
          <w:tcPr>
            <w:tcW w:type="dxa" w:w="2880"/>
          </w:tcPr>
          <w:p>
            <w:r>
              <w:t>15300</w:t>
            </w:r>
          </w:p>
        </w:tc>
      </w:tr>
      <w:tr>
        <w:tc>
          <w:tcPr>
            <w:tcW w:type="dxa" w:w="2880"/>
          </w:tcPr>
          <w:p>
            <w:r>
              <w:t>Mean accuracy</w:t>
            </w:r>
          </w:p>
        </w:tc>
        <w:tc>
          <w:tcPr>
            <w:tcW w:type="dxa" w:w="2880"/>
          </w:tcPr>
          <w:p>
            <w:r>
              <w:t>0.209</w:t>
            </w:r>
          </w:p>
        </w:tc>
        <w:tc>
          <w:tcPr>
            <w:tcW w:type="dxa" w:w="2880"/>
          </w:tcPr>
          <w:p>
            <w:r>
              <w:t>0.328</w:t>
            </w:r>
          </w:p>
        </w:tc>
      </w:tr>
      <w:tr>
        <w:tc>
          <w:tcPr>
            <w:tcW w:type="dxa" w:w="2880"/>
          </w:tcPr>
          <w:p>
            <w:r>
              <w:t>Median accuracy</w:t>
            </w:r>
          </w:p>
        </w:tc>
        <w:tc>
          <w:tcPr>
            <w:tcW w:type="dxa" w:w="2880"/>
          </w:tcPr>
          <w:p>
            <w:r>
              <w:t>0.205</w:t>
            </w:r>
          </w:p>
        </w:tc>
        <w:tc>
          <w:tcPr>
            <w:tcW w:type="dxa" w:w="2880"/>
          </w:tcPr>
          <w:p>
            <w:r>
              <w:t>0.333</w:t>
            </w:r>
          </w:p>
        </w:tc>
      </w:tr>
      <w:tr>
        <w:tc>
          <w:tcPr>
            <w:tcW w:type="dxa" w:w="2880"/>
          </w:tcPr>
          <w:p>
            <w:r>
              <w:t>Std Dev</w:t>
            </w:r>
          </w:p>
        </w:tc>
        <w:tc>
          <w:tcPr>
            <w:tcW w:type="dxa" w:w="2880"/>
          </w:tcPr>
          <w:p>
            <w:r>
              <w:t>0.123</w:t>
            </w:r>
          </w:p>
        </w:tc>
        <w:tc>
          <w:tcPr>
            <w:tcW w:type="dxa" w:w="2880"/>
          </w:tcPr>
          <w:p>
            <w:r>
              <w:t>0.169</w:t>
            </w:r>
          </w:p>
        </w:tc>
      </w:tr>
      <w:tr>
        <w:tc>
          <w:tcPr>
            <w:tcW w:type="dxa" w:w="2880"/>
          </w:tcPr>
          <w:p>
            <w:r>
              <w:t>Min</w:t>
            </w:r>
          </w:p>
        </w:tc>
        <w:tc>
          <w:tcPr>
            <w:tcW w:type="dxa" w:w="2880"/>
          </w:tcPr>
          <w:p>
            <w:r>
              <w:t>0.000</w:t>
            </w:r>
          </w:p>
        </w:tc>
        <w:tc>
          <w:tcPr>
            <w:tcW w:type="dxa" w:w="2880"/>
          </w:tcPr>
          <w:p>
            <w:r>
              <w:t>0.000</w:t>
            </w:r>
          </w:p>
        </w:tc>
      </w:tr>
      <w:tr>
        <w:tc>
          <w:tcPr>
            <w:tcW w:type="dxa" w:w="2880"/>
          </w:tcPr>
          <w:p>
            <w:r>
              <w:t>Max</w:t>
            </w:r>
          </w:p>
        </w:tc>
        <w:tc>
          <w:tcPr>
            <w:tcW w:type="dxa" w:w="2880"/>
          </w:tcPr>
          <w:p>
            <w:r>
              <w:t>1.000</w:t>
            </w:r>
          </w:p>
        </w:tc>
        <w:tc>
          <w:tcPr>
            <w:tcW w:type="dxa" w:w="2880"/>
          </w:tcPr>
          <w:p>
            <w:r>
              <w:t>1.000</w:t>
            </w:r>
          </w:p>
        </w:tc>
      </w:tr>
    </w:tbl>
    <w:p>
      <w:r>
        <w:t>Mann-Whitney U Test Results:</w:t>
      </w:r>
    </w:p>
    <w:tbl>
      <w:tblPr>
        <w:tblStyle w:val="LightGrid-Accent1"/>
        <w:tblW w:type="auto" w:w="0"/>
        <w:tblLook w:firstColumn="1" w:firstRow="1" w:lastColumn="0" w:lastRow="0" w:noHBand="0" w:noVBand="1" w:val="04A0"/>
      </w:tblPr>
      <w:tblGrid>
        <w:gridCol w:w="4320"/>
        <w:gridCol w:w="4320"/>
      </w:tblGrid>
      <w:tr>
        <w:tc>
          <w:tcPr>
            <w:tcW w:type="dxa" w:w="4320"/>
          </w:tcPr>
          <w:p>
            <w:r>
              <w:t>Test Statistic</w:t>
            </w:r>
          </w:p>
        </w:tc>
        <w:tc>
          <w:tcPr>
            <w:tcW w:type="dxa" w:w="4320"/>
          </w:tcPr>
          <w:p>
            <w:r>
              <w:t>Value</w:t>
            </w:r>
          </w:p>
        </w:tc>
      </w:tr>
      <w:tr>
        <w:tc>
          <w:tcPr>
            <w:tcW w:type="dxa" w:w="4320"/>
          </w:tcPr>
          <w:p>
            <w:r>
              <w:t>U-statistic</w:t>
            </w:r>
          </w:p>
        </w:tc>
        <w:tc>
          <w:tcPr>
            <w:tcW w:type="dxa" w:w="4320"/>
          </w:tcPr>
          <w:p>
            <w:r>
              <w:t>109603547.5000</w:t>
            </w:r>
          </w:p>
        </w:tc>
      </w:tr>
      <w:tr>
        <w:tc>
          <w:tcPr>
            <w:tcW w:type="dxa" w:w="4320"/>
          </w:tcPr>
          <w:p>
            <w:r>
              <w:t>p-value</w:t>
            </w:r>
          </w:p>
        </w:tc>
        <w:tc>
          <w:tcPr>
            <w:tcW w:type="dxa" w:w="4320"/>
          </w:tcPr>
          <w:p>
            <w:r>
              <w:t>0.0000e+00</w:t>
            </w:r>
          </w:p>
        </w:tc>
      </w:tr>
    </w:tbl>
    <w:p/>
    <w:p>
      <w:r>
        <w:drawing>
          <wp:inline xmlns:a="http://schemas.openxmlformats.org/drawingml/2006/main" xmlns:pic="http://schemas.openxmlformats.org/drawingml/2006/picture">
            <wp:extent cx="5486400" cy="3607410"/>
            <wp:docPr id="4" name="Picture 4"/>
            <wp:cNvGraphicFramePr>
              <a:graphicFrameLocks noChangeAspect="1"/>
            </wp:cNvGraphicFramePr>
            <a:graphic>
              <a:graphicData uri="http://schemas.openxmlformats.org/drawingml/2006/picture">
                <pic:pic>
                  <pic:nvPicPr>
                    <pic:cNvPr id="0" name="decision_accuracy_median_survival.png"/>
                    <pic:cNvPicPr/>
                  </pic:nvPicPr>
                  <pic:blipFill>
                    <a:blip r:embed="rId12"/>
                    <a:stretch>
                      <a:fillRect/>
                    </a:stretch>
                  </pic:blipFill>
                  <pic:spPr>
                    <a:xfrm>
                      <a:off x="0" y="0"/>
                      <a:ext cx="5486400" cy="3607410"/>
                    </a:xfrm>
                    <a:prstGeom prst="rect"/>
                  </pic:spPr>
                </pic:pic>
              </a:graphicData>
            </a:graphic>
          </wp:inline>
        </w:drawing>
      </w:r>
    </w:p>
    <w:p/>
    <w:p>
      <w:pPr>
        <w:pStyle w:val="Heading2"/>
      </w:pPr>
      <w:r>
        <w:t>3.3. Decision Details</w:t>
      </w:r>
    </w:p>
    <w:p>
      <w:r>
        <w:t>Decision-making behavior at the level of individual simulation ticks. We track how frequently decisions are made and how this relates to survival. This reveals whether success comes from making more decisions, fewer decisions, or from the quality rather than quantity of decisions.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Successful</w:t>
            </w:r>
          </w:p>
        </w:tc>
        <w:tc>
          <w:tcPr>
            <w:tcW w:type="dxa" w:w="2880"/>
          </w:tcPr>
          <w:p>
            <w:r>
              <w:t>Unsuccessful</w:t>
            </w:r>
          </w:p>
        </w:tc>
      </w:tr>
      <w:tr>
        <w:tc>
          <w:tcPr>
            <w:tcW w:type="dxa" w:w="2880"/>
          </w:tcPr>
          <w:p>
            <w:r>
              <w:t>Mean decisions/tick</w:t>
            </w:r>
          </w:p>
        </w:tc>
        <w:tc>
          <w:tcPr>
            <w:tcW w:type="dxa" w:w="2880"/>
          </w:tcPr>
          <w:p>
            <w:r>
              <w:t>0.506</w:t>
            </w:r>
          </w:p>
        </w:tc>
        <w:tc>
          <w:tcPr>
            <w:tcW w:type="dxa" w:w="2880"/>
          </w:tcPr>
          <w:p>
            <w:r>
              <w:t>0.530</w:t>
            </w:r>
          </w:p>
        </w:tc>
      </w:tr>
      <w:tr>
        <w:tc>
          <w:tcPr>
            <w:tcW w:type="dxa" w:w="2880"/>
          </w:tcPr>
          <w:p>
            <w:r>
              <w:t>Median decisions/tick</w:t>
            </w:r>
          </w:p>
        </w:tc>
        <w:tc>
          <w:tcPr>
            <w:tcW w:type="dxa" w:w="2880"/>
          </w:tcPr>
          <w:p>
            <w:r>
              <w:t>0.494</w:t>
            </w:r>
          </w:p>
        </w:tc>
        <w:tc>
          <w:tcPr>
            <w:tcW w:type="dxa" w:w="2880"/>
          </w:tcPr>
          <w:p>
            <w:r>
              <w:t>0.522</w:t>
            </w:r>
          </w:p>
        </w:tc>
      </w:tr>
      <w:tr>
        <w:tc>
          <w:tcPr>
            <w:tcW w:type="dxa" w:w="2880"/>
          </w:tcPr>
          <w:p>
            <w:r>
              <w:t>Mean total decisions/run</w:t>
            </w:r>
          </w:p>
        </w:tc>
        <w:tc>
          <w:tcPr>
            <w:tcW w:type="dxa" w:w="2880"/>
          </w:tcPr>
          <w:p>
            <w:r>
              <w:t>33.0</w:t>
            </w:r>
          </w:p>
        </w:tc>
        <w:tc>
          <w:tcPr>
            <w:tcW w:type="dxa" w:w="2880"/>
          </w:tcPr>
          <w:p>
            <w:r>
              <w:t>9.7</w:t>
            </w:r>
          </w:p>
        </w:tc>
      </w:tr>
    </w:tbl>
    <w:p>
      <w:r>
        <w:drawing>
          <wp:inline xmlns:a="http://schemas.openxmlformats.org/drawingml/2006/main" xmlns:pic="http://schemas.openxmlformats.org/drawingml/2006/picture">
            <wp:extent cx="5486400" cy="1523424"/>
            <wp:docPr id="5" name="Picture 5"/>
            <wp:cNvGraphicFramePr>
              <a:graphicFrameLocks noChangeAspect="1"/>
            </wp:cNvGraphicFramePr>
            <a:graphic>
              <a:graphicData uri="http://schemas.openxmlformats.org/drawingml/2006/picture">
                <pic:pic>
                  <pic:nvPicPr>
                    <pic:cNvPr id="0" name="decision_diagnostic_median_survival.png"/>
                    <pic:cNvPicPr/>
                  </pic:nvPicPr>
                  <pic:blipFill>
                    <a:blip r:embed="rId13"/>
                    <a:stretch>
                      <a:fillRect/>
                    </a:stretch>
                  </pic:blipFill>
                  <pic:spPr>
                    <a:xfrm>
                      <a:off x="0" y="0"/>
                      <a:ext cx="5486400" cy="1523424"/>
                    </a:xfrm>
                    <a:prstGeom prst="rect"/>
                  </pic:spPr>
                </pic:pic>
              </a:graphicData>
            </a:graphic>
          </wp:inline>
        </w:drawing>
      </w:r>
    </w:p>
    <w:p/>
    <w:p>
      <w:pPr>
        <w:pStyle w:val="Heading2"/>
      </w:pPr>
      <w:r>
        <w:t>3.4. Distance travelled</w:t>
      </w:r>
    </w:p>
    <w:p>
      <w:r>
        <w:t>Distance travelled total and normalized per tick for lifespan differences. This reveals movement intensity. We compare movement patterns between successful and unsuccessful variants to understand how spatial exploration versus local exploitation correlates with fitness.</w:t>
      </w:r>
    </w:p>
    <w:p>
      <w:pPr>
        <w:pStyle w:val="Heading3"/>
      </w:pPr>
      <w:r>
        <w:t>3.4.1. Distance travelled absolute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Successful (Top 10%)</w:t>
            </w:r>
          </w:p>
        </w:tc>
        <w:tc>
          <w:tcPr>
            <w:tcW w:type="dxa" w:w="2880"/>
          </w:tcPr>
          <w:p>
            <w:r>
              <w:t>Unsuccessful (Bottom 10%)</w:t>
            </w:r>
          </w:p>
        </w:tc>
      </w:tr>
      <w:tr>
        <w:tc>
          <w:tcPr>
            <w:tcW w:type="dxa" w:w="2880"/>
          </w:tcPr>
          <w:p>
            <w:r>
              <w:t>Number of runs</w:t>
            </w:r>
          </w:p>
        </w:tc>
        <w:tc>
          <w:tcPr>
            <w:tcW w:type="dxa" w:w="2880"/>
          </w:tcPr>
          <w:p>
            <w:r>
              <w:t>10000</w:t>
            </w:r>
          </w:p>
        </w:tc>
        <w:tc>
          <w:tcPr>
            <w:tcW w:type="dxa" w:w="2880"/>
          </w:tcPr>
          <w:p>
            <w:r>
              <w:t>15300</w:t>
            </w:r>
          </w:p>
        </w:tc>
      </w:tr>
      <w:tr>
        <w:tc>
          <w:tcPr>
            <w:tcW w:type="dxa" w:w="2880"/>
          </w:tcPr>
          <w:p>
            <w:r>
              <w:t>Mean</w:t>
            </w:r>
          </w:p>
        </w:tc>
        <w:tc>
          <w:tcPr>
            <w:tcW w:type="dxa" w:w="2880"/>
          </w:tcPr>
          <w:p>
            <w:r>
              <w:t>41.186</w:t>
            </w:r>
          </w:p>
        </w:tc>
        <w:tc>
          <w:tcPr>
            <w:tcW w:type="dxa" w:w="2880"/>
          </w:tcPr>
          <w:p>
            <w:r>
              <w:t>16.632</w:t>
            </w:r>
          </w:p>
        </w:tc>
      </w:tr>
      <w:tr>
        <w:tc>
          <w:tcPr>
            <w:tcW w:type="dxa" w:w="2880"/>
          </w:tcPr>
          <w:p>
            <w:r>
              <w:t>Median</w:t>
            </w:r>
          </w:p>
        </w:tc>
        <w:tc>
          <w:tcPr>
            <w:tcW w:type="dxa" w:w="2880"/>
          </w:tcPr>
          <w:p>
            <w:r>
              <w:t>30.000</w:t>
            </w:r>
          </w:p>
        </w:tc>
        <w:tc>
          <w:tcPr>
            <w:tcW w:type="dxa" w:w="2880"/>
          </w:tcPr>
          <w:p>
            <w:r>
              <w:t>15.000</w:t>
            </w:r>
          </w:p>
        </w:tc>
      </w:tr>
      <w:tr>
        <w:tc>
          <w:tcPr>
            <w:tcW w:type="dxa" w:w="2880"/>
          </w:tcPr>
          <w:p>
            <w:r>
              <w:t>Std Dev</w:t>
            </w:r>
          </w:p>
        </w:tc>
        <w:tc>
          <w:tcPr>
            <w:tcW w:type="dxa" w:w="2880"/>
          </w:tcPr>
          <w:p>
            <w:r>
              <w:t>38.866</w:t>
            </w:r>
          </w:p>
        </w:tc>
        <w:tc>
          <w:tcPr>
            <w:tcW w:type="dxa" w:w="2880"/>
          </w:tcPr>
          <w:p>
            <w:r>
              <w:t>5.540</w:t>
            </w:r>
          </w:p>
        </w:tc>
      </w:tr>
      <w:tr>
        <w:tc>
          <w:tcPr>
            <w:tcW w:type="dxa" w:w="2880"/>
          </w:tcPr>
          <w:p>
            <w:r>
              <w:t>Min</w:t>
            </w:r>
          </w:p>
        </w:tc>
        <w:tc>
          <w:tcPr>
            <w:tcW w:type="dxa" w:w="2880"/>
          </w:tcPr>
          <w:p>
            <w:r>
              <w:t>0.000</w:t>
            </w:r>
          </w:p>
        </w:tc>
        <w:tc>
          <w:tcPr>
            <w:tcW w:type="dxa" w:w="2880"/>
          </w:tcPr>
          <w:p>
            <w:r>
              <w:t>7.000</w:t>
            </w:r>
          </w:p>
        </w:tc>
      </w:tr>
      <w:tr>
        <w:tc>
          <w:tcPr>
            <w:tcW w:type="dxa" w:w="2880"/>
          </w:tcPr>
          <w:p>
            <w:r>
              <w:t>Max</w:t>
            </w:r>
          </w:p>
        </w:tc>
        <w:tc>
          <w:tcPr>
            <w:tcW w:type="dxa" w:w="2880"/>
          </w:tcPr>
          <w:p>
            <w:r>
              <w:t>550.000</w:t>
            </w:r>
          </w:p>
        </w:tc>
        <w:tc>
          <w:tcPr>
            <w:tcW w:type="dxa" w:w="2880"/>
          </w:tcPr>
          <w:p>
            <w:r>
              <w:t>132.000</w:t>
            </w:r>
          </w:p>
        </w:tc>
      </w:tr>
    </w:tbl>
    <w:p>
      <w:r>
        <w:t>Mann-Whitney U Test Results:</w:t>
      </w:r>
    </w:p>
    <w:tbl>
      <w:tblPr>
        <w:tblStyle w:val="LightGrid-Accent1"/>
        <w:tblW w:type="auto" w:w="0"/>
        <w:tblLook w:firstColumn="1" w:firstRow="1" w:lastColumn="0" w:lastRow="0" w:noHBand="0" w:noVBand="1" w:val="04A0"/>
      </w:tblPr>
      <w:tblGrid>
        <w:gridCol w:w="4320"/>
        <w:gridCol w:w="4320"/>
      </w:tblGrid>
      <w:tr>
        <w:tc>
          <w:tcPr>
            <w:tcW w:type="dxa" w:w="4320"/>
          </w:tcPr>
          <w:p>
            <w:r>
              <w:t>Test Statistic</w:t>
            </w:r>
          </w:p>
        </w:tc>
        <w:tc>
          <w:tcPr>
            <w:tcW w:type="dxa" w:w="4320"/>
          </w:tcPr>
          <w:p>
            <w:r>
              <w:t>Value</w:t>
            </w:r>
          </w:p>
        </w:tc>
      </w:tr>
      <w:tr>
        <w:tc>
          <w:tcPr>
            <w:tcW w:type="dxa" w:w="4320"/>
          </w:tcPr>
          <w:p>
            <w:r>
              <w:t>U-statistic</w:t>
            </w:r>
          </w:p>
        </w:tc>
        <w:tc>
          <w:tcPr>
            <w:tcW w:type="dxa" w:w="4320"/>
          </w:tcPr>
          <w:p>
            <w:r>
              <w:t>39057260.5</w:t>
            </w:r>
          </w:p>
        </w:tc>
      </w:tr>
      <w:tr>
        <w:tc>
          <w:tcPr>
            <w:tcW w:type="dxa" w:w="4320"/>
          </w:tcPr>
          <w:p>
            <w:r>
              <w:t>p-value</w:t>
            </w:r>
          </w:p>
        </w:tc>
        <w:tc>
          <w:tcPr>
            <w:tcW w:type="dxa" w:w="4320"/>
          </w:tcPr>
          <w:p>
            <w:r>
              <w:t>0.0000e+00</w:t>
            </w:r>
          </w:p>
        </w:tc>
      </w:tr>
    </w:tbl>
    <w:p/>
    <w:p>
      <w:r>
        <w:drawing>
          <wp:inline xmlns:a="http://schemas.openxmlformats.org/drawingml/2006/main" xmlns:pic="http://schemas.openxmlformats.org/drawingml/2006/picture">
            <wp:extent cx="5486400" cy="3610547"/>
            <wp:docPr id="6" name="Picture 6"/>
            <wp:cNvGraphicFramePr>
              <a:graphicFrameLocks noChangeAspect="1"/>
            </wp:cNvGraphicFramePr>
            <a:graphic>
              <a:graphicData uri="http://schemas.openxmlformats.org/drawingml/2006/picture">
                <pic:pic>
                  <pic:nvPicPr>
                    <pic:cNvPr id="0" name="distance_median_survival.png"/>
                    <pic:cNvPicPr/>
                  </pic:nvPicPr>
                  <pic:blipFill>
                    <a:blip r:embed="rId14"/>
                    <a:stretch>
                      <a:fillRect/>
                    </a:stretch>
                  </pic:blipFill>
                  <pic:spPr>
                    <a:xfrm>
                      <a:off x="0" y="0"/>
                      <a:ext cx="5486400" cy="3610547"/>
                    </a:xfrm>
                    <a:prstGeom prst="rect"/>
                  </pic:spPr>
                </pic:pic>
              </a:graphicData>
            </a:graphic>
          </wp:inline>
        </w:drawing>
      </w:r>
    </w:p>
    <w:p/>
    <w:p>
      <w:pPr>
        <w:pStyle w:val="Heading3"/>
      </w:pPr>
      <w:r>
        <w:t>3.4.2. Distance travelled per tick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Successful (Top 10%)</w:t>
            </w:r>
          </w:p>
        </w:tc>
        <w:tc>
          <w:tcPr>
            <w:tcW w:type="dxa" w:w="2880"/>
          </w:tcPr>
          <w:p>
            <w:r>
              <w:t>Unsuccessful (Bottom 10%)</w:t>
            </w:r>
          </w:p>
        </w:tc>
      </w:tr>
      <w:tr>
        <w:tc>
          <w:tcPr>
            <w:tcW w:type="dxa" w:w="2880"/>
          </w:tcPr>
          <w:p>
            <w:r>
              <w:t>Number of runs</w:t>
            </w:r>
          </w:p>
        </w:tc>
        <w:tc>
          <w:tcPr>
            <w:tcW w:type="dxa" w:w="2880"/>
          </w:tcPr>
          <w:p>
            <w:r>
              <w:t>10000</w:t>
            </w:r>
          </w:p>
        </w:tc>
        <w:tc>
          <w:tcPr>
            <w:tcW w:type="dxa" w:w="2880"/>
          </w:tcPr>
          <w:p>
            <w:r>
              <w:t>15300</w:t>
            </w:r>
          </w:p>
        </w:tc>
      </w:tr>
      <w:tr>
        <w:tc>
          <w:tcPr>
            <w:tcW w:type="dxa" w:w="2880"/>
          </w:tcPr>
          <w:p>
            <w:r>
              <w:t>Mean</w:t>
            </w:r>
          </w:p>
        </w:tc>
        <w:tc>
          <w:tcPr>
            <w:tcW w:type="dxa" w:w="2880"/>
          </w:tcPr>
          <w:p>
            <w:r>
              <w:t>0.611</w:t>
            </w:r>
          </w:p>
        </w:tc>
        <w:tc>
          <w:tcPr>
            <w:tcW w:type="dxa" w:w="2880"/>
          </w:tcPr>
          <w:p>
            <w:r>
              <w:t>0.910</w:t>
            </w:r>
          </w:p>
        </w:tc>
      </w:tr>
      <w:tr>
        <w:tc>
          <w:tcPr>
            <w:tcW w:type="dxa" w:w="2880"/>
          </w:tcPr>
          <w:p>
            <w:r>
              <w:t>Median</w:t>
            </w:r>
          </w:p>
        </w:tc>
        <w:tc>
          <w:tcPr>
            <w:tcW w:type="dxa" w:w="2880"/>
          </w:tcPr>
          <w:p>
            <w:r>
              <w:t>0.667</w:t>
            </w:r>
          </w:p>
        </w:tc>
        <w:tc>
          <w:tcPr>
            <w:tcW w:type="dxa" w:w="2880"/>
          </w:tcPr>
          <w:p>
            <w:r>
              <w:t>0.938</w:t>
            </w:r>
          </w:p>
        </w:tc>
      </w:tr>
      <w:tr>
        <w:tc>
          <w:tcPr>
            <w:tcW w:type="dxa" w:w="2880"/>
          </w:tcPr>
          <w:p>
            <w:r>
              <w:t>Std Dev</w:t>
            </w:r>
          </w:p>
        </w:tc>
        <w:tc>
          <w:tcPr>
            <w:tcW w:type="dxa" w:w="2880"/>
          </w:tcPr>
          <w:p>
            <w:r>
              <w:t>0.212</w:t>
            </w:r>
          </w:p>
        </w:tc>
        <w:tc>
          <w:tcPr>
            <w:tcW w:type="dxa" w:w="2880"/>
          </w:tcPr>
          <w:p>
            <w:r>
              <w:t>0.047</w:t>
            </w:r>
          </w:p>
        </w:tc>
      </w:tr>
      <w:tr>
        <w:tc>
          <w:tcPr>
            <w:tcW w:type="dxa" w:w="2880"/>
          </w:tcPr>
          <w:p>
            <w:r>
              <w:t>Min</w:t>
            </w:r>
          </w:p>
        </w:tc>
        <w:tc>
          <w:tcPr>
            <w:tcW w:type="dxa" w:w="2880"/>
          </w:tcPr>
          <w:p>
            <w:r>
              <w:t>0.000</w:t>
            </w:r>
          </w:p>
        </w:tc>
        <w:tc>
          <w:tcPr>
            <w:tcW w:type="dxa" w:w="2880"/>
          </w:tcPr>
          <w:p>
            <w:r>
              <w:t>0.304</w:t>
            </w:r>
          </w:p>
        </w:tc>
      </w:tr>
      <w:tr>
        <w:tc>
          <w:tcPr>
            <w:tcW w:type="dxa" w:w="2880"/>
          </w:tcPr>
          <w:p>
            <w:r>
              <w:t>Max</w:t>
            </w:r>
          </w:p>
        </w:tc>
        <w:tc>
          <w:tcPr>
            <w:tcW w:type="dxa" w:w="2880"/>
          </w:tcPr>
          <w:p>
            <w:r>
              <w:t>0.938</w:t>
            </w:r>
          </w:p>
        </w:tc>
        <w:tc>
          <w:tcPr>
            <w:tcW w:type="dxa" w:w="2880"/>
          </w:tcPr>
          <w:p>
            <w:r>
              <w:t>0.938</w:t>
            </w:r>
          </w:p>
        </w:tc>
      </w:tr>
    </w:tbl>
    <w:p>
      <w:r>
        <w:t>Mann-Whitney U Test Results:</w:t>
      </w:r>
    </w:p>
    <w:tbl>
      <w:tblPr>
        <w:tblStyle w:val="LightGrid-Accent1"/>
        <w:tblW w:type="auto" w:w="0"/>
        <w:tblLook w:firstColumn="1" w:firstRow="1" w:lastColumn="0" w:lastRow="0" w:noHBand="0" w:noVBand="1" w:val="04A0"/>
      </w:tblPr>
      <w:tblGrid>
        <w:gridCol w:w="4320"/>
        <w:gridCol w:w="4320"/>
      </w:tblGrid>
      <w:tr>
        <w:tc>
          <w:tcPr>
            <w:tcW w:type="dxa" w:w="4320"/>
          </w:tcPr>
          <w:p>
            <w:r>
              <w:t>Test Statistic</w:t>
            </w:r>
          </w:p>
        </w:tc>
        <w:tc>
          <w:tcPr>
            <w:tcW w:type="dxa" w:w="4320"/>
          </w:tcPr>
          <w:p>
            <w:r>
              <w:t>Value</w:t>
            </w:r>
          </w:p>
        </w:tc>
      </w:tr>
      <w:tr>
        <w:tc>
          <w:tcPr>
            <w:tcW w:type="dxa" w:w="4320"/>
          </w:tcPr>
          <w:p>
            <w:r>
              <w:t>U-statistic</w:t>
            </w:r>
          </w:p>
        </w:tc>
        <w:tc>
          <w:tcPr>
            <w:tcW w:type="dxa" w:w="4320"/>
          </w:tcPr>
          <w:p>
            <w:r>
              <w:t>147863724.5</w:t>
            </w:r>
          </w:p>
        </w:tc>
      </w:tr>
      <w:tr>
        <w:tc>
          <w:tcPr>
            <w:tcW w:type="dxa" w:w="4320"/>
          </w:tcPr>
          <w:p>
            <w:r>
              <w:t>p-value</w:t>
            </w:r>
          </w:p>
        </w:tc>
        <w:tc>
          <w:tcPr>
            <w:tcW w:type="dxa" w:w="4320"/>
          </w:tcPr>
          <w:p>
            <w:r>
              <w:t>0.0000e+00</w:t>
            </w:r>
          </w:p>
        </w:tc>
      </w:tr>
    </w:tbl>
    <w:p/>
    <w:p>
      <w:r>
        <w:drawing>
          <wp:inline xmlns:a="http://schemas.openxmlformats.org/drawingml/2006/main" xmlns:pic="http://schemas.openxmlformats.org/drawingml/2006/picture">
            <wp:extent cx="5486400" cy="3610547"/>
            <wp:docPr id="7" name="Picture 7"/>
            <wp:cNvGraphicFramePr>
              <a:graphicFrameLocks noChangeAspect="1"/>
            </wp:cNvGraphicFramePr>
            <a:graphic>
              <a:graphicData uri="http://schemas.openxmlformats.org/drawingml/2006/picture">
                <pic:pic>
                  <pic:nvPicPr>
                    <pic:cNvPr id="0" name="distance_per_tick_median_survival.png"/>
                    <pic:cNvPicPr/>
                  </pic:nvPicPr>
                  <pic:blipFill>
                    <a:blip r:embed="rId15"/>
                    <a:stretch>
                      <a:fillRect/>
                    </a:stretch>
                  </pic:blipFill>
                  <pic:spPr>
                    <a:xfrm>
                      <a:off x="0" y="0"/>
                      <a:ext cx="5486400" cy="3610547"/>
                    </a:xfrm>
                    <a:prstGeom prst="rect"/>
                  </pic:spPr>
                </pic:pic>
              </a:graphicData>
            </a:graphic>
          </wp:inline>
        </w:drawing>
      </w:r>
    </w:p>
    <w:p/>
    <w:p>
      <w:pPr>
        <w:pStyle w:val="Heading2"/>
      </w:pPr>
      <w:r>
        <w:t>3.5. Food eaten</w:t>
      </w:r>
    </w:p>
    <w:p>
      <w:r>
        <w:t>Food consumption is the ultimate solution of the task. The more food consumed, the longer the survival. Normalized per tick food consumption may be the metric most directly linked to survival fitness.</w:t>
      </w:r>
    </w:p>
    <w:p>
      <w:pPr>
        <w:pStyle w:val="Heading3"/>
      </w:pPr>
      <w:r>
        <w:t>3.5.1. Food consumption absolute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Successful (Top 10%)</w:t>
            </w:r>
          </w:p>
        </w:tc>
        <w:tc>
          <w:tcPr>
            <w:tcW w:type="dxa" w:w="2880"/>
          </w:tcPr>
          <w:p>
            <w:r>
              <w:t>Unsuccessful (Bottom 10%)</w:t>
            </w:r>
          </w:p>
        </w:tc>
      </w:tr>
      <w:tr>
        <w:tc>
          <w:tcPr>
            <w:tcW w:type="dxa" w:w="2880"/>
          </w:tcPr>
          <w:p>
            <w:r>
              <w:t>Number of runs</w:t>
            </w:r>
          </w:p>
        </w:tc>
        <w:tc>
          <w:tcPr>
            <w:tcW w:type="dxa" w:w="2880"/>
          </w:tcPr>
          <w:p>
            <w:r>
              <w:t>10000</w:t>
            </w:r>
          </w:p>
        </w:tc>
        <w:tc>
          <w:tcPr>
            <w:tcW w:type="dxa" w:w="2880"/>
          </w:tcPr>
          <w:p>
            <w:r>
              <w:t>15300</w:t>
            </w:r>
          </w:p>
        </w:tc>
      </w:tr>
      <w:tr>
        <w:tc>
          <w:tcPr>
            <w:tcW w:type="dxa" w:w="2880"/>
          </w:tcPr>
          <w:p>
            <w:r>
              <w:t>Mean</w:t>
            </w:r>
          </w:p>
        </w:tc>
        <w:tc>
          <w:tcPr>
            <w:tcW w:type="dxa" w:w="2880"/>
          </w:tcPr>
          <w:p>
            <w:r>
              <w:t>7.238</w:t>
            </w:r>
          </w:p>
        </w:tc>
        <w:tc>
          <w:tcPr>
            <w:tcW w:type="dxa" w:w="2880"/>
          </w:tcPr>
          <w:p>
            <w:r>
              <w:t>0.295</w:t>
            </w:r>
          </w:p>
        </w:tc>
      </w:tr>
      <w:tr>
        <w:tc>
          <w:tcPr>
            <w:tcW w:type="dxa" w:w="2880"/>
          </w:tcPr>
          <w:p>
            <w:r>
              <w:t>Median</w:t>
            </w:r>
          </w:p>
        </w:tc>
        <w:tc>
          <w:tcPr>
            <w:tcW w:type="dxa" w:w="2880"/>
          </w:tcPr>
          <w:p>
            <w:r>
              <w:t>5.000</w:t>
            </w:r>
          </w:p>
        </w:tc>
        <w:tc>
          <w:tcPr>
            <w:tcW w:type="dxa" w:w="2880"/>
          </w:tcPr>
          <w:p>
            <w:r>
              <w:t>0.000</w:t>
            </w:r>
          </w:p>
        </w:tc>
      </w:tr>
      <w:tr>
        <w:tc>
          <w:tcPr>
            <w:tcW w:type="dxa" w:w="2880"/>
          </w:tcPr>
          <w:p>
            <w:r>
              <w:t>Std Dev</w:t>
            </w:r>
          </w:p>
        </w:tc>
        <w:tc>
          <w:tcPr>
            <w:tcW w:type="dxa" w:w="2880"/>
          </w:tcPr>
          <w:p>
            <w:r>
              <w:t>8.819</w:t>
            </w:r>
          </w:p>
        </w:tc>
        <w:tc>
          <w:tcPr>
            <w:tcW w:type="dxa" w:w="2880"/>
          </w:tcPr>
          <w:p>
            <w:r>
              <w:t>0.788</w:t>
            </w:r>
          </w:p>
        </w:tc>
      </w:tr>
      <w:tr>
        <w:tc>
          <w:tcPr>
            <w:tcW w:type="dxa" w:w="2880"/>
          </w:tcPr>
          <w:p>
            <w:r>
              <w:t>Min</w:t>
            </w:r>
          </w:p>
        </w:tc>
        <w:tc>
          <w:tcPr>
            <w:tcW w:type="dxa" w:w="2880"/>
          </w:tcPr>
          <w:p>
            <w:r>
              <w:t>0.000</w:t>
            </w:r>
          </w:p>
        </w:tc>
        <w:tc>
          <w:tcPr>
            <w:tcW w:type="dxa" w:w="2880"/>
          </w:tcPr>
          <w:p>
            <w:r>
              <w:t>0.000</w:t>
            </w:r>
          </w:p>
        </w:tc>
      </w:tr>
      <w:tr>
        <w:tc>
          <w:tcPr>
            <w:tcW w:type="dxa" w:w="2880"/>
          </w:tcPr>
          <w:p>
            <w:r>
              <w:t>Max</w:t>
            </w:r>
          </w:p>
        </w:tc>
        <w:tc>
          <w:tcPr>
            <w:tcW w:type="dxa" w:w="2880"/>
          </w:tcPr>
          <w:p>
            <w:r>
              <w:t>141.000</w:t>
            </w:r>
          </w:p>
        </w:tc>
        <w:tc>
          <w:tcPr>
            <w:tcW w:type="dxa" w:w="2880"/>
          </w:tcPr>
          <w:p>
            <w:r>
              <w:t>24.000</w:t>
            </w:r>
          </w:p>
        </w:tc>
      </w:tr>
    </w:tbl>
    <w:p>
      <w:r>
        <w:t>Mann-Whitney U Test Results:</w:t>
      </w:r>
    </w:p>
    <w:tbl>
      <w:tblPr>
        <w:tblStyle w:val="LightGrid-Accent1"/>
        <w:tblW w:type="auto" w:w="0"/>
        <w:tblLook w:firstColumn="1" w:firstRow="1" w:lastColumn="0" w:lastRow="0" w:noHBand="0" w:noVBand="1" w:val="04A0"/>
      </w:tblPr>
      <w:tblGrid>
        <w:gridCol w:w="4320"/>
        <w:gridCol w:w="4320"/>
      </w:tblGrid>
      <w:tr>
        <w:tc>
          <w:tcPr>
            <w:tcW w:type="dxa" w:w="4320"/>
          </w:tcPr>
          <w:p>
            <w:r>
              <w:t>Test Statistic</w:t>
            </w:r>
          </w:p>
        </w:tc>
        <w:tc>
          <w:tcPr>
            <w:tcW w:type="dxa" w:w="4320"/>
          </w:tcPr>
          <w:p>
            <w:r>
              <w:t>Value</w:t>
            </w:r>
          </w:p>
        </w:tc>
      </w:tr>
      <w:tr>
        <w:tc>
          <w:tcPr>
            <w:tcW w:type="dxa" w:w="4320"/>
          </w:tcPr>
          <w:p>
            <w:r>
              <w:t>U-statistic</w:t>
            </w:r>
          </w:p>
        </w:tc>
        <w:tc>
          <w:tcPr>
            <w:tcW w:type="dxa" w:w="4320"/>
          </w:tcPr>
          <w:p>
            <w:r>
              <w:t>13237311.0</w:t>
            </w:r>
          </w:p>
        </w:tc>
      </w:tr>
      <w:tr>
        <w:tc>
          <w:tcPr>
            <w:tcW w:type="dxa" w:w="4320"/>
          </w:tcPr>
          <w:p>
            <w:r>
              <w:t>p-value</w:t>
            </w:r>
          </w:p>
        </w:tc>
        <w:tc>
          <w:tcPr>
            <w:tcW w:type="dxa" w:w="4320"/>
          </w:tcPr>
          <w:p>
            <w:r>
              <w:t>0.0000e+00</w:t>
            </w:r>
          </w:p>
        </w:tc>
      </w:tr>
    </w:tbl>
    <w:p/>
    <w:p>
      <w:r>
        <w:drawing>
          <wp:inline xmlns:a="http://schemas.openxmlformats.org/drawingml/2006/main" xmlns:pic="http://schemas.openxmlformats.org/drawingml/2006/picture">
            <wp:extent cx="5486400" cy="3610547"/>
            <wp:docPr id="8" name="Picture 8"/>
            <wp:cNvGraphicFramePr>
              <a:graphicFrameLocks noChangeAspect="1"/>
            </wp:cNvGraphicFramePr>
            <a:graphic>
              <a:graphicData uri="http://schemas.openxmlformats.org/drawingml/2006/picture">
                <pic:pic>
                  <pic:nvPicPr>
                    <pic:cNvPr id="0" name="foods_median_survival.png"/>
                    <pic:cNvPicPr/>
                  </pic:nvPicPr>
                  <pic:blipFill>
                    <a:blip r:embed="rId16"/>
                    <a:stretch>
                      <a:fillRect/>
                    </a:stretch>
                  </pic:blipFill>
                  <pic:spPr>
                    <a:xfrm>
                      <a:off x="0" y="0"/>
                      <a:ext cx="5486400" cy="3610547"/>
                    </a:xfrm>
                    <a:prstGeom prst="rect"/>
                  </pic:spPr>
                </pic:pic>
              </a:graphicData>
            </a:graphic>
          </wp:inline>
        </w:drawing>
      </w:r>
    </w:p>
    <w:p/>
    <w:p>
      <w:pPr>
        <w:pStyle w:val="Heading3"/>
      </w:pPr>
      <w:r>
        <w:t>3.5.2. Food consumption per tick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Successful (Top 10%)</w:t>
            </w:r>
          </w:p>
        </w:tc>
        <w:tc>
          <w:tcPr>
            <w:tcW w:type="dxa" w:w="2880"/>
          </w:tcPr>
          <w:p>
            <w:r>
              <w:t>Unsuccessful (Bottom 10%)</w:t>
            </w:r>
          </w:p>
        </w:tc>
      </w:tr>
      <w:tr>
        <w:tc>
          <w:tcPr>
            <w:tcW w:type="dxa" w:w="2880"/>
          </w:tcPr>
          <w:p>
            <w:r>
              <w:t>Number of runs</w:t>
            </w:r>
          </w:p>
        </w:tc>
        <w:tc>
          <w:tcPr>
            <w:tcW w:type="dxa" w:w="2880"/>
          </w:tcPr>
          <w:p>
            <w:r>
              <w:t>10000</w:t>
            </w:r>
          </w:p>
        </w:tc>
        <w:tc>
          <w:tcPr>
            <w:tcW w:type="dxa" w:w="2880"/>
          </w:tcPr>
          <w:p>
            <w:r>
              <w:t>15300</w:t>
            </w:r>
          </w:p>
        </w:tc>
      </w:tr>
      <w:tr>
        <w:tc>
          <w:tcPr>
            <w:tcW w:type="dxa" w:w="2880"/>
          </w:tcPr>
          <w:p>
            <w:r>
              <w:t>Mean</w:t>
            </w:r>
          </w:p>
        </w:tc>
        <w:tc>
          <w:tcPr>
            <w:tcW w:type="dxa" w:w="2880"/>
          </w:tcPr>
          <w:p>
            <w:r>
              <w:t>0.087</w:t>
            </w:r>
          </w:p>
        </w:tc>
        <w:tc>
          <w:tcPr>
            <w:tcW w:type="dxa" w:w="2880"/>
          </w:tcPr>
          <w:p>
            <w:r>
              <w:t>0.010</w:t>
            </w:r>
          </w:p>
        </w:tc>
      </w:tr>
      <w:tr>
        <w:tc>
          <w:tcPr>
            <w:tcW w:type="dxa" w:w="2880"/>
          </w:tcPr>
          <w:p>
            <w:r>
              <w:t>Median</w:t>
            </w:r>
          </w:p>
        </w:tc>
        <w:tc>
          <w:tcPr>
            <w:tcW w:type="dxa" w:w="2880"/>
          </w:tcPr>
          <w:p>
            <w:r>
              <w:t>0.091</w:t>
            </w:r>
          </w:p>
        </w:tc>
        <w:tc>
          <w:tcPr>
            <w:tcW w:type="dxa" w:w="2880"/>
          </w:tcPr>
          <w:p>
            <w:r>
              <w:t>0.000</w:t>
            </w:r>
          </w:p>
        </w:tc>
      </w:tr>
      <w:tr>
        <w:tc>
          <w:tcPr>
            <w:tcW w:type="dxa" w:w="2880"/>
          </w:tcPr>
          <w:p>
            <w:r>
              <w:t>Std Dev</w:t>
            </w:r>
          </w:p>
        </w:tc>
        <w:tc>
          <w:tcPr>
            <w:tcW w:type="dxa" w:w="2880"/>
          </w:tcPr>
          <w:p>
            <w:r>
              <w:t>0.048</w:t>
            </w:r>
          </w:p>
        </w:tc>
        <w:tc>
          <w:tcPr>
            <w:tcW w:type="dxa" w:w="2880"/>
          </w:tcPr>
          <w:p>
            <w:r>
              <w:t>0.022</w:t>
            </w:r>
          </w:p>
        </w:tc>
      </w:tr>
      <w:tr>
        <w:tc>
          <w:tcPr>
            <w:tcW w:type="dxa" w:w="2880"/>
          </w:tcPr>
          <w:p>
            <w:r>
              <w:t>Min</w:t>
            </w:r>
          </w:p>
        </w:tc>
        <w:tc>
          <w:tcPr>
            <w:tcW w:type="dxa" w:w="2880"/>
          </w:tcPr>
          <w:p>
            <w:r>
              <w:t>0.000</w:t>
            </w:r>
          </w:p>
        </w:tc>
        <w:tc>
          <w:tcPr>
            <w:tcW w:type="dxa" w:w="2880"/>
          </w:tcPr>
          <w:p>
            <w:r>
              <w:t>0.000</w:t>
            </w:r>
          </w:p>
        </w:tc>
      </w:tr>
      <w:tr>
        <w:tc>
          <w:tcPr>
            <w:tcW w:type="dxa" w:w="2880"/>
          </w:tcPr>
          <w:p>
            <w:r>
              <w:t>Max</w:t>
            </w:r>
          </w:p>
        </w:tc>
        <w:tc>
          <w:tcPr>
            <w:tcW w:type="dxa" w:w="2880"/>
          </w:tcPr>
          <w:p>
            <w:r>
              <w:t>0.227</w:t>
            </w:r>
          </w:p>
        </w:tc>
        <w:tc>
          <w:tcPr>
            <w:tcW w:type="dxa" w:w="2880"/>
          </w:tcPr>
          <w:p>
            <w:r>
              <w:t>0.149</w:t>
            </w:r>
          </w:p>
        </w:tc>
      </w:tr>
    </w:tbl>
    <w:p>
      <w:r>
        <w:t>Mann-Whitney U Test Results:</w:t>
      </w:r>
    </w:p>
    <w:tbl>
      <w:tblPr>
        <w:tblStyle w:val="LightGrid-Accent1"/>
        <w:tblW w:type="auto" w:w="0"/>
        <w:tblLook w:firstColumn="1" w:firstRow="1" w:lastColumn="0" w:lastRow="0" w:noHBand="0" w:noVBand="1" w:val="04A0"/>
      </w:tblPr>
      <w:tblGrid>
        <w:gridCol w:w="4320"/>
        <w:gridCol w:w="4320"/>
      </w:tblGrid>
      <w:tr>
        <w:tc>
          <w:tcPr>
            <w:tcW w:type="dxa" w:w="4320"/>
          </w:tcPr>
          <w:p>
            <w:r>
              <w:t>Test Statistic</w:t>
            </w:r>
          </w:p>
        </w:tc>
        <w:tc>
          <w:tcPr>
            <w:tcW w:type="dxa" w:w="4320"/>
          </w:tcPr>
          <w:p>
            <w:r>
              <w:t>Value</w:t>
            </w:r>
          </w:p>
        </w:tc>
      </w:tr>
      <w:tr>
        <w:tc>
          <w:tcPr>
            <w:tcW w:type="dxa" w:w="4320"/>
          </w:tcPr>
          <w:p>
            <w:r>
              <w:t>U-statistic</w:t>
            </w:r>
          </w:p>
        </w:tc>
        <w:tc>
          <w:tcPr>
            <w:tcW w:type="dxa" w:w="4320"/>
          </w:tcPr>
          <w:p>
            <w:r>
              <w:t>14289863.5</w:t>
            </w:r>
          </w:p>
        </w:tc>
      </w:tr>
      <w:tr>
        <w:tc>
          <w:tcPr>
            <w:tcW w:type="dxa" w:w="4320"/>
          </w:tcPr>
          <w:p>
            <w:r>
              <w:t>p-value</w:t>
            </w:r>
          </w:p>
        </w:tc>
        <w:tc>
          <w:tcPr>
            <w:tcW w:type="dxa" w:w="4320"/>
          </w:tcPr>
          <w:p>
            <w:r>
              <w:t>0.0000e+00</w:t>
            </w:r>
          </w:p>
        </w:tc>
      </w:tr>
    </w:tbl>
    <w:p/>
    <w:p>
      <w:r>
        <w:drawing>
          <wp:inline xmlns:a="http://schemas.openxmlformats.org/drawingml/2006/main" xmlns:pic="http://schemas.openxmlformats.org/drawingml/2006/picture">
            <wp:extent cx="5486400" cy="3610547"/>
            <wp:docPr id="9" name="Picture 9"/>
            <wp:cNvGraphicFramePr>
              <a:graphicFrameLocks noChangeAspect="1"/>
            </wp:cNvGraphicFramePr>
            <a:graphic>
              <a:graphicData uri="http://schemas.openxmlformats.org/drawingml/2006/picture">
                <pic:pic>
                  <pic:nvPicPr>
                    <pic:cNvPr id="0" name="foods_per_tick_median_survival.png"/>
                    <pic:cNvPicPr/>
                  </pic:nvPicPr>
                  <pic:blipFill>
                    <a:blip r:embed="rId17"/>
                    <a:stretch>
                      <a:fillRect/>
                    </a:stretch>
                  </pic:blipFill>
                  <pic:spPr>
                    <a:xfrm>
                      <a:off x="0" y="0"/>
                      <a:ext cx="5486400" cy="3610547"/>
                    </a:xfrm>
                    <a:prstGeom prst="rect"/>
                  </pic:spPr>
                </pic:pic>
              </a:graphicData>
            </a:graphic>
          </wp:inline>
        </w:drawing>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