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45.png" ContentType="image/png"/>
  <Override PartName="/word/media/rId66.png" ContentType="image/png"/>
  <Override PartName="/word/media/rId52.png" ContentType="image/png"/>
  <Override PartName="/word/media/rId56.png" ContentType="image/png"/>
  <Override PartName="/word/media/rId42.png" ContentType="image/png"/>
  <Override PartName="/word/media/rId63.png" ContentType="image/png"/>
  <Override PartName="/word/media/rId49.png" ContentType="image/png"/>
  <Override PartName="/word/media/rId36.png" ContentType="image/png"/>
  <Override PartName="/word/media/rId30.png" ContentType="image/png"/>
  <Override PartName="/word/media/rId33.png" ContentType="image/png"/>
  <Override PartName="/word/media/rId23.png" ContentType="image/png"/>
  <Override PartName="/word/media/rId20.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Analysis</w:t>
      </w:r>
      <w:r>
        <w:t xml:space="preserve"> </w:t>
      </w:r>
      <w:r>
        <w:t xml:space="preserve">of</w:t>
      </w:r>
      <w:r>
        <w:t xml:space="preserve"> </w:t>
      </w:r>
      <w:r>
        <w:t xml:space="preserve">Mitochondria</w:t>
      </w:r>
      <w:r>
        <w:t xml:space="preserve"> </w:t>
      </w:r>
      <w:r>
        <w:t xml:space="preserve">distribution</w:t>
      </w:r>
      <w:r>
        <w:t xml:space="preserve"> </w:t>
      </w:r>
      <w:r>
        <w:t xml:space="preserve">along</w:t>
      </w:r>
      <w:r>
        <w:t xml:space="preserve"> </w:t>
      </w:r>
      <w:r>
        <w:t xml:space="preserve">sections</w:t>
      </w:r>
      <w:r>
        <w:t xml:space="preserve"> </w:t>
      </w:r>
      <w:r>
        <w:t xml:space="preserve">through</w:t>
      </w:r>
      <w:r>
        <w:t xml:space="preserve"> </w:t>
      </w:r>
      <w:r>
        <w:t xml:space="preserve">neuronal</w:t>
      </w:r>
      <w:r>
        <w:t xml:space="preserve"> </w:t>
      </w:r>
      <w:r>
        <w:t xml:space="preserve">soma</w:t>
      </w:r>
    </w:p>
    <w:p>
      <w:pPr>
        <w:pStyle w:val="Untertitel"/>
      </w:pPr>
      <w:r>
        <w:t xml:space="preserve">Status</w:t>
      </w:r>
      <w:r>
        <w:t xml:space="preserve"> </w:t>
      </w:r>
      <w:r>
        <w:t xml:space="preserve">report</w:t>
      </w:r>
    </w:p>
    <w:p>
      <w:pPr>
        <w:pStyle w:val="Author"/>
      </w:pPr>
      <w:r>
        <w:t xml:space="preserve">Dr. Jana</w:t>
      </w:r>
      <w:r>
        <w:t xml:space="preserve"> </w:t>
      </w:r>
      <w:r>
        <w:t xml:space="preserve">Dahlmanns</w:t>
      </w:r>
    </w:p>
    <w:p>
      <w:pPr>
        <w:pStyle w:val="Datum"/>
      </w:pPr>
      <w:r>
        <w:t xml:space="preserve">2023-05-23</w:t>
      </w:r>
    </w:p>
    <w:bookmarkStart w:id="28" w:name="introduction"/>
    <w:p>
      <w:pPr>
        <w:pStyle w:val="berschrift2"/>
      </w:pPr>
      <w:r>
        <w:t xml:space="preserve">Introduction</w:t>
      </w:r>
    </w:p>
    <w:p>
      <w:pPr>
        <w:pStyle w:val="FirstParagraph"/>
      </w:pPr>
      <w:r>
        <w:t xml:space="preserve">We analyzed the distribution of mitochondria in the soma of neurons. We used dissociated neuronal cultures that were treated under different conditions prior to fixation, staining and imaging.</w:t>
      </w:r>
    </w:p>
    <w:bookmarkStart w:id="26" w:name="the-images"/>
    <w:p>
      <w:pPr>
        <w:pStyle w:val="berschrift3"/>
      </w:pPr>
      <w:r>
        <w:t xml:space="preserve">The images</w:t>
      </w:r>
    </w:p>
    <w:p>
      <w:pPr>
        <w:pStyle w:val="FirstParagraph"/>
      </w:pPr>
      <w:r>
        <w:t xml:space="preserve">The cultures contained a natural mix of hippocampal cell types. Neurons were chosen for imaging based on general cell morphology. Here is an overview of all imaged cells.</w:t>
      </w:r>
    </w:p>
    <w:p>
      <w:pPr>
        <w:pStyle w:val="CaptionedFigure"/>
      </w:pPr>
      <w:r>
        <w:drawing>
          <wp:inline>
            <wp:extent cx="5969000" cy="3581400"/>
            <wp:effectExtent b="0" l="0" r="0" t="0"/>
            <wp:docPr descr="Thumbnails of all analyzed images" title="" id="21" name="Picture"/>
            <a:graphic>
              <a:graphicData uri="http://schemas.openxmlformats.org/drawingml/2006/picture">
                <pic:pic>
                  <pic:nvPicPr>
                    <pic:cNvPr descr="mitochondria_alcohol_status_report_files/figure-docx/show_thumbnails-1.png" id="22" name="Picture"/>
                    <pic:cNvPicPr>
                      <a:picLocks noChangeArrowheads="1" noChangeAspect="1"/>
                    </pic:cNvPicPr>
                  </pic:nvPicPr>
                  <pic:blipFill>
                    <a:blip r:embed="rId20"/>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Thumbnails of all analyzed images</w:t>
      </w:r>
    </w:p>
    <w:p>
      <w:pPr>
        <w:pStyle w:val="Textkrper"/>
      </w:pPr>
      <w:r>
        <w:t xml:space="preserve">The analyzed images contained three color channels: The cells were stained with Mito-Tracker Green to capture mitochondria locations in the green channel, with Phallodin-Red to capture actin cytoskeleton in the red channel, and (some of the samples) with DAPI to capture DNA / nucleus location in the blue channel.</w:t>
      </w:r>
      <w:r>
        <w:t xml:space="preserve"> </w:t>
      </w:r>
    </w:p>
    <w:p>
      <w:pPr>
        <w:pStyle w:val="CaptionedFigure"/>
      </w:pPr>
      <w:r>
        <w:drawing>
          <wp:inline>
            <wp:extent cx="5969000" cy="5969000"/>
            <wp:effectExtent b="0" l="0" r="0" t="0"/>
            <wp:docPr descr="Exemplary image, separated into color channels and merge" title="" id="24" name="Picture"/>
            <a:graphic>
              <a:graphicData uri="http://schemas.openxmlformats.org/drawingml/2006/picture">
                <pic:pic>
                  <pic:nvPicPr>
                    <pic:cNvPr descr="mitochondria_alcohol_status_report_files/figure-docx/show_original_image-1.png" id="25" name="Picture"/>
                    <pic:cNvPicPr>
                      <a:picLocks noChangeArrowheads="1" noChangeAspect="1"/>
                    </pic:cNvPicPr>
                  </pic:nvPicPr>
                  <pic:blipFill>
                    <a:blip r:embed="rId23"/>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Exemplary image, separated into color channels and merge</w:t>
      </w:r>
    </w:p>
    <w:bookmarkEnd w:id="26"/>
    <w:bookmarkStart w:id="27" w:name="sample-sizes"/>
    <w:p>
      <w:pPr>
        <w:pStyle w:val="berschrift3"/>
      </w:pPr>
      <w:r>
        <w:t xml:space="preserve">Sample sizes</w:t>
      </w:r>
    </w:p>
    <w:p>
      <w:pPr>
        <w:pStyle w:val="FirstParagraph"/>
      </w:pPr>
      <w:r>
        <w:t xml:space="preserve">The number of analyzed images is currently 109 and is divided into different experimental conditions as follows:</w:t>
      </w:r>
    </w:p>
    <w:tbl>
      <w:tblPr>
        <w:tblStyle w:val="Table"/>
        <w:tblW w:type="pct" w:w="2153"/>
        <w:tblLook w:firstRow="1" w:lastRow="0" w:firstColumn="0" w:lastColumn="0" w:noHBand="0" w:noVBand="0" w:val="0020"/>
      </w:tblPr>
      <w:tblGrid>
        <w:gridCol w:w="2860"/>
        <w:gridCol w:w="550"/>
      </w:tblGrid>
      <w:tr>
        <w:trPr>
          <w:tblHeader w:val="true"/>
        </w:trPr>
        <w:tc>
          <w:tcPr/>
          <w:p>
            <w:pPr>
              <w:pStyle w:val="Compact"/>
              <w:jc w:val="center"/>
            </w:pPr>
            <w:r>
              <w:t xml:space="preserve">condition</w:t>
            </w:r>
          </w:p>
        </w:tc>
        <w:tc>
          <w:tcPr/>
          <w:p>
            <w:pPr>
              <w:pStyle w:val="Compact"/>
              <w:jc w:val="center"/>
            </w:pPr>
            <w:r>
              <w:t xml:space="preserve">n</w:t>
            </w:r>
          </w:p>
        </w:tc>
      </w:tr>
      <w:tr>
        <w:tc>
          <w:tcPr/>
          <w:p>
            <w:pPr>
              <w:pStyle w:val="Compact"/>
              <w:jc w:val="center"/>
            </w:pPr>
            <w:r>
              <w:t xml:space="preserve">Activin 50ng/ml 10d</w:t>
            </w:r>
          </w:p>
        </w:tc>
        <w:tc>
          <w:tcPr/>
          <w:p>
            <w:pPr>
              <w:pStyle w:val="Compact"/>
              <w:jc w:val="center"/>
            </w:pPr>
            <w:r>
              <w:t xml:space="preserve">6</w:t>
            </w:r>
          </w:p>
        </w:tc>
      </w:tr>
      <w:tr>
        <w:tc>
          <w:tcPr/>
          <w:p>
            <w:pPr>
              <w:pStyle w:val="Compact"/>
              <w:jc w:val="center"/>
            </w:pPr>
            <w:r>
              <w:t xml:space="preserve">Activin 50ng/ml 14days</w:t>
            </w:r>
          </w:p>
        </w:tc>
        <w:tc>
          <w:tcPr/>
          <w:p>
            <w:pPr>
              <w:pStyle w:val="Compact"/>
              <w:jc w:val="center"/>
            </w:pPr>
            <w:r>
              <w:t xml:space="preserve">5</w:t>
            </w:r>
          </w:p>
        </w:tc>
      </w:tr>
      <w:tr>
        <w:tc>
          <w:tcPr/>
          <w:p>
            <w:pPr>
              <w:pStyle w:val="Compact"/>
              <w:jc w:val="center"/>
            </w:pPr>
            <w:r>
              <w:t xml:space="preserve">Activin 50ng/ml 2days</w:t>
            </w:r>
          </w:p>
        </w:tc>
        <w:tc>
          <w:tcPr/>
          <w:p>
            <w:pPr>
              <w:pStyle w:val="Compact"/>
              <w:jc w:val="center"/>
            </w:pPr>
            <w:r>
              <w:t xml:space="preserve">5</w:t>
            </w:r>
          </w:p>
        </w:tc>
      </w:tr>
      <w:tr>
        <w:tc>
          <w:tcPr/>
          <w:p>
            <w:pPr>
              <w:pStyle w:val="Compact"/>
              <w:jc w:val="center"/>
            </w:pPr>
            <w:r>
              <w:t xml:space="preserve">Activin 50ng/ml 4d</w:t>
            </w:r>
          </w:p>
        </w:tc>
        <w:tc>
          <w:tcPr/>
          <w:p>
            <w:pPr>
              <w:pStyle w:val="Compact"/>
              <w:jc w:val="center"/>
            </w:pPr>
            <w:r>
              <w:t xml:space="preserve">12</w:t>
            </w:r>
          </w:p>
        </w:tc>
      </w:tr>
      <w:tr>
        <w:tc>
          <w:tcPr/>
          <w:p>
            <w:pPr>
              <w:pStyle w:val="Compact"/>
              <w:jc w:val="center"/>
            </w:pPr>
            <w:r>
              <w:t xml:space="preserve">Control 10d</w:t>
            </w:r>
          </w:p>
        </w:tc>
        <w:tc>
          <w:tcPr/>
          <w:p>
            <w:pPr>
              <w:pStyle w:val="Compact"/>
              <w:jc w:val="center"/>
            </w:pPr>
            <w:r>
              <w:t xml:space="preserve">11</w:t>
            </w:r>
          </w:p>
        </w:tc>
      </w:tr>
      <w:tr>
        <w:tc>
          <w:tcPr/>
          <w:p>
            <w:pPr>
              <w:pStyle w:val="Compact"/>
              <w:jc w:val="center"/>
            </w:pPr>
            <w:r>
              <w:t xml:space="preserve">Control 14days</w:t>
            </w:r>
          </w:p>
        </w:tc>
        <w:tc>
          <w:tcPr/>
          <w:p>
            <w:pPr>
              <w:pStyle w:val="Compact"/>
              <w:jc w:val="center"/>
            </w:pPr>
            <w:r>
              <w:t xml:space="preserve">9</w:t>
            </w:r>
          </w:p>
        </w:tc>
      </w:tr>
      <w:tr>
        <w:tc>
          <w:tcPr/>
          <w:p>
            <w:pPr>
              <w:pStyle w:val="Compact"/>
              <w:jc w:val="center"/>
            </w:pPr>
            <w:r>
              <w:t xml:space="preserve">Control 7days</w:t>
            </w:r>
          </w:p>
        </w:tc>
        <w:tc>
          <w:tcPr/>
          <w:p>
            <w:pPr>
              <w:pStyle w:val="Compact"/>
              <w:jc w:val="center"/>
            </w:pPr>
            <w:r>
              <w:t xml:space="preserve">10</w:t>
            </w:r>
          </w:p>
        </w:tc>
      </w:tr>
      <w:tr>
        <w:tc>
          <w:tcPr/>
          <w:p>
            <w:pPr>
              <w:pStyle w:val="Compact"/>
              <w:jc w:val="center"/>
            </w:pPr>
            <w:r>
              <w:t xml:space="preserve">Ctrl 4d</w:t>
            </w:r>
          </w:p>
        </w:tc>
        <w:tc>
          <w:tcPr/>
          <w:p>
            <w:pPr>
              <w:pStyle w:val="Compact"/>
              <w:jc w:val="center"/>
            </w:pPr>
            <w:r>
              <w:t xml:space="preserve">11</w:t>
            </w:r>
          </w:p>
        </w:tc>
      </w:tr>
      <w:tr>
        <w:tc>
          <w:tcPr/>
          <w:p>
            <w:pPr>
              <w:pStyle w:val="Compact"/>
              <w:jc w:val="center"/>
            </w:pPr>
            <w:r>
              <w:t xml:space="preserve">Ctrl 5min</w:t>
            </w:r>
          </w:p>
        </w:tc>
        <w:tc>
          <w:tcPr/>
          <w:p>
            <w:pPr>
              <w:pStyle w:val="Compact"/>
              <w:jc w:val="center"/>
            </w:pPr>
            <w:r>
              <w:t xml:space="preserve">1</w:t>
            </w:r>
          </w:p>
        </w:tc>
      </w:tr>
      <w:tr>
        <w:tc>
          <w:tcPr/>
          <w:p>
            <w:pPr>
              <w:pStyle w:val="Compact"/>
              <w:jc w:val="center"/>
            </w:pPr>
            <w:r>
              <w:t xml:space="preserve">Ethanol 30mM 5min</w:t>
            </w:r>
          </w:p>
        </w:tc>
        <w:tc>
          <w:tcPr/>
          <w:p>
            <w:pPr>
              <w:pStyle w:val="Compact"/>
              <w:jc w:val="center"/>
            </w:pPr>
            <w:r>
              <w:t xml:space="preserve">7</w:t>
            </w:r>
          </w:p>
        </w:tc>
      </w:tr>
      <w:tr>
        <w:tc>
          <w:tcPr/>
          <w:p>
            <w:pPr>
              <w:pStyle w:val="Compact"/>
              <w:jc w:val="center"/>
            </w:pPr>
            <w:r>
              <w:t xml:space="preserve">Follistatin 50ng/ml 10d</w:t>
            </w:r>
          </w:p>
        </w:tc>
        <w:tc>
          <w:tcPr/>
          <w:p>
            <w:pPr>
              <w:pStyle w:val="Compact"/>
              <w:jc w:val="center"/>
            </w:pPr>
            <w:r>
              <w:t xml:space="preserve">5</w:t>
            </w:r>
          </w:p>
        </w:tc>
      </w:tr>
      <w:tr>
        <w:tc>
          <w:tcPr/>
          <w:p>
            <w:pPr>
              <w:pStyle w:val="Compact"/>
              <w:jc w:val="center"/>
            </w:pPr>
            <w:r>
              <w:t xml:space="preserve">Follistatin 50ng/ml 14d</w:t>
            </w:r>
          </w:p>
        </w:tc>
        <w:tc>
          <w:tcPr/>
          <w:p>
            <w:pPr>
              <w:pStyle w:val="Compact"/>
              <w:jc w:val="center"/>
            </w:pPr>
            <w:r>
              <w:t xml:space="preserve">5</w:t>
            </w:r>
          </w:p>
        </w:tc>
      </w:tr>
      <w:tr>
        <w:tc>
          <w:tcPr/>
          <w:p>
            <w:pPr>
              <w:pStyle w:val="Compact"/>
              <w:jc w:val="center"/>
            </w:pPr>
            <w:r>
              <w:t xml:space="preserve">Follistatin 50ng/ml 7d</w:t>
            </w:r>
          </w:p>
        </w:tc>
        <w:tc>
          <w:tcPr/>
          <w:p>
            <w:pPr>
              <w:pStyle w:val="Compact"/>
              <w:jc w:val="center"/>
            </w:pPr>
            <w:r>
              <w:t xml:space="preserve">11</w:t>
            </w:r>
          </w:p>
        </w:tc>
      </w:tr>
      <w:tr>
        <w:tc>
          <w:tcPr/>
          <w:p>
            <w:pPr>
              <w:pStyle w:val="Compact"/>
              <w:jc w:val="center"/>
            </w:pPr>
            <w:r>
              <w:t xml:space="preserve">SMIFH2 10µM 14d</w:t>
            </w:r>
          </w:p>
        </w:tc>
        <w:tc>
          <w:tcPr/>
          <w:p>
            <w:pPr>
              <w:pStyle w:val="Compact"/>
              <w:jc w:val="center"/>
            </w:pPr>
            <w:r>
              <w:t xml:space="preserve">5</w:t>
            </w:r>
          </w:p>
        </w:tc>
      </w:tr>
      <w:tr>
        <w:tc>
          <w:tcPr/>
          <w:p>
            <w:pPr>
              <w:pStyle w:val="Compact"/>
              <w:jc w:val="center"/>
            </w:pPr>
            <w:r>
              <w:t xml:space="preserve">SMIFH2 10µM 4d</w:t>
            </w:r>
          </w:p>
        </w:tc>
        <w:tc>
          <w:tcPr/>
          <w:p>
            <w:pPr>
              <w:pStyle w:val="Compact"/>
              <w:jc w:val="center"/>
            </w:pPr>
            <w:r>
              <w:t xml:space="preserve">2</w:t>
            </w:r>
          </w:p>
        </w:tc>
      </w:tr>
      <w:tr>
        <w:tc>
          <w:tcPr/>
          <w:p>
            <w:pPr>
              <w:pStyle w:val="Compact"/>
              <w:jc w:val="center"/>
            </w:pPr>
            <w:r>
              <w:t xml:space="preserve">SMIFH2 10µm 10d</w:t>
            </w:r>
          </w:p>
        </w:tc>
        <w:tc>
          <w:tcPr/>
          <w:p>
            <w:pPr>
              <w:pStyle w:val="Compact"/>
              <w:jc w:val="center"/>
            </w:pPr>
            <w:r>
              <w:t xml:space="preserve">4</w:t>
            </w:r>
          </w:p>
        </w:tc>
      </w:tr>
    </w:tbl>
    <w:bookmarkEnd w:id="27"/>
    <w:bookmarkEnd w:id="28"/>
    <w:bookmarkStart w:id="41" w:name="analysis-steps"/>
    <w:p>
      <w:pPr>
        <w:pStyle w:val="berschrift2"/>
      </w:pPr>
      <w:r>
        <w:t xml:space="preserve">Analysis steps</w:t>
      </w:r>
    </w:p>
    <w:p>
      <w:pPr>
        <w:pStyle w:val="FirstParagraph"/>
      </w:pPr>
      <w:r>
        <w:t xml:space="preserve">A user blinded to the experimental condition marked a starting point at the nuclear envelope and an endpoint at the somatic cell membrane. We then analyzed the fluorescence intensity distribution along the connecting line as a marker for the distribution of mitochondria.</w:t>
      </w:r>
    </w:p>
    <w:bookmarkStart w:id="29" w:name="intensity-profiles"/>
    <w:p>
      <w:pPr>
        <w:pStyle w:val="berschrift3"/>
      </w:pPr>
      <w:r>
        <w:t xml:space="preserve">Intensity profiles</w:t>
      </w:r>
    </w:p>
    <w:p>
      <w:pPr>
        <w:pStyle w:val="FirstParagraph"/>
      </w:pPr>
      <w:r>
        <w:t xml:space="preserve">In the original paper with this method</w:t>
      </w:r>
      <w:r>
        <w:t xml:space="preserve"> </w:t>
      </w:r>
      <w:r>
        <w:t xml:space="preserve">[1]</w:t>
      </w:r>
      <w:r>
        <w:t xml:space="preserve">, the authors normalized fluorescence intensities on the maximum intensity pixel of the given image. In my opinion, this is not the best solution, as there may be differences in the absolute fluorescence emission that stem from controllable sources (different fluorescence excitation intensity, different reaction times during staining) or uncontrollable sources (fluorophores not as efficient anymore due to light exposure during previous sample preparation, maybe even different fluorophore binding efficiency in different treatment conditions, imaging artefacts with unspecifically bound or unwashed fluorophores) that effect single pixels. I therefore normalized the fluorescence intensity values to the average of the 3 highest values of each cell’s profiles - which is a method not as vulnerable to the described error sources.</w:t>
      </w:r>
    </w:p>
    <w:bookmarkEnd w:id="29"/>
    <w:bookmarkStart w:id="39" w:name="normalization"/>
    <w:p>
      <w:pPr>
        <w:pStyle w:val="berschrift3"/>
      </w:pPr>
      <w:r>
        <w:t xml:space="preserve">Normalization</w:t>
      </w:r>
    </w:p>
    <w:p>
      <w:pPr>
        <w:pStyle w:val="FirstParagraph"/>
      </w:pPr>
      <w:r>
        <w:t xml:space="preserve">Originally</w:t>
      </w:r>
      <w:r>
        <w:t xml:space="preserve"> </w:t>
      </w:r>
      <w:r>
        <w:t xml:space="preserve">[1]</w:t>
      </w:r>
      <w:r>
        <w:t xml:space="preserve">, one line was drawn per cell at the position of maximum soma extension from the nucleus. In neurons the overall somatic area outside of the nucleus is much less than in Cangkrama et al.’s cell type and neurons differ in shape from an even, round shape. We thus drew three different sections through the soma. The first in the direction of maximum soma extension (just as the original paper), the other two about 45 degrees clockwise and 45 degrees counterclockwise to the first line.</w:t>
      </w:r>
    </w:p>
    <w:p>
      <w:pPr>
        <w:pStyle w:val="Textkrper"/>
      </w:pPr>
      <w:r>
        <w:t xml:space="preserve">For comparability with the previous study, I plotted here the results, using the first (maximum length) somatic profiles only.</w:t>
      </w:r>
    </w:p>
    <w:p>
      <w:pPr>
        <w:pStyle w:val="CaptionedFigure"/>
      </w:pPr>
      <w:r>
        <w:drawing>
          <wp:inline>
            <wp:extent cx="5969000" cy="3581400"/>
            <wp:effectExtent b="0" l="0" r="0" t="0"/>
            <wp:docPr descr="Normliazed intensity profiles along first sections through the soma" title="" id="31" name="Picture"/>
            <a:graphic>
              <a:graphicData uri="http://schemas.openxmlformats.org/drawingml/2006/picture">
                <pic:pic>
                  <pic:nvPicPr>
                    <pic:cNvPr descr="mitochondria_alcohol_status_report_files/figure-docx/plot_line1-1.png" id="32" name="Picture"/>
                    <pic:cNvPicPr>
                      <a:picLocks noChangeArrowheads="1" noChangeAspect="1"/>
                    </pic:cNvPicPr>
                  </pic:nvPicPr>
                  <pic:blipFill>
                    <a:blip r:embed="rId30"/>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Normliazed intensity profiles along first sections through the soma</w:t>
      </w:r>
    </w:p>
    <w:p>
      <w:pPr>
        <w:pStyle w:val="Textkrper"/>
      </w:pPr>
      <w:r>
        <w:t xml:space="preserve">For the mentioned reasons, it is sensible to use several different sections in neurons to compensate for the uneven neuronal soma shape. Here is an overview of all thus far extracted sections through the soma:</w:t>
      </w:r>
    </w:p>
    <w:p>
      <w:pPr>
        <w:pStyle w:val="CaptionedFigure"/>
      </w:pPr>
      <w:r>
        <w:drawing>
          <wp:inline>
            <wp:extent cx="5969000" cy="7162800"/>
            <wp:effectExtent b="0" l="0" r="0" t="0"/>
            <wp:docPr descr="Overview of all normalized intensity profiles along sections through the soma" title="" id="34" name="Picture"/>
            <a:graphic>
              <a:graphicData uri="http://schemas.openxmlformats.org/drawingml/2006/picture">
                <pic:pic>
                  <pic:nvPicPr>
                    <pic:cNvPr descr="mitochondria_alcohol_status_report_files/figure-docx/plot_lines_separately-1.png" id="35" name="Picture"/>
                    <pic:cNvPicPr>
                      <a:picLocks noChangeArrowheads="1" noChangeAspect="1"/>
                    </pic:cNvPicPr>
                  </pic:nvPicPr>
                  <pic:blipFill>
                    <a:blip r:embed="rId33"/>
                    <a:stretch>
                      <a:fillRect/>
                    </a:stretch>
                  </pic:blipFill>
                  <pic:spPr bwMode="auto">
                    <a:xfrm>
                      <a:off x="0" y="0"/>
                      <a:ext cx="5969000" cy="7162800"/>
                    </a:xfrm>
                    <a:prstGeom prst="rect">
                      <a:avLst/>
                    </a:prstGeom>
                    <a:noFill/>
                    <a:ln w="9525">
                      <a:noFill/>
                      <a:headEnd/>
                      <a:tailEnd/>
                    </a:ln>
                  </pic:spPr>
                </pic:pic>
              </a:graphicData>
            </a:graphic>
          </wp:inline>
        </w:drawing>
      </w:r>
    </w:p>
    <w:p>
      <w:pPr>
        <w:pStyle w:val="ImageCaption"/>
      </w:pPr>
      <w:r>
        <w:t xml:space="preserve">Overview of all normalized intensity profiles along sections through the soma</w:t>
      </w:r>
    </w:p>
    <w:p>
      <w:pPr>
        <w:pStyle w:val="Textkrper"/>
      </w:pPr>
      <w:r>
        <w:t xml:space="preserve">We can see, that some curves consist of very few data points, because the soma is only a thin edge around the nucleus in some regions. Other sections span across wider sections of soma. Overall there is no apparent difference between line 1 (sections across widest area of the soma) and lines 2 and 3 (sections across other parts of the soma).</w:t>
      </w:r>
    </w:p>
    <w:p>
      <w:pPr>
        <w:pStyle w:val="CaptionedFigure"/>
      </w:pPr>
      <w:r>
        <w:drawing>
          <wp:inline>
            <wp:extent cx="5969000" cy="3581400"/>
            <wp:effectExtent b="0" l="0" r="0" t="0"/>
            <wp:docPr descr="Normalized intensity profiles along sections through the soma - all three sections averaged" title="" id="37" name="Picture"/>
            <a:graphic>
              <a:graphicData uri="http://schemas.openxmlformats.org/drawingml/2006/picture">
                <pic:pic>
                  <pic:nvPicPr>
                    <pic:cNvPr descr="mitochondria_alcohol_status_report_files/figure-docx/plot_all_lines-1.png" id="38" name="Picture"/>
                    <pic:cNvPicPr>
                      <a:picLocks noChangeArrowheads="1" noChangeAspect="1"/>
                    </pic:cNvPicPr>
                  </pic:nvPicPr>
                  <pic:blipFill>
                    <a:blip r:embed="rId36"/>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Normalized intensity profiles along sections through the soma - all three sections averaged</w:t>
      </w:r>
    </w:p>
    <w:p>
      <w:pPr>
        <w:pStyle w:val="Textkrper"/>
      </w:pPr>
      <w:r>
        <w:t xml:space="preserve">When comparing the curves of only the first (longest) sections with the averages of all three sections, we can see that the mitochondria distribution is about the same, but the distribution shape becomes more pronounced with more data, which makes sense. Hence, we’ll be using all three sections for the following analysis steps.</w:t>
      </w:r>
    </w:p>
    <w:bookmarkEnd w:id="39"/>
    <w:bookmarkStart w:id="40" w:name="statistical-comparison"/>
    <w:p>
      <w:pPr>
        <w:pStyle w:val="berschrift3"/>
      </w:pPr>
      <w:r>
        <w:t xml:space="preserve">Statistical comparison</w:t>
      </w:r>
    </w:p>
    <w:p>
      <w:pPr>
        <w:pStyle w:val="FirstParagraph"/>
      </w:pPr>
      <w:r>
        <w:t xml:space="preserve">To compare the different distributions, we divided them up into 10 sections (0-0.1 distance from the nucleus, 0.1-0.2, 0.2-0.3,…). Within each section, values are averaged and statistically compared through anova with Dunnett’s post-hoc corrections (used when comparing multiple treatment conditions to one control).</w:t>
      </w:r>
      <w:r>
        <w:t xml:space="preserve"> </w:t>
      </w:r>
      <w:r>
        <w:t xml:space="preserve">I then performed statistical comparison between the different treatment groups and controls for each of the 10 distance sections.</w:t>
      </w:r>
    </w:p>
    <w:bookmarkEnd w:id="40"/>
    <w:bookmarkEnd w:id="41"/>
    <w:bookmarkStart w:id="70" w:name="current-results"/>
    <w:p>
      <w:pPr>
        <w:pStyle w:val="berschrift2"/>
      </w:pPr>
      <w:r>
        <w:t xml:space="preserve">Current results</w:t>
      </w:r>
    </w:p>
    <w:bookmarkStart w:id="48" w:name="X58f9943709f66ae693e655b336e2a06c0f86bc7"/>
    <w:p>
      <w:pPr>
        <w:pStyle w:val="berschrift3"/>
      </w:pPr>
      <w:r>
        <w:t xml:space="preserve">Reduced somatic actin density in cultures treated with Activin A for 2 days and for 14 days, but not in between at 4 days and 10 days</w:t>
      </w:r>
    </w:p>
    <w:p>
      <w:pPr>
        <w:pStyle w:val="CaptionedFigure"/>
      </w:pPr>
      <w:r>
        <w:drawing>
          <wp:inline>
            <wp:extent cx="5969000" cy="7022352"/>
            <wp:effectExtent b="0" l="0" r="0" t="0"/>
            <wp:docPr descr="Statistical comparison of actin density in Activin A treated cultures" title="" id="43" name="Picture"/>
            <a:graphic>
              <a:graphicData uri="http://schemas.openxmlformats.org/drawingml/2006/picture">
                <pic:pic>
                  <pic:nvPicPr>
                    <pic:cNvPr descr="mitochondria_alcohol_status_report_files/figure-docx/comparison_actin_under_activin-1.png" id="44" name="Picture"/>
                    <pic:cNvPicPr>
                      <a:picLocks noChangeArrowheads="1" noChangeAspect="1"/>
                    </pic:cNvPicPr>
                  </pic:nvPicPr>
                  <pic:blipFill>
                    <a:blip r:embed="rId42"/>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actin density in Activin A treated cultures</w:t>
      </w:r>
    </w:p>
    <w:p>
      <w:pPr>
        <w:pStyle w:val="CaptionedFigure"/>
      </w:pPr>
      <w:r>
        <w:drawing>
          <wp:inline>
            <wp:extent cx="5969000" cy="4178300"/>
            <wp:effectExtent b="0" l="0" r="0" t="0"/>
            <wp:docPr descr="Actin density in the soma of Activin A treated cultures" title="" id="46" name="Picture"/>
            <a:graphic>
              <a:graphicData uri="http://schemas.openxmlformats.org/drawingml/2006/picture">
                <pic:pic>
                  <pic:nvPicPr>
                    <pic:cNvPr descr="mitochondria_alcohol_status_report_files/figure-docx/actin_in_activin-1.png" id="47" name="Picture"/>
                    <pic:cNvPicPr>
                      <a:picLocks noChangeArrowheads="1" noChangeAspect="1"/>
                    </pic:cNvPicPr>
                  </pic:nvPicPr>
                  <pic:blipFill>
                    <a:blip r:embed="rId45"/>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Actin density in the soma of Activin A treated cultures</w:t>
      </w:r>
    </w:p>
    <w:p>
      <w:pPr>
        <w:pStyle w:val="Textkrper"/>
      </w:pPr>
      <w:r>
        <w:t xml:space="preserve">Cultures treated with Activin A for 2 days contain a reduced somatic actin density. This effect recedes to no changes after 4 days and 10 days of treatment and reappears after 14 days.</w:t>
      </w:r>
    </w:p>
    <w:bookmarkEnd w:id="48"/>
    <w:bookmarkStart w:id="55" w:name="Xdcc0b50835011dc7051615fd3c5cb7a52061c43"/>
    <w:p>
      <w:pPr>
        <w:pStyle w:val="berschrift3"/>
      </w:pPr>
      <w:r>
        <w:t xml:space="preserve">No relevant effect of follistatin on actin density</w:t>
      </w:r>
    </w:p>
    <w:p>
      <w:pPr>
        <w:pStyle w:val="CaptionedFigure"/>
      </w:pPr>
      <w:r>
        <w:drawing>
          <wp:inline>
            <wp:extent cx="5969000" cy="7022352"/>
            <wp:effectExtent b="0" l="0" r="0" t="0"/>
            <wp:docPr descr="Statistical comparison of actin density in follistatin treated cultures" title="" id="50" name="Picture"/>
            <a:graphic>
              <a:graphicData uri="http://schemas.openxmlformats.org/drawingml/2006/picture">
                <pic:pic>
                  <pic:nvPicPr>
                    <pic:cNvPr descr="mitochondria_alcohol_status_report_files/figure-docx/comparison_actin_under_follistatin-1.png" id="51" name="Picture"/>
                    <pic:cNvPicPr>
                      <a:picLocks noChangeArrowheads="1" noChangeAspect="1"/>
                    </pic:cNvPicPr>
                  </pic:nvPicPr>
                  <pic:blipFill>
                    <a:blip r:embed="rId49"/>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actin density in follistatin treated cultures</w:t>
      </w:r>
    </w:p>
    <w:p>
      <w:pPr>
        <w:pStyle w:val="CaptionedFigure"/>
      </w:pPr>
      <w:r>
        <w:drawing>
          <wp:inline>
            <wp:extent cx="5969000" cy="4178300"/>
            <wp:effectExtent b="0" l="0" r="0" t="0"/>
            <wp:docPr descr="Actin density in the soma of follistatin treated cultures" title="" id="53" name="Picture"/>
            <a:graphic>
              <a:graphicData uri="http://schemas.openxmlformats.org/drawingml/2006/picture">
                <pic:pic>
                  <pic:nvPicPr>
                    <pic:cNvPr descr="mitochondria_alcohol_status_report_files/figure-docx/actin_in_follistatin-1.png" id="54" name="Picture"/>
                    <pic:cNvPicPr>
                      <a:picLocks noChangeArrowheads="1" noChangeAspect="1"/>
                    </pic:cNvPicPr>
                  </pic:nvPicPr>
                  <pic:blipFill>
                    <a:blip r:embed="rId52"/>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Actin density in the soma of follistatin treated cultures</w:t>
      </w:r>
    </w:p>
    <w:p>
      <w:pPr>
        <w:pStyle w:val="Textkrper"/>
      </w:pPr>
      <w:r>
        <w:t xml:space="preserve">Although statistically significant, effect sizes are minimal and thus, cultures treated with follistatin up to 14 days show no noteworthy effects of the treatment on somatic actin density.</w:t>
      </w:r>
    </w:p>
    <w:bookmarkEnd w:id="55"/>
    <w:bookmarkStart w:id="62" w:name="Xe50f6a54b942b943f33e685b1f768689b30252f"/>
    <w:p>
      <w:pPr>
        <w:pStyle w:val="berschrift3"/>
      </w:pPr>
      <w:r>
        <w:t xml:space="preserve">Inconclusive results of actin density in SMIFH2 treated cultures</w:t>
      </w:r>
    </w:p>
    <w:p>
      <w:pPr>
        <w:pStyle w:val="CaptionedFigure"/>
      </w:pPr>
      <w:r>
        <w:drawing>
          <wp:inline>
            <wp:extent cx="5969000" cy="7022352"/>
            <wp:effectExtent b="0" l="0" r="0" t="0"/>
            <wp:docPr descr="Statistical comparison of actin density in SMIFH2 treated cultures" title="" id="57" name="Picture"/>
            <a:graphic>
              <a:graphicData uri="http://schemas.openxmlformats.org/drawingml/2006/picture">
                <pic:pic>
                  <pic:nvPicPr>
                    <pic:cNvPr descr="mitochondria_alcohol_status_report_files/figure-docx/comparison_actin_under_SMIFH2-1.png" id="58" name="Picture"/>
                    <pic:cNvPicPr>
                      <a:picLocks noChangeArrowheads="1" noChangeAspect="1"/>
                    </pic:cNvPicPr>
                  </pic:nvPicPr>
                  <pic:blipFill>
                    <a:blip r:embed="rId56"/>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actin density in SMIFH2 treated cultures</w:t>
      </w:r>
    </w:p>
    <w:p>
      <w:pPr>
        <w:pStyle w:val="CaptionedFigure"/>
      </w:pPr>
      <w:r>
        <w:drawing>
          <wp:inline>
            <wp:extent cx="5969000" cy="4178300"/>
            <wp:effectExtent b="0" l="0" r="0" t="0"/>
            <wp:docPr descr="Actin density in the soma of SMIFH2 treated cultures" title="" id="60" name="Picture"/>
            <a:graphic>
              <a:graphicData uri="http://schemas.openxmlformats.org/drawingml/2006/picture">
                <pic:pic>
                  <pic:nvPicPr>
                    <pic:cNvPr descr="mitochondria_alcohol_status_report_files/figure-docx/actin_in_SMIFH2-1.png" id="61" name="Picture"/>
                    <pic:cNvPicPr>
                      <a:picLocks noChangeArrowheads="1" noChangeAspect="1"/>
                    </pic:cNvPicPr>
                  </pic:nvPicPr>
                  <pic:blipFill>
                    <a:blip r:embed="rId59"/>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Actin density in the soma of SMIFH2 treated cultures</w:t>
      </w:r>
    </w:p>
    <w:p>
      <w:pPr>
        <w:pStyle w:val="Textkrper"/>
      </w:pPr>
      <w:r>
        <w:t xml:space="preserve">As the sample size for SMIFH2 treated cultures is very low, the results here seem inconclusive. As SMIFH2 inhibits actin polymerization (Phalloidin Red only binds to polymerized actin), a decrease of actin density is expected but not apparent in the data.</w:t>
      </w:r>
    </w:p>
    <w:bookmarkEnd w:id="62"/>
    <w:bookmarkStart w:id="69" w:name="X5e9eb44fd81fbb9d6aa399327fbc04690067860"/>
    <w:p>
      <w:pPr>
        <w:pStyle w:val="berschrift3"/>
      </w:pPr>
      <w:r>
        <w:t xml:space="preserve">No relevant effect of Ethanol treatment (5min, 30mM) on somatic actin density</w:t>
      </w:r>
    </w:p>
    <w:p>
      <w:pPr>
        <w:pStyle w:val="CaptionedFigure"/>
      </w:pPr>
      <w:r>
        <w:drawing>
          <wp:inline>
            <wp:extent cx="5969000" cy="7022352"/>
            <wp:effectExtent b="0" l="0" r="0" t="0"/>
            <wp:docPr descr="Statistical comparison of actin density in ethanol treated cultures" title="" id="64" name="Picture"/>
            <a:graphic>
              <a:graphicData uri="http://schemas.openxmlformats.org/drawingml/2006/picture">
                <pic:pic>
                  <pic:nvPicPr>
                    <pic:cNvPr descr="mitochondria_alcohol_status_report_files/figure-docx/comparison_actin_under_ethanol-1.png" id="65" name="Picture"/>
                    <pic:cNvPicPr>
                      <a:picLocks noChangeArrowheads="1" noChangeAspect="1"/>
                    </pic:cNvPicPr>
                  </pic:nvPicPr>
                  <pic:blipFill>
                    <a:blip r:embed="rId63"/>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actin density in ethanol treated cultures</w:t>
      </w:r>
    </w:p>
    <w:p>
      <w:pPr>
        <w:pStyle w:val="CaptionedFigure"/>
      </w:pPr>
      <w:r>
        <w:drawing>
          <wp:inline>
            <wp:extent cx="5969000" cy="4178300"/>
            <wp:effectExtent b="0" l="0" r="0" t="0"/>
            <wp:docPr descr="Actin density in the soma of ethanol treated cultures" title="" id="67" name="Picture"/>
            <a:graphic>
              <a:graphicData uri="http://schemas.openxmlformats.org/drawingml/2006/picture">
                <pic:pic>
                  <pic:nvPicPr>
                    <pic:cNvPr descr="mitochondria_alcohol_status_report_files/figure-docx/actin_in_ethanol-1.png" id="68" name="Picture"/>
                    <pic:cNvPicPr>
                      <a:picLocks noChangeArrowheads="1" noChangeAspect="1"/>
                    </pic:cNvPicPr>
                  </pic:nvPicPr>
                  <pic:blipFill>
                    <a:blip r:embed="rId66"/>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Actin density in the soma of ethanol treated cultures</w:t>
      </w:r>
    </w:p>
    <w:p>
      <w:pPr>
        <w:pStyle w:val="Textkrper"/>
      </w:pPr>
      <w:r>
        <w:t xml:space="preserve">Although statistically significant, the effect sizes are marginal and thus, 5min Ethanol treatment (30mM) has no relevant effect on somatic actin density.</w:t>
      </w:r>
    </w:p>
    <w:bookmarkEnd w:id="69"/>
    <w:bookmarkEnd w:id="70"/>
    <w:bookmarkStart w:id="74" w:name="references"/>
    <w:p>
      <w:pPr>
        <w:pStyle w:val="berschrift2"/>
      </w:pPr>
      <w:r>
        <w:t xml:space="preserve">References</w:t>
      </w:r>
    </w:p>
    <w:bookmarkStart w:id="73" w:name="refs"/>
    <w:bookmarkStart w:id="72" w:name="X4175f2d6a880cff244f25bc9442830b9798b728"/>
    <w:p>
      <w:pPr>
        <w:pStyle w:val="Literaturverzeichnis"/>
      </w:pPr>
      <w:r>
        <w:t xml:space="preserve">[1]</w:t>
      </w:r>
      <w:r>
        <w:t xml:space="preserve"> </w:t>
      </w:r>
      <w:r>
        <w:t xml:space="preserve">	</w:t>
      </w:r>
      <w:r>
        <w:t xml:space="preserve">Cangkrama M, Liu H, Whipman J, Zubair M, Matsushita M, Di Filippo M, et al. A</w:t>
      </w:r>
      <w:r>
        <w:t xml:space="preserve"> </w:t>
      </w:r>
      <w:r>
        <w:t xml:space="preserve">Protumorigenic mDia2-MIRO1 Axis Controls Mitochondrial Positioning</w:t>
      </w:r>
      <w:r>
        <w:t xml:space="preserve"> </w:t>
      </w:r>
      <w:r>
        <w:t xml:space="preserve">and</w:t>
      </w:r>
      <w:r>
        <w:t xml:space="preserve"> </w:t>
      </w:r>
      <w:r>
        <w:t xml:space="preserve">Function</w:t>
      </w:r>
      <w:r>
        <w:t xml:space="preserve"> </w:t>
      </w:r>
      <w:r>
        <w:t xml:space="preserve">in</w:t>
      </w:r>
      <w:r>
        <w:t xml:space="preserve"> </w:t>
      </w:r>
      <w:r>
        <w:t xml:space="preserve">Cancer-Associated Fibroblasts</w:t>
      </w:r>
      <w:r>
        <w:t xml:space="preserve">. Cancer Res 2022;82:3701–17.</w:t>
      </w:r>
      <w:r>
        <w:t xml:space="preserve"> </w:t>
      </w:r>
      <w:hyperlink r:id="rId71">
        <w:r>
          <w:rPr>
            <w:rStyle w:val="Hyperlink"/>
          </w:rPr>
          <w:t xml:space="preserve">https://doi.org/10.1158/0008-5472.CAN-22-0162</w:t>
        </w:r>
      </w:hyperlink>
      <w:r>
        <w:t xml:space="preserve">.</w:t>
      </w:r>
    </w:p>
    <w:bookmarkEnd w:id="72"/>
    <w:bookmarkEnd w:id="73"/>
    <w:bookmarkEnd w:id="74"/>
    <w:sectPr w:rsidR="0066171F" w:rsidSect="00250CD9">
      <w:pgSz w:h="15840" w:w="12240"/>
      <w:pgMar w:bottom="1134"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AvenirNext LT Pro Regular">
    <w:altName w:val="Calibri"/>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A3493D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1EE423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DD4B5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F69A06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B2B0BBB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16CB6A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BFA998A"/>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57CEE4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036C8B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9C0301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5CC913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A99411"/>
    <w:multiLevelType w:val="multilevel"/>
    <w:tmpl w:val="425AC5C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20863562" w:numId="1">
    <w:abstractNumId w:val="9"/>
  </w:num>
  <w:num w16cid:durableId="1065569572" w:numId="2">
    <w:abstractNumId w:val="7"/>
  </w:num>
  <w:num w16cid:durableId="180047065" w:numId="3">
    <w:abstractNumId w:val="6"/>
  </w:num>
  <w:num w16cid:durableId="2049599164" w:numId="4">
    <w:abstractNumId w:val="5"/>
  </w:num>
  <w:num w16cid:durableId="1336347997" w:numId="5">
    <w:abstractNumId w:val="4"/>
  </w:num>
  <w:num w16cid:durableId="2006856992" w:numId="6">
    <w:abstractNumId w:val="8"/>
  </w:num>
  <w:num w16cid:durableId="2129466331" w:numId="7">
    <w:abstractNumId w:val="3"/>
  </w:num>
  <w:num w16cid:durableId="754740175" w:numId="8">
    <w:abstractNumId w:val="2"/>
  </w:num>
  <w:num w16cid:durableId="2057006866" w:numId="9">
    <w:abstractNumId w:val="1"/>
  </w:num>
  <w:num w16cid:durableId="173540954" w:numId="10">
    <w:abstractNumId w:val="0"/>
  </w:num>
  <w:num w16cid:durableId="387807495" w:numId="11">
    <w:abstractNumId w:val="10"/>
  </w:num>
  <w:num w16cid:durableId="48961354"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4C545D"/>
    <w:rPr>
      <w:rFonts w:ascii="Avenir Next LT Pro" w:hAnsi="Avenir Next LT Pro"/>
    </w:rPr>
  </w:style>
  <w:style w:styleId="berschrift1" w:type="paragraph">
    <w:name w:val="heading 1"/>
    <w:basedOn w:val="Standard"/>
    <w:next w:val="Textkrper"/>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berschrift2" w:type="paragraph">
    <w:name w:val="heading 2"/>
    <w:basedOn w:val="Standard"/>
    <w:next w:val="Textkrper"/>
    <w:link w:val="berschrift2Zchn"/>
    <w:uiPriority w:val="9"/>
    <w:unhideWhenUsed/>
    <w:qFormat/>
    <w:rsid w:val="00943FE2"/>
    <w:pPr>
      <w:keepNext/>
      <w:keepLines/>
      <w:spacing w:after="0" w:before="200"/>
      <w:outlineLvl w:val="1"/>
    </w:pPr>
    <w:rPr>
      <w:rFonts w:ascii="AvenirNext LT Pro Regular" w:cstheme="majorBidi" w:eastAsiaTheme="majorEastAsia" w:hAnsi="AvenirNext LT Pro Regular"/>
      <w:b/>
      <w:bCs/>
      <w:sz w:val="36"/>
      <w:szCs w:val="28"/>
    </w:rPr>
  </w:style>
  <w:style w:styleId="berschrift3" w:type="paragraph">
    <w:name w:val="heading 3"/>
    <w:basedOn w:val="Standard"/>
    <w:next w:val="Textkrper"/>
    <w:uiPriority w:val="9"/>
    <w:unhideWhenUsed/>
    <w:qFormat/>
    <w:rsid w:val="00943FE2"/>
    <w:pPr>
      <w:keepNext/>
      <w:keepLines/>
      <w:spacing w:after="0" w:before="200"/>
      <w:outlineLvl w:val="2"/>
    </w:pPr>
    <w:rPr>
      <w:rFonts w:ascii="AvenirNext LT Pro Regular" w:cstheme="majorBidi" w:eastAsiaTheme="majorEastAsia" w:hAnsi="AvenirNext LT Pro Regular"/>
      <w:b/>
      <w:bCs/>
    </w:rPr>
  </w:style>
  <w:style w:styleId="berschrift4" w:type="paragraph">
    <w:name w:val="heading 4"/>
    <w:basedOn w:val="Standard"/>
    <w:next w:val="Textkrpe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Textkrpe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943FE2"/>
    <w:pPr>
      <w:spacing w:after="180" w:before="180"/>
    </w:pPr>
    <w:rPr>
      <w:rFonts w:ascii="AvenirNext LT Pro Regular" w:hAnsi="AvenirNext LT Pro Regular"/>
    </w:r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qFormat/>
    <w:rsid w:val="00943FE2"/>
    <w:pPr>
      <w:keepNext/>
      <w:keepLines/>
      <w:spacing w:after="240" w:before="480"/>
      <w:jc w:val="center"/>
    </w:pPr>
    <w:rPr>
      <w:rFonts w:ascii="AvenirNext LT Pro Regular" w:cstheme="majorBidi" w:eastAsiaTheme="majorEastAsia" w:hAnsi="AvenirNext LT Pro Regular"/>
      <w:b/>
      <w:bCs/>
      <w:sz w:val="52"/>
      <w:szCs w:val="36"/>
    </w:rPr>
  </w:style>
  <w:style w:styleId="Untertitel" w:type="paragraph">
    <w:name w:val="Subtitle"/>
    <w:basedOn w:val="Titel"/>
    <w:next w:val="Textkrper"/>
    <w:qFormat/>
    <w:pPr>
      <w:spacing w:before="240"/>
    </w:pPr>
    <w:rPr>
      <w:sz w:val="30"/>
      <w:szCs w:val="30"/>
    </w:rPr>
  </w:style>
  <w:style w:customStyle="1" w:styleId="Author" w:type="paragraph">
    <w:name w:val="Author"/>
    <w:next w:val="Textkrper"/>
    <w:qFormat/>
    <w:rsid w:val="00943FE2"/>
    <w:pPr>
      <w:keepNext/>
      <w:keepLines/>
      <w:jc w:val="center"/>
    </w:pPr>
    <w:rPr>
      <w:rFonts w:ascii="AvenirNext LT Pro Regular" w:hAnsi="AvenirNext LT Pro Regular"/>
      <w:sz w:val="36"/>
    </w:rPr>
  </w:style>
  <w:style w:styleId="Datum" w:type="paragraph">
    <w:name w:val="Date"/>
    <w:next w:val="Textkrper"/>
    <w:qFormat/>
    <w:rsid w:val="00943FE2"/>
    <w:pPr>
      <w:keepNext/>
      <w:keepLines/>
      <w:jc w:val="center"/>
    </w:pPr>
    <w:rPr>
      <w:rFonts w:ascii="AvenirNext LT Pro Regular" w:hAnsi="AvenirNext LT Pro Regular"/>
      <w:sz w:val="36"/>
    </w:r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rsid w:val="00C42648"/>
    <w:rPr>
      <w:rFonts w:ascii="AvenirNext LT Pro Regular" w:hAnsi="AvenirNext LT Pro Regular"/>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rsid w:val="00943FE2"/>
    <w:rPr>
      <w:rFonts w:ascii="AvenirNext LT Pro Regular" w:hAnsi="AvenirNext LT Pro Regular"/>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TextkrperZchn" w:type="character">
    <w:name w:val="Textkörper Zchn"/>
    <w:basedOn w:val="Absatz-Standardschriftart"/>
    <w:link w:val="Textkrper"/>
    <w:rsid w:val="00943FE2"/>
    <w:rPr>
      <w:rFonts w:ascii="AvenirNext LT Pro Regular" w:hAnsi="AvenirNext LT Pro Regular"/>
    </w:rPr>
  </w:style>
  <w:style w:customStyle="1" w:styleId="berschrift2Zchn" w:type="character">
    <w:name w:val="Überschrift 2 Zchn"/>
    <w:basedOn w:val="Absatz-Standardschriftart"/>
    <w:link w:val="berschrift2"/>
    <w:uiPriority w:val="9"/>
    <w:rsid w:val="00EA2BB5"/>
    <w:rPr>
      <w:rFonts w:ascii="AvenirNext LT Pro Regular" w:cstheme="majorBidi" w:eastAsiaTheme="majorEastAsia" w:hAnsi="AvenirNext LT Pro Regular"/>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70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45" Target="media/rId45.png" /><Relationship Type="http://schemas.openxmlformats.org/officeDocument/2006/relationships/image" Id="rId66" Target="media/rId66.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42" Target="media/rId42.png" /><Relationship Type="http://schemas.openxmlformats.org/officeDocument/2006/relationships/image" Id="rId63" Target="media/rId63.png" /><Relationship Type="http://schemas.openxmlformats.org/officeDocument/2006/relationships/image" Id="rId49" Target="media/rId49.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71" Target="https://doi.org/10.1158/0008-5472.CAN-22-0162"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158/0008-5472.CAN-22-01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397</Words>
  <Characters>2504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Analysis of vGlut stainings for Marc</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Mitochondria distribution along sections through neuronal soma</dc:title>
  <dc:creator>Dr. Jana Dahlmanns</dc:creator>
  <cp:keywords/>
  <dcterms:created xsi:type="dcterms:W3CDTF">2023-05-23T18:30:22Z</dcterms:created>
  <dcterms:modified xsi:type="dcterms:W3CDTF">2023-05-23T18:30:22Z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elsevier-vancouver.csl</vt:lpwstr>
  </property>
  <property fmtid="{D5CDD505-2E9C-101B-9397-08002B2CF9AE}" pid="4" name="date">
    <vt:lpwstr>2023-05-23</vt:lpwstr>
  </property>
  <property fmtid="{D5CDD505-2E9C-101B-9397-08002B2CF9AE}" pid="5" name="extra_dependencies">
    <vt:lpwstr>float</vt:lpwstr>
  </property>
  <property fmtid="{D5CDD505-2E9C-101B-9397-08002B2CF9AE}" pid="6" name="fig_caption">
    <vt:lpwstr>True</vt:lpwstr>
  </property>
  <property fmtid="{D5CDD505-2E9C-101B-9397-08002B2CF9AE}" pid="7" name="header-includes">
    <vt:lpwstr/>
  </property>
  <property fmtid="{D5CDD505-2E9C-101B-9397-08002B2CF9AE}" pid="8" name="output">
    <vt:lpwstr/>
  </property>
  <property fmtid="{D5CDD505-2E9C-101B-9397-08002B2CF9AE}" pid="9" name="subtitle">
    <vt:lpwstr>Status report</vt:lpwstr>
  </property>
</Properties>
</file>