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8.png" ContentType="image/png"/>
  <Override PartName="/word/media/rId51.png" ContentType="image/png"/>
  <Override PartName="/word/media/rId37.png" ContentType="image/png"/>
  <Override PartName="/word/media/rId31.png" ContentType="image/png"/>
  <Override PartName="/word/media/rId34.png" ContentType="image/png"/>
  <Override PartName="/word/media/rId54.png" ContentType="image/png"/>
  <Override PartName="/word/media/rId24.png" ContentType="image/png"/>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Author"/>
      </w:pPr>
      <w:r>
        <w:t xml:space="preserve">Dr. Jana</w:t>
      </w:r>
      <w:r>
        <w:t xml:space="preserve"> </w:t>
      </w:r>
      <w:r>
        <w:t xml:space="preserve">Dahlmanns</w:t>
      </w:r>
    </w:p>
    <w:p>
      <w:pPr>
        <w:pStyle w:val="Datum"/>
      </w:pPr>
      <w:r>
        <w:t xml:space="preserve">2023-04-16</w:t>
      </w:r>
    </w:p>
    <w:bookmarkStart w:id="28" w:name="introduction"/>
    <w:p>
      <w:pPr>
        <w:pStyle w:val="berschrift2"/>
      </w:pPr>
      <w:r>
        <w:t xml:space="preserve">Introduction</w:t>
      </w:r>
    </w:p>
    <w:p>
      <w:pPr>
        <w:pStyle w:val="FirstParagraph"/>
      </w:pPr>
      <w:r>
        <w:t xml:space="preserve">We analyzed the distribution of mitochondria in the soma of neurons. We used dissociated neuronal cultures that were treated under different conditions prior to fixation, staining and imaging (</w:t>
      </w:r>
      <w:hyperlink r:id="rId20">
        <w:r>
          <w:rPr>
            <w:rStyle w:val="Hyperlink"/>
          </w:rPr>
          <w:t xml:space="preserve">staining protocol</w:t>
        </w:r>
      </w:hyperlink>
      <w:r>
        <w:t xml:space="preserve">).</w:t>
      </w:r>
    </w:p>
    <w:bookmarkStart w:id="27"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3581400"/>
            <wp:effectExtent b="0" l="0" r="0" t="0"/>
            <wp:docPr descr="Thumbnails of all analyzed images" title="" id="22" name="Picture"/>
            <a:graphic>
              <a:graphicData uri="http://schemas.openxmlformats.org/drawingml/2006/picture">
                <pic:pic>
                  <pic:nvPicPr>
                    <pic:cNvPr descr="results_report_mitochondria_alcohol_mitosections_files/figure-docx/show_thumbnails-1.png" id="23" name="Picture"/>
                    <pic:cNvPicPr>
                      <a:picLocks noChangeArrowheads="1" noChangeAspect="1"/>
                    </pic:cNvPicPr>
                  </pic:nvPicPr>
                  <pic:blipFill>
                    <a:blip r:embed="rId2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5" name="Picture"/>
            <a:graphic>
              <a:graphicData uri="http://schemas.openxmlformats.org/drawingml/2006/picture">
                <pic:pic>
                  <pic:nvPicPr>
                    <pic:cNvPr descr="results_report_mitochondria_alcohol_mitosections_files/figure-docx/show_original_image-1.png" id="26" name="Picture"/>
                    <pic:cNvPicPr>
                      <a:picLocks noChangeArrowheads="1" noChangeAspect="1"/>
                    </pic:cNvPicPr>
                  </pic:nvPicPr>
                  <pic:blipFill>
                    <a:blip r:embed="rId24"/>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7"/>
    <w:bookmarkEnd w:id="28"/>
    <w:bookmarkStart w:id="29" w:name="sample-sizes"/>
    <w:p>
      <w:pPr>
        <w:pStyle w:val="berschrift2"/>
      </w:pPr>
      <w:r>
        <w:t xml:space="preserve">Sample sizes</w:t>
      </w:r>
    </w:p>
    <w:p>
      <w:pPr>
        <w:pStyle w:val="FirstParagraph"/>
      </w:pPr>
      <w:r>
        <w:t xml:space="preserve">The number of analyzed images is currently 16 and is divided into different experimental conditions as follows:</w:t>
      </w:r>
    </w:p>
    <w:tbl>
      <w:tblPr>
        <w:tblStyle w:val="Table"/>
        <w:tblW w:type="pct" w:w="2014"/>
        <w:tblLook w:firstRow="1" w:lastRow="0" w:firstColumn="0" w:lastColumn="0" w:noHBand="0" w:noVBand="0" w:val="0020"/>
      </w:tblPr>
      <w:tblGrid>
        <w:gridCol w:w="2750"/>
        <w:gridCol w:w="440"/>
      </w:tblGrid>
      <w:tr>
        <w:trPr>
          <w:tblHeader w:val="true"/>
        </w:trPr>
        <w:tc>
          <w:tcPr/>
          <w:p>
            <w:pPr>
              <w:pStyle w:val="Compact"/>
              <w:jc w:val="center"/>
            </w:pPr>
            <w:r>
              <w:t xml:space="preserve">condition</w:t>
            </w:r>
          </w:p>
        </w:tc>
        <w:tc>
          <w:tcPr/>
          <w:p>
            <w:pPr>
              <w:pStyle w:val="Compact"/>
              <w:jc w:val="center"/>
            </w:pPr>
            <w:r>
              <w:t xml:space="preserve">n</w:t>
            </w:r>
          </w:p>
        </w:tc>
      </w:tr>
      <w:tr>
        <w:tc>
          <w:tcPr/>
          <w:p>
            <w:pPr>
              <w:pStyle w:val="Compact"/>
              <w:jc w:val="center"/>
            </w:pPr>
            <w:r>
              <w:t xml:space="preserve">Activin 50ng/ml 14days</w:t>
            </w:r>
          </w:p>
        </w:tc>
        <w:tc>
          <w:tcPr/>
          <w:p>
            <w:pPr>
              <w:pStyle w:val="Compact"/>
              <w:jc w:val="center"/>
            </w:pPr>
            <w:r>
              <w:t xml:space="preserve">5</w:t>
            </w:r>
          </w:p>
        </w:tc>
      </w:tr>
      <w:tr>
        <w:tc>
          <w:tcPr/>
          <w:p>
            <w:pPr>
              <w:pStyle w:val="Compact"/>
              <w:jc w:val="center"/>
            </w:pPr>
            <w:r>
              <w:t xml:space="preserve">Activin 50ng/ml 2days</w:t>
            </w:r>
          </w:p>
        </w:tc>
        <w:tc>
          <w:tcPr/>
          <w:p>
            <w:pPr>
              <w:pStyle w:val="Compact"/>
              <w:jc w:val="center"/>
            </w:pPr>
            <w:r>
              <w:t xml:space="preserve">5</w:t>
            </w:r>
          </w:p>
        </w:tc>
      </w:tr>
      <w:tr>
        <w:tc>
          <w:tcPr/>
          <w:p>
            <w:pPr>
              <w:pStyle w:val="Compact"/>
              <w:jc w:val="center"/>
            </w:pPr>
            <w:r>
              <w:t xml:space="preserve">Control 14days</w:t>
            </w:r>
          </w:p>
        </w:tc>
        <w:tc>
          <w:tcPr/>
          <w:p>
            <w:pPr>
              <w:pStyle w:val="Compact"/>
              <w:jc w:val="center"/>
            </w:pPr>
            <w:r>
              <w:t xml:space="preserve">5</w:t>
            </w:r>
          </w:p>
        </w:tc>
      </w:tr>
      <w:tr>
        <w:tc>
          <w:tcPr/>
          <w:p>
            <w:pPr>
              <w:pStyle w:val="Compact"/>
              <w:jc w:val="center"/>
            </w:pPr>
            <w:r>
              <w:t xml:space="preserve">Control 7days</w:t>
            </w:r>
          </w:p>
        </w:tc>
        <w:tc>
          <w:tcPr/>
          <w:p>
            <w:pPr>
              <w:pStyle w:val="Compact"/>
              <w:jc w:val="center"/>
            </w:pPr>
            <w:r>
              <w:t xml:space="preserve">1</w:t>
            </w:r>
          </w:p>
        </w:tc>
      </w:tr>
    </w:tbl>
    <w:bookmarkEnd w:id="29"/>
    <w:bookmarkStart w:id="30"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green fluorescence intensity distribution along the connecting line as a marker for the distribution of mitochondria.</w:t>
      </w:r>
    </w:p>
    <w:bookmarkEnd w:id="30"/>
    <w:bookmarkStart w:id="40" w:name="intensity-profiles"/>
    <w:p>
      <w:pPr>
        <w:pStyle w:val="berschrift2"/>
      </w:pPr>
      <w:r>
        <w:t xml:space="preserve">Intensity profiles</w:t>
      </w:r>
    </w:p>
    <w:p>
      <w:pPr>
        <w:pStyle w:val="FirstParagraph"/>
      </w:pPr>
      <w:r>
        <w:t xml:space="preserve">In the original paper with this method</w:t>
      </w:r>
      <w:r>
        <w:t xml:space="preserve"> </w:t>
      </w:r>
      <w:r>
        <w:t xml:space="preserve">[1]</w:t>
      </w:r>
      <w:r>
        <w:t xml:space="preserve">, the authors normalized fluorescence intensities on the maximum intensity pixel of the given image. In my opinion,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I therefore normalized the fluorescence intensity values to the average of the 3 highest values of each cell’s profiles - which is a method not as vulnerable to the described error sources.</w:t>
      </w:r>
    </w:p>
    <w:p>
      <w:pPr>
        <w:pStyle w:val="Textkrper"/>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soma.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profiles only.</w:t>
      </w:r>
    </w:p>
    <w:p>
      <w:pPr>
        <w:pStyle w:val="CaptionedFigure"/>
      </w:pPr>
      <w:r>
        <w:drawing>
          <wp:inline>
            <wp:extent cx="5969000" cy="4178300"/>
            <wp:effectExtent b="0" l="0" r="0" t="0"/>
            <wp:docPr descr="Normliazed intensity profiles along first sections through the soma" title="" id="32" name="Picture"/>
            <a:graphic>
              <a:graphicData uri="http://schemas.openxmlformats.org/drawingml/2006/picture">
                <pic:pic>
                  <pic:nvPicPr>
                    <pic:cNvPr descr="results_report_mitochondria_alcohol_mitosections_files/figure-docx/plot_line1-1.png" id="33" name="Picture"/>
                    <pic:cNvPicPr>
                      <a:picLocks noChangeArrowheads="1" noChangeAspect="1"/>
                    </pic:cNvPicPr>
                  </pic:nvPicPr>
                  <pic:blipFill>
                    <a:blip r:embed="rId31"/>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w:t>
      </w:r>
    </w:p>
    <w:p>
      <w:pPr>
        <w:pStyle w:val="CaptionedFigure"/>
      </w:pPr>
      <w:r>
        <w:drawing>
          <wp:inline>
            <wp:extent cx="5969000" cy="4178300"/>
            <wp:effectExtent b="0" l="0" r="0" t="0"/>
            <wp:docPr descr="Normalized intensity profiles along sections through the soma" title="" id="35" name="Picture"/>
            <a:graphic>
              <a:graphicData uri="http://schemas.openxmlformats.org/drawingml/2006/picture">
                <pic:pic>
                  <pic:nvPicPr>
                    <pic:cNvPr descr="results_report_mitochondria_alcohol_mitosections_files/figure-docx/plot_lines_separately-1.png" id="36" name="Picture"/>
                    <pic:cNvPicPr>
                      <a:picLocks noChangeArrowheads="1" noChangeAspect="1"/>
                    </pic:cNvPicPr>
                  </pic:nvPicPr>
                  <pic:blipFill>
                    <a:blip r:embed="rId3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p>
      <w:pPr>
        <w:pStyle w:val="CaptionedFigure"/>
      </w:pPr>
      <w:r>
        <w:drawing>
          <wp:inline>
            <wp:extent cx="5969000" cy="4178300"/>
            <wp:effectExtent b="0" l="0" r="0" t="0"/>
            <wp:docPr descr="Normalized intensity profiles along sections through the soma" title="" id="38" name="Picture"/>
            <a:graphic>
              <a:graphicData uri="http://schemas.openxmlformats.org/drawingml/2006/picture">
                <pic:pic>
                  <pic:nvPicPr>
                    <pic:cNvPr descr="results_report_mitochondria_alcohol_mitosections_files/figure-docx/plot_all_lines-1.png" id="39" name="Picture"/>
                    <pic:cNvPicPr>
                      <a:picLocks noChangeArrowheads="1" noChangeAspect="1"/>
                    </pic:cNvPicPr>
                  </pic:nvPicPr>
                  <pic:blipFill>
                    <a:blip r:embed="rId37"/>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bookmarkEnd w:id="40"/>
    <w:bookmarkStart w:id="58" w:name="statistical-comparison"/>
    <w:p>
      <w:pPr>
        <w:pStyle w:val="berschrift2"/>
      </w:pPr>
      <w:r>
        <w:t xml:space="preserve">Statistical comparison</w:t>
      </w:r>
    </w:p>
    <w:p>
      <w:pPr>
        <w:pStyle w:val="FirstParagraph"/>
      </w:pPr>
      <w:r>
        <w:t xml:space="preserve">To test, whether the distributions are statistically significantly different, we …?? …</w:t>
      </w:r>
    </w:p>
    <w:bookmarkStart w:id="47" w:name="idea1"/>
    <w:p>
      <w:pPr>
        <w:pStyle w:val="berschrift3"/>
      </w:pPr>
      <w:r>
        <w:t xml:space="preserve">Idea1:</w:t>
      </w:r>
    </w:p>
    <w:p>
      <w:pPr>
        <w:pStyle w:val="FirstParagraph"/>
      </w:pPr>
      <w:r>
        <w:t xml:space="preserve">Fit lowest possible degree polynomial function (3rd degree) and compare coefficients</w:t>
      </w:r>
      <w:r>
        <w:t xml:space="preserve"> </w:t>
      </w:r>
      <w:r>
        <w:drawing>
          <wp:inline>
            <wp:extent cx="5969000" cy="4178300"/>
            <wp:effectExtent b="0" l="0" r="0" t="0"/>
            <wp:docPr descr="Comparison of coefficient of polynomial fit between different experimental conditions. Intensity = poly_int + (poly1 * distance) + (poly2 * distance^2) + (poly3 * distance^3)" title="" id="42" name="Picture"/>
            <a:graphic>
              <a:graphicData uri="http://schemas.openxmlformats.org/drawingml/2006/picture">
                <pic:pic>
                  <pic:nvPicPr>
                    <pic:cNvPr descr="results_report_mitochondria_alcohol_mitosections_files/figure-docx/compare_curves-1.png" id="43" name="Picture"/>
                    <pic:cNvPicPr>
                      <a:picLocks noChangeArrowheads="1" noChangeAspect="1"/>
                    </pic:cNvPicPr>
                  </pic:nvPicPr>
                  <pic:blipFill>
                    <a:blip r:embed="rId41"/>
                    <a:stretch>
                      <a:fillRect/>
                    </a:stretch>
                  </pic:blipFill>
                  <pic:spPr bwMode="auto">
                    <a:xfrm>
                      <a:off x="0" y="0"/>
                      <a:ext cx="5969000" cy="4178300"/>
                    </a:xfrm>
                    <a:prstGeom prst="rect">
                      <a:avLst/>
                    </a:prstGeom>
                    <a:noFill/>
                    <a:ln w="9525">
                      <a:noFill/>
                      <a:headEnd/>
                      <a:tailEnd/>
                    </a:ln>
                  </pic:spPr>
                </pic:pic>
              </a:graphicData>
            </a:graphic>
          </wp:inline>
        </w:drawing>
      </w:r>
    </w:p>
    <w:p>
      <w:pPr>
        <w:pStyle w:val="CaptionedFigure"/>
      </w:pPr>
      <w:r>
        <w:drawing>
          <wp:inline>
            <wp:extent cx="5969000" cy="4178300"/>
            <wp:effectExtent b="0" l="0" r="0" t="0"/>
            <wp:docPr descr="Normalized intensity profiles along sections through the soma with fitted curves" title="" id="45" name="Picture"/>
            <a:graphic>
              <a:graphicData uri="http://schemas.openxmlformats.org/drawingml/2006/picture">
                <pic:pic>
                  <pic:nvPicPr>
                    <pic:cNvPr descr="results_report_mitochondria_alcohol_mitosections_files/figure-docx/compare_poly_coeffs-1.png" id="46" name="Picture"/>
                    <pic:cNvPicPr>
                      <a:picLocks noChangeArrowheads="1" noChangeAspect="1"/>
                    </pic:cNvPicPr>
                  </pic:nvPicPr>
                  <pic:blipFill>
                    <a:blip r:embed="rId4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 with fitted curves</w:t>
      </w:r>
    </w:p>
    <w:bookmarkEnd w:id="47"/>
    <w:bookmarkStart w:id="57" w:name="idea2"/>
    <w:p>
      <w:pPr>
        <w:pStyle w:val="berschrift3"/>
      </w:pPr>
      <w:r>
        <w:t xml:space="preserve">Idea2:</w:t>
      </w:r>
    </w:p>
    <w:p>
      <w:pPr>
        <w:pStyle w:val="FirstParagraph"/>
      </w:pPr>
      <w:r>
        <w:t xml:space="preserve">The original paper compared the different distributions by dividing them up into 10 sections (0-0.1 distance from the nucleus, 0.1-0.2, 0.2-0.3,…). Within each section, values are averaged and statistically compared through t-test or anova.</w:t>
      </w:r>
    </w:p>
    <w:p>
      <w:pPr>
        <w:pStyle w:val="Textkrper"/>
      </w:pPr>
      <w:r>
        <w:drawing>
          <wp:inline>
            <wp:extent cx="5969000" cy="4178300"/>
            <wp:effectExtent b="0" l="0" r="0" t="0"/>
            <wp:docPr descr="Correlation of the different curves" title="" id="49" name="Picture"/>
            <a:graphic>
              <a:graphicData uri="http://schemas.openxmlformats.org/drawingml/2006/picture">
                <pic:pic>
                  <pic:nvPicPr>
                    <pic:cNvPr descr="results_report_mitochondria_alcohol_mitosections_files/figure-docx/comparison_of_curve_sections-1.png" id="50" name="Picture"/>
                    <pic:cNvPicPr>
                      <a:picLocks noChangeArrowheads="1" noChangeAspect="1"/>
                    </pic:cNvPicPr>
                  </pic:nvPicPr>
                  <pic:blipFill>
                    <a:blip r:embed="rId48"/>
                    <a:stretch>
                      <a:fillRect/>
                    </a:stretch>
                  </pic:blipFill>
                  <pic:spPr bwMode="auto">
                    <a:xfrm>
                      <a:off x="0" y="0"/>
                      <a:ext cx="5969000" cy="4178300"/>
                    </a:xfrm>
                    <a:prstGeom prst="rect">
                      <a:avLst/>
                    </a:prstGeom>
                    <a:noFill/>
                    <a:ln w="9525">
                      <a:noFill/>
                      <a:headEnd/>
                      <a:tailEnd/>
                    </a:ln>
                  </pic:spPr>
                </pic:pic>
              </a:graphicData>
            </a:graphic>
          </wp:inline>
        </w:drawing>
      </w:r>
      <w:r>
        <w:drawing>
          <wp:inline>
            <wp:extent cx="5969000" cy="4178300"/>
            <wp:effectExtent b="0" l="0" r="0" t="0"/>
            <wp:docPr descr="Correlation of the different curves" title="" id="52" name="Picture"/>
            <a:graphic>
              <a:graphicData uri="http://schemas.openxmlformats.org/drawingml/2006/picture">
                <pic:pic>
                  <pic:nvPicPr>
                    <pic:cNvPr descr="results_report_mitochondria_alcohol_mitosections_files/figure-docx/comparison_of_curve_sections-2.png" id="53" name="Picture"/>
                    <pic:cNvPicPr>
                      <a:picLocks noChangeArrowheads="1" noChangeAspect="1"/>
                    </pic:cNvPicPr>
                  </pic:nvPicPr>
                  <pic:blipFill>
                    <a:blip r:embed="rId51"/>
                    <a:stretch>
                      <a:fillRect/>
                    </a:stretch>
                  </pic:blipFill>
                  <pic:spPr bwMode="auto">
                    <a:xfrm>
                      <a:off x="0" y="0"/>
                      <a:ext cx="5969000" cy="4178300"/>
                    </a:xfrm>
                    <a:prstGeom prst="rect">
                      <a:avLst/>
                    </a:prstGeom>
                    <a:noFill/>
                    <a:ln w="9525">
                      <a:noFill/>
                      <a:headEnd/>
                      <a:tailEnd/>
                    </a:ln>
                  </pic:spPr>
                </pic:pic>
              </a:graphicData>
            </a:graphic>
          </wp:inline>
        </w:drawing>
      </w:r>
      <w:r>
        <w:t xml:space="preserve"> </w:t>
      </w:r>
      <w:r>
        <w:drawing>
          <wp:inline>
            <wp:extent cx="5969000" cy="8953500"/>
            <wp:effectExtent b="0" l="0" r="0" t="0"/>
            <wp:docPr descr="Statistical comparison of different conditions for each section" title="" id="55" name="Picture"/>
            <a:graphic>
              <a:graphicData uri="http://schemas.openxmlformats.org/drawingml/2006/picture">
                <pic:pic>
                  <pic:nvPicPr>
                    <pic:cNvPr descr="results_report_mitochondria_alcohol_mitosections_files/figure-docx/separate_section_plots_stats-1.png" id="56" name="Picture"/>
                    <pic:cNvPicPr>
                      <a:picLocks noChangeArrowheads="1" noChangeAspect="1"/>
                    </pic:cNvPicPr>
                  </pic:nvPicPr>
                  <pic:blipFill>
                    <a:blip r:embed="rId54"/>
                    <a:stretch>
                      <a:fillRect/>
                    </a:stretch>
                  </pic:blipFill>
                  <pic:spPr bwMode="auto">
                    <a:xfrm>
                      <a:off x="0" y="0"/>
                      <a:ext cx="5969000" cy="8953500"/>
                    </a:xfrm>
                    <a:prstGeom prst="rect">
                      <a:avLst/>
                    </a:prstGeom>
                    <a:noFill/>
                    <a:ln w="9525">
                      <a:noFill/>
                      <a:headEnd/>
                      <a:tailEnd/>
                    </a:ln>
                  </pic:spPr>
                </pic:pic>
              </a:graphicData>
            </a:graphic>
          </wp:inline>
        </w:drawing>
      </w:r>
    </w:p>
    <w:tbl>
      <w:tblPr>
        <w:tblStyle w:val="Table"/>
        <w:tblW w:type="pct" w:w="4236"/>
        <w:tblLook w:firstRow="1" w:lastRow="0" w:firstColumn="0" w:lastColumn="0" w:noHBand="0" w:noVBand="0" w:val="0020"/>
      </w:tblPr>
      <w:tblGrid>
        <w:gridCol w:w="1100"/>
        <w:gridCol w:w="3410"/>
        <w:gridCol w:w="1100"/>
        <w:gridCol w:w="1100"/>
      </w:tblGrid>
      <w:tr>
        <w:trPr>
          <w:tblHeader w:val="true"/>
        </w:trPr>
        <w:tc>
          <w:tcPr/>
          <w:p>
            <w:pPr>
              <w:pStyle w:val="Compact"/>
              <w:jc w:val="center"/>
            </w:pPr>
            <w:r>
              <w:t xml:space="preserve">section</w:t>
            </w:r>
          </w:p>
        </w:tc>
        <w:tc>
          <w:tcPr/>
          <w:p>
            <w:pPr>
              <w:pStyle w:val="Compact"/>
              <w:jc w:val="center"/>
            </w:pPr>
            <w:r>
              <w:t xml:space="preserve">condition</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1</w:t>
            </w:r>
          </w:p>
        </w:tc>
        <w:tc>
          <w:tcPr/>
          <w:p>
            <w:pPr>
              <w:pStyle w:val="Compact"/>
              <w:jc w:val="center"/>
            </w:pPr>
            <w:r>
              <w:t xml:space="preserve">Activin 50ng/ml 14days (n=5)</w:t>
            </w:r>
          </w:p>
        </w:tc>
        <w:tc>
          <w:tcPr/>
          <w:p>
            <w:pPr>
              <w:pStyle w:val="Compact"/>
              <w:jc w:val="center"/>
            </w:pPr>
            <w:r>
              <w:t xml:space="preserve">0.5769</w:t>
            </w:r>
          </w:p>
        </w:tc>
        <w:tc>
          <w:tcPr/>
          <w:p>
            <w:pPr>
              <w:pStyle w:val="Compact"/>
              <w:jc w:val="center"/>
            </w:pPr>
            <w:r>
              <w:t xml:space="preserve">0.0311</w:t>
            </w:r>
          </w:p>
        </w:tc>
      </w:tr>
      <w:tr>
        <w:tc>
          <w:tcPr/>
          <w:p>
            <w:pPr>
              <w:pStyle w:val="Compact"/>
              <w:jc w:val="center"/>
            </w:pPr>
            <w:r>
              <w:t xml:space="preserve">1</w:t>
            </w:r>
          </w:p>
        </w:tc>
        <w:tc>
          <w:tcPr/>
          <w:p>
            <w:pPr>
              <w:pStyle w:val="Compact"/>
              <w:jc w:val="center"/>
            </w:pPr>
            <w:r>
              <w:t xml:space="preserve">Activin 50ng/ml 2days (n=5)</w:t>
            </w:r>
          </w:p>
        </w:tc>
        <w:tc>
          <w:tcPr/>
          <w:p>
            <w:pPr>
              <w:pStyle w:val="Compact"/>
              <w:jc w:val="center"/>
            </w:pPr>
            <w:r>
              <w:t xml:space="preserve">0.4855</w:t>
            </w:r>
          </w:p>
        </w:tc>
        <w:tc>
          <w:tcPr/>
          <w:p>
            <w:pPr>
              <w:pStyle w:val="Compact"/>
              <w:jc w:val="center"/>
            </w:pPr>
            <w:r>
              <w:t xml:space="preserve">0.1093</w:t>
            </w:r>
          </w:p>
        </w:tc>
      </w:tr>
      <w:tr>
        <w:tc>
          <w:tcPr/>
          <w:p>
            <w:pPr>
              <w:pStyle w:val="Compact"/>
              <w:jc w:val="center"/>
            </w:pPr>
            <w:r>
              <w:t xml:space="preserve">1</w:t>
            </w:r>
          </w:p>
        </w:tc>
        <w:tc>
          <w:tcPr/>
          <w:p>
            <w:pPr>
              <w:pStyle w:val="Compact"/>
              <w:jc w:val="center"/>
            </w:pPr>
            <w:r>
              <w:t xml:space="preserve">Control 14days (n=5)</w:t>
            </w:r>
          </w:p>
        </w:tc>
        <w:tc>
          <w:tcPr/>
          <w:p>
            <w:pPr>
              <w:pStyle w:val="Compact"/>
              <w:jc w:val="center"/>
            </w:pPr>
            <w:r>
              <w:t xml:space="preserve">0.5815</w:t>
            </w:r>
          </w:p>
        </w:tc>
        <w:tc>
          <w:tcPr/>
          <w:p>
            <w:pPr>
              <w:pStyle w:val="Compact"/>
              <w:jc w:val="center"/>
            </w:pPr>
            <w:r>
              <w:t xml:space="preserve">0.112</w:t>
            </w:r>
          </w:p>
        </w:tc>
      </w:tr>
      <w:tr>
        <w:tc>
          <w:tcPr/>
          <w:p>
            <w:pPr>
              <w:pStyle w:val="Compact"/>
              <w:jc w:val="center"/>
            </w:pPr>
            <w:r>
              <w:t xml:space="preserve">1</w:t>
            </w:r>
          </w:p>
        </w:tc>
        <w:tc>
          <w:tcPr/>
          <w:p>
            <w:pPr>
              <w:pStyle w:val="Compact"/>
              <w:jc w:val="center"/>
            </w:pPr>
            <w:r>
              <w:t xml:space="preserve">Control 7days (n=1)</w:t>
            </w:r>
          </w:p>
        </w:tc>
        <w:tc>
          <w:tcPr/>
          <w:p>
            <w:pPr>
              <w:pStyle w:val="Compact"/>
              <w:jc w:val="center"/>
            </w:pPr>
            <w:r>
              <w:t xml:space="preserve">0.6897</w:t>
            </w:r>
          </w:p>
        </w:tc>
        <w:tc>
          <w:tcPr/>
          <w:p>
            <w:pPr>
              <w:pStyle w:val="Compact"/>
              <w:jc w:val="center"/>
            </w:pPr>
            <w:r>
              <w:t xml:space="preserve">0</w:t>
            </w:r>
          </w:p>
        </w:tc>
      </w:tr>
      <w:tr>
        <w:tc>
          <w:tcPr/>
          <w:p>
            <w:pPr>
              <w:pStyle w:val="Compact"/>
              <w:jc w:val="center"/>
            </w:pPr>
            <w:r>
              <w:t xml:space="preserve">2</w:t>
            </w:r>
          </w:p>
        </w:tc>
        <w:tc>
          <w:tcPr/>
          <w:p>
            <w:pPr>
              <w:pStyle w:val="Compact"/>
              <w:jc w:val="center"/>
            </w:pPr>
            <w:r>
              <w:t xml:space="preserve">Activin 50ng/ml 14days (n=5)</w:t>
            </w:r>
          </w:p>
        </w:tc>
        <w:tc>
          <w:tcPr/>
          <w:p>
            <w:pPr>
              <w:pStyle w:val="Compact"/>
              <w:jc w:val="center"/>
            </w:pPr>
            <w:r>
              <w:t xml:space="preserve">0.6648</w:t>
            </w:r>
          </w:p>
        </w:tc>
        <w:tc>
          <w:tcPr/>
          <w:p>
            <w:pPr>
              <w:pStyle w:val="Compact"/>
              <w:jc w:val="center"/>
            </w:pPr>
            <w:r>
              <w:t xml:space="preserve">0.08714</w:t>
            </w:r>
          </w:p>
        </w:tc>
      </w:tr>
      <w:tr>
        <w:tc>
          <w:tcPr/>
          <w:p>
            <w:pPr>
              <w:pStyle w:val="Compact"/>
              <w:jc w:val="center"/>
            </w:pPr>
            <w:r>
              <w:t xml:space="preserve">2</w:t>
            </w:r>
          </w:p>
        </w:tc>
        <w:tc>
          <w:tcPr/>
          <w:p>
            <w:pPr>
              <w:pStyle w:val="Compact"/>
              <w:jc w:val="center"/>
            </w:pPr>
            <w:r>
              <w:t xml:space="preserve">Activin 50ng/ml 2days (n=5)</w:t>
            </w:r>
          </w:p>
        </w:tc>
        <w:tc>
          <w:tcPr/>
          <w:p>
            <w:pPr>
              <w:pStyle w:val="Compact"/>
              <w:jc w:val="center"/>
            </w:pPr>
            <w:r>
              <w:t xml:space="preserve">0.4952</w:t>
            </w:r>
          </w:p>
        </w:tc>
        <w:tc>
          <w:tcPr/>
          <w:p>
            <w:pPr>
              <w:pStyle w:val="Compact"/>
              <w:jc w:val="center"/>
            </w:pPr>
            <w:r>
              <w:t xml:space="preserve">0.1386</w:t>
            </w:r>
          </w:p>
        </w:tc>
      </w:tr>
      <w:tr>
        <w:tc>
          <w:tcPr/>
          <w:p>
            <w:pPr>
              <w:pStyle w:val="Compact"/>
              <w:jc w:val="center"/>
            </w:pPr>
            <w:r>
              <w:t xml:space="preserve">2</w:t>
            </w:r>
          </w:p>
        </w:tc>
        <w:tc>
          <w:tcPr/>
          <w:p>
            <w:pPr>
              <w:pStyle w:val="Compact"/>
              <w:jc w:val="center"/>
            </w:pPr>
            <w:r>
              <w:t xml:space="preserve">Control 14days (n=5)</w:t>
            </w:r>
          </w:p>
        </w:tc>
        <w:tc>
          <w:tcPr/>
          <w:p>
            <w:pPr>
              <w:pStyle w:val="Compact"/>
              <w:jc w:val="center"/>
            </w:pPr>
            <w:r>
              <w:t xml:space="preserve">0.6363</w:t>
            </w:r>
          </w:p>
        </w:tc>
        <w:tc>
          <w:tcPr/>
          <w:p>
            <w:pPr>
              <w:pStyle w:val="Compact"/>
              <w:jc w:val="center"/>
            </w:pPr>
            <w:r>
              <w:t xml:space="preserve">0.1068</w:t>
            </w:r>
          </w:p>
        </w:tc>
      </w:tr>
      <w:tr>
        <w:tc>
          <w:tcPr/>
          <w:p>
            <w:pPr>
              <w:pStyle w:val="Compact"/>
              <w:jc w:val="center"/>
            </w:pPr>
            <w:r>
              <w:t xml:space="preserve">2</w:t>
            </w:r>
          </w:p>
        </w:tc>
        <w:tc>
          <w:tcPr/>
          <w:p>
            <w:pPr>
              <w:pStyle w:val="Compact"/>
              <w:jc w:val="center"/>
            </w:pPr>
            <w:r>
              <w:t xml:space="preserve">Control 7days (n=1)</w:t>
            </w:r>
          </w:p>
        </w:tc>
        <w:tc>
          <w:tcPr/>
          <w:p>
            <w:pPr>
              <w:pStyle w:val="Compact"/>
              <w:jc w:val="center"/>
            </w:pPr>
            <w:r>
              <w:t xml:space="preserve">0.7328</w:t>
            </w:r>
          </w:p>
        </w:tc>
        <w:tc>
          <w:tcPr/>
          <w:p>
            <w:pPr>
              <w:pStyle w:val="Compact"/>
              <w:jc w:val="center"/>
            </w:pPr>
            <w:r>
              <w:t xml:space="preserve">0</w:t>
            </w:r>
          </w:p>
        </w:tc>
      </w:tr>
      <w:tr>
        <w:tc>
          <w:tcPr/>
          <w:p>
            <w:pPr>
              <w:pStyle w:val="Compact"/>
              <w:jc w:val="center"/>
            </w:pPr>
            <w:r>
              <w:t xml:space="preserve">3</w:t>
            </w:r>
          </w:p>
        </w:tc>
        <w:tc>
          <w:tcPr/>
          <w:p>
            <w:pPr>
              <w:pStyle w:val="Compact"/>
              <w:jc w:val="center"/>
            </w:pPr>
            <w:r>
              <w:t xml:space="preserve">Activin 50ng/ml 14days (n=5)</w:t>
            </w:r>
          </w:p>
        </w:tc>
        <w:tc>
          <w:tcPr/>
          <w:p>
            <w:pPr>
              <w:pStyle w:val="Compact"/>
              <w:jc w:val="center"/>
            </w:pPr>
            <w:r>
              <w:t xml:space="preserve">0.5985</w:t>
            </w:r>
          </w:p>
        </w:tc>
        <w:tc>
          <w:tcPr/>
          <w:p>
            <w:pPr>
              <w:pStyle w:val="Compact"/>
              <w:jc w:val="center"/>
            </w:pPr>
            <w:r>
              <w:t xml:space="preserve">0.06922</w:t>
            </w:r>
          </w:p>
        </w:tc>
      </w:tr>
      <w:tr>
        <w:tc>
          <w:tcPr/>
          <w:p>
            <w:pPr>
              <w:pStyle w:val="Compact"/>
              <w:jc w:val="center"/>
            </w:pPr>
            <w:r>
              <w:t xml:space="preserve">3</w:t>
            </w:r>
          </w:p>
        </w:tc>
        <w:tc>
          <w:tcPr/>
          <w:p>
            <w:pPr>
              <w:pStyle w:val="Compact"/>
              <w:jc w:val="center"/>
            </w:pPr>
            <w:r>
              <w:t xml:space="preserve">Activin 50ng/ml 2days (n=5)</w:t>
            </w:r>
          </w:p>
        </w:tc>
        <w:tc>
          <w:tcPr/>
          <w:p>
            <w:pPr>
              <w:pStyle w:val="Compact"/>
              <w:jc w:val="center"/>
            </w:pPr>
            <w:r>
              <w:t xml:space="preserve">0.4933</w:t>
            </w:r>
          </w:p>
        </w:tc>
        <w:tc>
          <w:tcPr/>
          <w:p>
            <w:pPr>
              <w:pStyle w:val="Compact"/>
              <w:jc w:val="center"/>
            </w:pPr>
            <w:r>
              <w:t xml:space="preserve">0.09656</w:t>
            </w:r>
          </w:p>
        </w:tc>
      </w:tr>
      <w:tr>
        <w:tc>
          <w:tcPr/>
          <w:p>
            <w:pPr>
              <w:pStyle w:val="Compact"/>
              <w:jc w:val="center"/>
            </w:pPr>
            <w:r>
              <w:t xml:space="preserve">3</w:t>
            </w:r>
          </w:p>
        </w:tc>
        <w:tc>
          <w:tcPr/>
          <w:p>
            <w:pPr>
              <w:pStyle w:val="Compact"/>
              <w:jc w:val="center"/>
            </w:pPr>
            <w:r>
              <w:t xml:space="preserve">Control 14days (n=5)</w:t>
            </w:r>
          </w:p>
        </w:tc>
        <w:tc>
          <w:tcPr/>
          <w:p>
            <w:pPr>
              <w:pStyle w:val="Compact"/>
              <w:jc w:val="center"/>
            </w:pPr>
            <w:r>
              <w:t xml:space="preserve">0.6464</w:t>
            </w:r>
          </w:p>
        </w:tc>
        <w:tc>
          <w:tcPr/>
          <w:p>
            <w:pPr>
              <w:pStyle w:val="Compact"/>
              <w:jc w:val="center"/>
            </w:pPr>
            <w:r>
              <w:t xml:space="preserve">0.1258</w:t>
            </w:r>
          </w:p>
        </w:tc>
      </w:tr>
      <w:tr>
        <w:tc>
          <w:tcPr/>
          <w:p>
            <w:pPr>
              <w:pStyle w:val="Compact"/>
              <w:jc w:val="center"/>
            </w:pPr>
            <w:r>
              <w:t xml:space="preserve">3</w:t>
            </w:r>
          </w:p>
        </w:tc>
        <w:tc>
          <w:tcPr/>
          <w:p>
            <w:pPr>
              <w:pStyle w:val="Compact"/>
              <w:jc w:val="center"/>
            </w:pPr>
            <w:r>
              <w:t xml:space="preserve">Control 7days (n=1)</w:t>
            </w:r>
          </w:p>
        </w:tc>
        <w:tc>
          <w:tcPr/>
          <w:p>
            <w:pPr>
              <w:pStyle w:val="Compact"/>
              <w:jc w:val="center"/>
            </w:pPr>
            <w:r>
              <w:t xml:space="preserve">0.5733</w:t>
            </w:r>
          </w:p>
        </w:tc>
        <w:tc>
          <w:tcPr/>
          <w:p>
            <w:pPr>
              <w:pStyle w:val="Compact"/>
              <w:jc w:val="center"/>
            </w:pPr>
            <w:r>
              <w:t xml:space="preserve">0</w:t>
            </w:r>
          </w:p>
        </w:tc>
      </w:tr>
      <w:tr>
        <w:tc>
          <w:tcPr/>
          <w:p>
            <w:pPr>
              <w:pStyle w:val="Compact"/>
              <w:jc w:val="center"/>
            </w:pPr>
            <w:r>
              <w:t xml:space="preserve">4</w:t>
            </w:r>
          </w:p>
        </w:tc>
        <w:tc>
          <w:tcPr/>
          <w:p>
            <w:pPr>
              <w:pStyle w:val="Compact"/>
              <w:jc w:val="center"/>
            </w:pPr>
            <w:r>
              <w:t xml:space="preserve">Activin 50ng/ml 14days (n=5)</w:t>
            </w:r>
          </w:p>
        </w:tc>
        <w:tc>
          <w:tcPr/>
          <w:p>
            <w:pPr>
              <w:pStyle w:val="Compact"/>
              <w:jc w:val="center"/>
            </w:pPr>
            <w:r>
              <w:t xml:space="preserve">0.5328</w:t>
            </w:r>
          </w:p>
        </w:tc>
        <w:tc>
          <w:tcPr/>
          <w:p>
            <w:pPr>
              <w:pStyle w:val="Compact"/>
              <w:jc w:val="center"/>
            </w:pPr>
            <w:r>
              <w:t xml:space="preserve">0.04306</w:t>
            </w:r>
          </w:p>
        </w:tc>
      </w:tr>
      <w:tr>
        <w:tc>
          <w:tcPr/>
          <w:p>
            <w:pPr>
              <w:pStyle w:val="Compact"/>
              <w:jc w:val="center"/>
            </w:pPr>
            <w:r>
              <w:t xml:space="preserve">4</w:t>
            </w:r>
          </w:p>
        </w:tc>
        <w:tc>
          <w:tcPr/>
          <w:p>
            <w:pPr>
              <w:pStyle w:val="Compact"/>
              <w:jc w:val="center"/>
            </w:pPr>
            <w:r>
              <w:t xml:space="preserve">Activin 50ng/ml 2days (n=5)</w:t>
            </w:r>
          </w:p>
        </w:tc>
        <w:tc>
          <w:tcPr/>
          <w:p>
            <w:pPr>
              <w:pStyle w:val="Compact"/>
              <w:jc w:val="center"/>
            </w:pPr>
            <w:r>
              <w:t xml:space="preserve">0.4509</w:t>
            </w:r>
          </w:p>
        </w:tc>
        <w:tc>
          <w:tcPr/>
          <w:p>
            <w:pPr>
              <w:pStyle w:val="Compact"/>
              <w:jc w:val="center"/>
            </w:pPr>
            <w:r>
              <w:t xml:space="preserve">0.07605</w:t>
            </w:r>
          </w:p>
        </w:tc>
      </w:tr>
      <w:tr>
        <w:tc>
          <w:tcPr/>
          <w:p>
            <w:pPr>
              <w:pStyle w:val="Compact"/>
              <w:jc w:val="center"/>
            </w:pPr>
            <w:r>
              <w:t xml:space="preserve">4</w:t>
            </w:r>
          </w:p>
        </w:tc>
        <w:tc>
          <w:tcPr/>
          <w:p>
            <w:pPr>
              <w:pStyle w:val="Compact"/>
              <w:jc w:val="center"/>
            </w:pPr>
            <w:r>
              <w:t xml:space="preserve">Control 14days (n=5)</w:t>
            </w:r>
          </w:p>
        </w:tc>
        <w:tc>
          <w:tcPr/>
          <w:p>
            <w:pPr>
              <w:pStyle w:val="Compact"/>
              <w:jc w:val="center"/>
            </w:pPr>
            <w:r>
              <w:t xml:space="preserve">0.6256</w:t>
            </w:r>
          </w:p>
        </w:tc>
        <w:tc>
          <w:tcPr/>
          <w:p>
            <w:pPr>
              <w:pStyle w:val="Compact"/>
              <w:jc w:val="center"/>
            </w:pPr>
            <w:r>
              <w:t xml:space="preserve">0.1254</w:t>
            </w:r>
          </w:p>
        </w:tc>
      </w:tr>
      <w:tr>
        <w:tc>
          <w:tcPr/>
          <w:p>
            <w:pPr>
              <w:pStyle w:val="Compact"/>
              <w:jc w:val="center"/>
            </w:pPr>
            <w:r>
              <w:t xml:space="preserve">4</w:t>
            </w:r>
          </w:p>
        </w:tc>
        <w:tc>
          <w:tcPr/>
          <w:p>
            <w:pPr>
              <w:pStyle w:val="Compact"/>
              <w:jc w:val="center"/>
            </w:pPr>
            <w:r>
              <w:t xml:space="preserve">Control 7days (n=1)</w:t>
            </w:r>
          </w:p>
        </w:tc>
        <w:tc>
          <w:tcPr/>
          <w:p>
            <w:pPr>
              <w:pStyle w:val="Compact"/>
              <w:jc w:val="center"/>
            </w:pPr>
            <w:r>
              <w:t xml:space="preserve">0.5603</w:t>
            </w:r>
          </w:p>
        </w:tc>
        <w:tc>
          <w:tcPr/>
          <w:p>
            <w:pPr>
              <w:pStyle w:val="Compact"/>
              <w:jc w:val="center"/>
            </w:pPr>
            <w:r>
              <w:t xml:space="preserve">0</w:t>
            </w:r>
          </w:p>
        </w:tc>
      </w:tr>
      <w:tr>
        <w:tc>
          <w:tcPr/>
          <w:p>
            <w:pPr>
              <w:pStyle w:val="Compact"/>
              <w:jc w:val="center"/>
            </w:pPr>
            <w:r>
              <w:t xml:space="preserve">5</w:t>
            </w:r>
          </w:p>
        </w:tc>
        <w:tc>
          <w:tcPr/>
          <w:p>
            <w:pPr>
              <w:pStyle w:val="Compact"/>
              <w:jc w:val="center"/>
            </w:pPr>
            <w:r>
              <w:t xml:space="preserve">Activin 50ng/ml 14days (n=5)</w:t>
            </w:r>
          </w:p>
        </w:tc>
        <w:tc>
          <w:tcPr/>
          <w:p>
            <w:pPr>
              <w:pStyle w:val="Compact"/>
              <w:jc w:val="center"/>
            </w:pPr>
            <w:r>
              <w:t xml:space="preserve">0.4296</w:t>
            </w:r>
          </w:p>
        </w:tc>
        <w:tc>
          <w:tcPr/>
          <w:p>
            <w:pPr>
              <w:pStyle w:val="Compact"/>
              <w:jc w:val="center"/>
            </w:pPr>
            <w:r>
              <w:t xml:space="preserve">0.04905</w:t>
            </w:r>
          </w:p>
        </w:tc>
      </w:tr>
      <w:tr>
        <w:tc>
          <w:tcPr/>
          <w:p>
            <w:pPr>
              <w:pStyle w:val="Compact"/>
              <w:jc w:val="center"/>
            </w:pPr>
            <w:r>
              <w:t xml:space="preserve">5</w:t>
            </w:r>
          </w:p>
        </w:tc>
        <w:tc>
          <w:tcPr/>
          <w:p>
            <w:pPr>
              <w:pStyle w:val="Compact"/>
              <w:jc w:val="center"/>
            </w:pPr>
            <w:r>
              <w:t xml:space="preserve">Activin 50ng/ml 2days (n=5)</w:t>
            </w:r>
          </w:p>
        </w:tc>
        <w:tc>
          <w:tcPr/>
          <w:p>
            <w:pPr>
              <w:pStyle w:val="Compact"/>
              <w:jc w:val="center"/>
            </w:pPr>
            <w:r>
              <w:t xml:space="preserve">0.4129</w:t>
            </w:r>
          </w:p>
        </w:tc>
        <w:tc>
          <w:tcPr/>
          <w:p>
            <w:pPr>
              <w:pStyle w:val="Compact"/>
              <w:jc w:val="center"/>
            </w:pPr>
            <w:r>
              <w:t xml:space="preserve">0.07299</w:t>
            </w:r>
          </w:p>
        </w:tc>
      </w:tr>
      <w:tr>
        <w:tc>
          <w:tcPr/>
          <w:p>
            <w:pPr>
              <w:pStyle w:val="Compact"/>
              <w:jc w:val="center"/>
            </w:pPr>
            <w:r>
              <w:t xml:space="preserve">5</w:t>
            </w:r>
          </w:p>
        </w:tc>
        <w:tc>
          <w:tcPr/>
          <w:p>
            <w:pPr>
              <w:pStyle w:val="Compact"/>
              <w:jc w:val="center"/>
            </w:pPr>
            <w:r>
              <w:t xml:space="preserve">Control 14days (n=5)</w:t>
            </w:r>
          </w:p>
        </w:tc>
        <w:tc>
          <w:tcPr/>
          <w:p>
            <w:pPr>
              <w:pStyle w:val="Compact"/>
              <w:jc w:val="center"/>
            </w:pPr>
            <w:r>
              <w:t xml:space="preserve">0.5461</w:t>
            </w:r>
          </w:p>
        </w:tc>
        <w:tc>
          <w:tcPr/>
          <w:p>
            <w:pPr>
              <w:pStyle w:val="Compact"/>
              <w:jc w:val="center"/>
            </w:pPr>
            <w:r>
              <w:t xml:space="preserve">0.1919</w:t>
            </w:r>
          </w:p>
        </w:tc>
      </w:tr>
      <w:tr>
        <w:tc>
          <w:tcPr/>
          <w:p>
            <w:pPr>
              <w:pStyle w:val="Compact"/>
              <w:jc w:val="center"/>
            </w:pPr>
            <w:r>
              <w:t xml:space="preserve">5</w:t>
            </w:r>
          </w:p>
        </w:tc>
        <w:tc>
          <w:tcPr/>
          <w:p>
            <w:pPr>
              <w:pStyle w:val="Compact"/>
              <w:jc w:val="center"/>
            </w:pPr>
            <w:r>
              <w:t xml:space="preserve">Control 7days (n=1)</w:t>
            </w:r>
          </w:p>
        </w:tc>
        <w:tc>
          <w:tcPr/>
          <w:p>
            <w:pPr>
              <w:pStyle w:val="Compact"/>
              <w:jc w:val="center"/>
            </w:pPr>
            <w:r>
              <w:t xml:space="preserve">0.6897</w:t>
            </w:r>
          </w:p>
        </w:tc>
        <w:tc>
          <w:tcPr/>
          <w:p>
            <w:pPr>
              <w:pStyle w:val="Compact"/>
              <w:jc w:val="center"/>
            </w:pPr>
            <w:r>
              <w:t xml:space="preserve">0</w:t>
            </w:r>
          </w:p>
        </w:tc>
      </w:tr>
      <w:tr>
        <w:tc>
          <w:tcPr/>
          <w:p>
            <w:pPr>
              <w:pStyle w:val="Compact"/>
              <w:jc w:val="center"/>
            </w:pPr>
            <w:r>
              <w:t xml:space="preserve">6</w:t>
            </w:r>
          </w:p>
        </w:tc>
        <w:tc>
          <w:tcPr/>
          <w:p>
            <w:pPr>
              <w:pStyle w:val="Compact"/>
              <w:jc w:val="center"/>
            </w:pPr>
            <w:r>
              <w:t xml:space="preserve">Activin 50ng/ml 14days (n=5)</w:t>
            </w:r>
          </w:p>
        </w:tc>
        <w:tc>
          <w:tcPr/>
          <w:p>
            <w:pPr>
              <w:pStyle w:val="Compact"/>
              <w:jc w:val="center"/>
            </w:pPr>
            <w:r>
              <w:t xml:space="preserve">0.3498</w:t>
            </w:r>
          </w:p>
        </w:tc>
        <w:tc>
          <w:tcPr/>
          <w:p>
            <w:pPr>
              <w:pStyle w:val="Compact"/>
              <w:jc w:val="center"/>
            </w:pPr>
            <w:r>
              <w:t xml:space="preserve">0.08917</w:t>
            </w:r>
          </w:p>
        </w:tc>
      </w:tr>
      <w:tr>
        <w:tc>
          <w:tcPr/>
          <w:p>
            <w:pPr>
              <w:pStyle w:val="Compact"/>
              <w:jc w:val="center"/>
            </w:pPr>
            <w:r>
              <w:t xml:space="preserve">6</w:t>
            </w:r>
          </w:p>
        </w:tc>
        <w:tc>
          <w:tcPr/>
          <w:p>
            <w:pPr>
              <w:pStyle w:val="Compact"/>
              <w:jc w:val="center"/>
            </w:pPr>
            <w:r>
              <w:t xml:space="preserve">Activin 50ng/ml 2days (n=5)</w:t>
            </w:r>
          </w:p>
        </w:tc>
        <w:tc>
          <w:tcPr/>
          <w:p>
            <w:pPr>
              <w:pStyle w:val="Compact"/>
              <w:jc w:val="center"/>
            </w:pPr>
            <w:r>
              <w:t xml:space="preserve">0.392</w:t>
            </w:r>
          </w:p>
        </w:tc>
        <w:tc>
          <w:tcPr/>
          <w:p>
            <w:pPr>
              <w:pStyle w:val="Compact"/>
              <w:jc w:val="center"/>
            </w:pPr>
            <w:r>
              <w:t xml:space="preserve">0.1203</w:t>
            </w:r>
          </w:p>
        </w:tc>
      </w:tr>
      <w:tr>
        <w:tc>
          <w:tcPr/>
          <w:p>
            <w:pPr>
              <w:pStyle w:val="Compact"/>
              <w:jc w:val="center"/>
            </w:pPr>
            <w:r>
              <w:t xml:space="preserve">6</w:t>
            </w:r>
          </w:p>
        </w:tc>
        <w:tc>
          <w:tcPr/>
          <w:p>
            <w:pPr>
              <w:pStyle w:val="Compact"/>
              <w:jc w:val="center"/>
            </w:pPr>
            <w:r>
              <w:t xml:space="preserve">Control 14days (n=5)</w:t>
            </w:r>
          </w:p>
        </w:tc>
        <w:tc>
          <w:tcPr/>
          <w:p>
            <w:pPr>
              <w:pStyle w:val="Compact"/>
              <w:jc w:val="center"/>
            </w:pPr>
            <w:r>
              <w:t xml:space="preserve">0.4624</w:t>
            </w:r>
          </w:p>
        </w:tc>
        <w:tc>
          <w:tcPr/>
          <w:p>
            <w:pPr>
              <w:pStyle w:val="Compact"/>
              <w:jc w:val="center"/>
            </w:pPr>
            <w:r>
              <w:t xml:space="preserve">0.1765</w:t>
            </w:r>
          </w:p>
        </w:tc>
      </w:tr>
      <w:tr>
        <w:tc>
          <w:tcPr/>
          <w:p>
            <w:pPr>
              <w:pStyle w:val="Compact"/>
              <w:jc w:val="center"/>
            </w:pPr>
            <w:r>
              <w:t xml:space="preserve">6</w:t>
            </w:r>
          </w:p>
        </w:tc>
        <w:tc>
          <w:tcPr/>
          <w:p>
            <w:pPr>
              <w:pStyle w:val="Compact"/>
              <w:jc w:val="center"/>
            </w:pPr>
            <w:r>
              <w:t xml:space="preserve">Control 7days (n=1)</w:t>
            </w:r>
          </w:p>
        </w:tc>
        <w:tc>
          <w:tcPr/>
          <w:p>
            <w:pPr>
              <w:pStyle w:val="Compact"/>
              <w:jc w:val="center"/>
            </w:pPr>
            <w:r>
              <w:t xml:space="preserve">0.6342</w:t>
            </w:r>
          </w:p>
        </w:tc>
        <w:tc>
          <w:tcPr/>
          <w:p>
            <w:pPr>
              <w:pStyle w:val="Compact"/>
              <w:jc w:val="center"/>
            </w:pPr>
            <w:r>
              <w:t xml:space="preserve">0</w:t>
            </w:r>
          </w:p>
        </w:tc>
      </w:tr>
      <w:tr>
        <w:tc>
          <w:tcPr/>
          <w:p>
            <w:pPr>
              <w:pStyle w:val="Compact"/>
              <w:jc w:val="center"/>
            </w:pPr>
            <w:r>
              <w:t xml:space="preserve">7</w:t>
            </w:r>
          </w:p>
        </w:tc>
        <w:tc>
          <w:tcPr/>
          <w:p>
            <w:pPr>
              <w:pStyle w:val="Compact"/>
              <w:jc w:val="center"/>
            </w:pPr>
            <w:r>
              <w:t xml:space="preserve">Activin 50ng/ml 14days (n=5)</w:t>
            </w:r>
          </w:p>
        </w:tc>
        <w:tc>
          <w:tcPr/>
          <w:p>
            <w:pPr>
              <w:pStyle w:val="Compact"/>
              <w:jc w:val="center"/>
            </w:pPr>
            <w:r>
              <w:t xml:space="preserve">0.3337</w:t>
            </w:r>
          </w:p>
        </w:tc>
        <w:tc>
          <w:tcPr/>
          <w:p>
            <w:pPr>
              <w:pStyle w:val="Compact"/>
              <w:jc w:val="center"/>
            </w:pPr>
            <w:r>
              <w:t xml:space="preserve">0.1421</w:t>
            </w:r>
          </w:p>
        </w:tc>
      </w:tr>
      <w:tr>
        <w:tc>
          <w:tcPr/>
          <w:p>
            <w:pPr>
              <w:pStyle w:val="Compact"/>
              <w:jc w:val="center"/>
            </w:pPr>
            <w:r>
              <w:t xml:space="preserve">7</w:t>
            </w:r>
          </w:p>
        </w:tc>
        <w:tc>
          <w:tcPr/>
          <w:p>
            <w:pPr>
              <w:pStyle w:val="Compact"/>
              <w:jc w:val="center"/>
            </w:pPr>
            <w:r>
              <w:t xml:space="preserve">Activin 50ng/ml 2days (n=5)</w:t>
            </w:r>
          </w:p>
        </w:tc>
        <w:tc>
          <w:tcPr/>
          <w:p>
            <w:pPr>
              <w:pStyle w:val="Compact"/>
              <w:jc w:val="center"/>
            </w:pPr>
            <w:r>
              <w:t xml:space="preserve">0.3357</w:t>
            </w:r>
          </w:p>
        </w:tc>
        <w:tc>
          <w:tcPr/>
          <w:p>
            <w:pPr>
              <w:pStyle w:val="Compact"/>
              <w:jc w:val="center"/>
            </w:pPr>
            <w:r>
              <w:t xml:space="preserve">0.09613</w:t>
            </w:r>
          </w:p>
        </w:tc>
      </w:tr>
      <w:tr>
        <w:tc>
          <w:tcPr/>
          <w:p>
            <w:pPr>
              <w:pStyle w:val="Compact"/>
              <w:jc w:val="center"/>
            </w:pPr>
            <w:r>
              <w:t xml:space="preserve">7</w:t>
            </w:r>
          </w:p>
        </w:tc>
        <w:tc>
          <w:tcPr/>
          <w:p>
            <w:pPr>
              <w:pStyle w:val="Compact"/>
              <w:jc w:val="center"/>
            </w:pPr>
            <w:r>
              <w:t xml:space="preserve">Control 14days (n=5)</w:t>
            </w:r>
          </w:p>
        </w:tc>
        <w:tc>
          <w:tcPr/>
          <w:p>
            <w:pPr>
              <w:pStyle w:val="Compact"/>
              <w:jc w:val="center"/>
            </w:pPr>
            <w:r>
              <w:t xml:space="preserve">0.4713</w:t>
            </w:r>
          </w:p>
        </w:tc>
        <w:tc>
          <w:tcPr/>
          <w:p>
            <w:pPr>
              <w:pStyle w:val="Compact"/>
              <w:jc w:val="center"/>
            </w:pPr>
            <w:r>
              <w:t xml:space="preserve">0.1801</w:t>
            </w:r>
          </w:p>
        </w:tc>
      </w:tr>
      <w:tr>
        <w:tc>
          <w:tcPr/>
          <w:p>
            <w:pPr>
              <w:pStyle w:val="Compact"/>
              <w:jc w:val="center"/>
            </w:pPr>
            <w:r>
              <w:t xml:space="preserve">7</w:t>
            </w:r>
          </w:p>
        </w:tc>
        <w:tc>
          <w:tcPr/>
          <w:p>
            <w:pPr>
              <w:pStyle w:val="Compact"/>
              <w:jc w:val="center"/>
            </w:pPr>
            <w:r>
              <w:t xml:space="preserve">Control 7days (n=1)</w:t>
            </w:r>
          </w:p>
        </w:tc>
        <w:tc>
          <w:tcPr/>
          <w:p>
            <w:pPr>
              <w:pStyle w:val="Compact"/>
              <w:jc w:val="center"/>
            </w:pPr>
            <w:r>
              <w:t xml:space="preserve">0.5293</w:t>
            </w:r>
          </w:p>
        </w:tc>
        <w:tc>
          <w:tcPr/>
          <w:p>
            <w:pPr>
              <w:pStyle w:val="Compact"/>
              <w:jc w:val="center"/>
            </w:pPr>
            <w:r>
              <w:t xml:space="preserve">0</w:t>
            </w:r>
          </w:p>
        </w:tc>
      </w:tr>
      <w:tr>
        <w:tc>
          <w:tcPr/>
          <w:p>
            <w:pPr>
              <w:pStyle w:val="Compact"/>
              <w:jc w:val="center"/>
            </w:pPr>
            <w:r>
              <w:t xml:space="preserve">8</w:t>
            </w:r>
          </w:p>
        </w:tc>
        <w:tc>
          <w:tcPr/>
          <w:p>
            <w:pPr>
              <w:pStyle w:val="Compact"/>
              <w:jc w:val="center"/>
            </w:pPr>
            <w:r>
              <w:t xml:space="preserve">Activin 50ng/ml 14days (n=5)</w:t>
            </w:r>
          </w:p>
        </w:tc>
        <w:tc>
          <w:tcPr/>
          <w:p>
            <w:pPr>
              <w:pStyle w:val="Compact"/>
              <w:jc w:val="center"/>
            </w:pPr>
            <w:r>
              <w:t xml:space="preserve">0.2915</w:t>
            </w:r>
          </w:p>
        </w:tc>
        <w:tc>
          <w:tcPr/>
          <w:p>
            <w:pPr>
              <w:pStyle w:val="Compact"/>
              <w:jc w:val="center"/>
            </w:pPr>
            <w:r>
              <w:t xml:space="preserve">0.1502</w:t>
            </w:r>
          </w:p>
        </w:tc>
      </w:tr>
      <w:tr>
        <w:tc>
          <w:tcPr/>
          <w:p>
            <w:pPr>
              <w:pStyle w:val="Compact"/>
              <w:jc w:val="center"/>
            </w:pPr>
            <w:r>
              <w:t xml:space="preserve">8</w:t>
            </w:r>
          </w:p>
        </w:tc>
        <w:tc>
          <w:tcPr/>
          <w:p>
            <w:pPr>
              <w:pStyle w:val="Compact"/>
              <w:jc w:val="center"/>
            </w:pPr>
            <w:r>
              <w:t xml:space="preserve">Activin 50ng/ml 2days (n=5)</w:t>
            </w:r>
          </w:p>
        </w:tc>
        <w:tc>
          <w:tcPr/>
          <w:p>
            <w:pPr>
              <w:pStyle w:val="Compact"/>
              <w:jc w:val="center"/>
            </w:pPr>
            <w:r>
              <w:t xml:space="preserve">0.2828</w:t>
            </w:r>
          </w:p>
        </w:tc>
        <w:tc>
          <w:tcPr/>
          <w:p>
            <w:pPr>
              <w:pStyle w:val="Compact"/>
              <w:jc w:val="center"/>
            </w:pPr>
            <w:r>
              <w:t xml:space="preserve">0.08893</w:t>
            </w:r>
          </w:p>
        </w:tc>
      </w:tr>
      <w:tr>
        <w:tc>
          <w:tcPr/>
          <w:p>
            <w:pPr>
              <w:pStyle w:val="Compact"/>
              <w:jc w:val="center"/>
            </w:pPr>
            <w:r>
              <w:t xml:space="preserve">8</w:t>
            </w:r>
          </w:p>
        </w:tc>
        <w:tc>
          <w:tcPr/>
          <w:p>
            <w:pPr>
              <w:pStyle w:val="Compact"/>
              <w:jc w:val="center"/>
            </w:pPr>
            <w:r>
              <w:t xml:space="preserve">Control 14days (n=5)</w:t>
            </w:r>
          </w:p>
        </w:tc>
        <w:tc>
          <w:tcPr/>
          <w:p>
            <w:pPr>
              <w:pStyle w:val="Compact"/>
              <w:jc w:val="center"/>
            </w:pPr>
            <w:r>
              <w:t xml:space="preserve">0.3819</w:t>
            </w:r>
          </w:p>
        </w:tc>
        <w:tc>
          <w:tcPr/>
          <w:p>
            <w:pPr>
              <w:pStyle w:val="Compact"/>
              <w:jc w:val="center"/>
            </w:pPr>
            <w:r>
              <w:t xml:space="preserve">0.1656</w:t>
            </w:r>
          </w:p>
        </w:tc>
      </w:tr>
      <w:tr>
        <w:tc>
          <w:tcPr/>
          <w:p>
            <w:pPr>
              <w:pStyle w:val="Compact"/>
              <w:jc w:val="center"/>
            </w:pPr>
            <w:r>
              <w:t xml:space="preserve">8</w:t>
            </w:r>
          </w:p>
        </w:tc>
        <w:tc>
          <w:tcPr/>
          <w:p>
            <w:pPr>
              <w:pStyle w:val="Compact"/>
              <w:jc w:val="center"/>
            </w:pPr>
            <w:r>
              <w:t xml:space="preserve">Control 7days (n=1)</w:t>
            </w:r>
          </w:p>
        </w:tc>
        <w:tc>
          <w:tcPr/>
          <w:p>
            <w:pPr>
              <w:pStyle w:val="Compact"/>
              <w:jc w:val="center"/>
            </w:pPr>
            <w:r>
              <w:t xml:space="preserve">0.3948</w:t>
            </w:r>
          </w:p>
        </w:tc>
        <w:tc>
          <w:tcPr/>
          <w:p>
            <w:pPr>
              <w:pStyle w:val="Compact"/>
              <w:jc w:val="center"/>
            </w:pPr>
            <w:r>
              <w:t xml:space="preserve">0</w:t>
            </w:r>
          </w:p>
        </w:tc>
      </w:tr>
      <w:tr>
        <w:tc>
          <w:tcPr/>
          <w:p>
            <w:pPr>
              <w:pStyle w:val="Compact"/>
              <w:jc w:val="center"/>
            </w:pPr>
            <w:r>
              <w:t xml:space="preserve">9</w:t>
            </w:r>
          </w:p>
        </w:tc>
        <w:tc>
          <w:tcPr/>
          <w:p>
            <w:pPr>
              <w:pStyle w:val="Compact"/>
              <w:jc w:val="center"/>
            </w:pPr>
            <w:r>
              <w:t xml:space="preserve">Activin 50ng/ml 14days (n=5)</w:t>
            </w:r>
          </w:p>
        </w:tc>
        <w:tc>
          <w:tcPr/>
          <w:p>
            <w:pPr>
              <w:pStyle w:val="Compact"/>
              <w:jc w:val="center"/>
            </w:pPr>
            <w:r>
              <w:t xml:space="preserve">0.2011</w:t>
            </w:r>
          </w:p>
        </w:tc>
        <w:tc>
          <w:tcPr/>
          <w:p>
            <w:pPr>
              <w:pStyle w:val="Compact"/>
              <w:jc w:val="center"/>
            </w:pPr>
            <w:r>
              <w:t xml:space="preserve">0.1121</w:t>
            </w:r>
          </w:p>
        </w:tc>
      </w:tr>
      <w:tr>
        <w:tc>
          <w:tcPr/>
          <w:p>
            <w:pPr>
              <w:pStyle w:val="Compact"/>
              <w:jc w:val="center"/>
            </w:pPr>
            <w:r>
              <w:t xml:space="preserve">9</w:t>
            </w:r>
          </w:p>
        </w:tc>
        <w:tc>
          <w:tcPr/>
          <w:p>
            <w:pPr>
              <w:pStyle w:val="Compact"/>
              <w:jc w:val="center"/>
            </w:pPr>
            <w:r>
              <w:t xml:space="preserve">Activin 50ng/ml 2days (n=5)</w:t>
            </w:r>
          </w:p>
        </w:tc>
        <w:tc>
          <w:tcPr/>
          <w:p>
            <w:pPr>
              <w:pStyle w:val="Compact"/>
              <w:jc w:val="center"/>
            </w:pPr>
            <w:r>
              <w:t xml:space="preserve">0.2273</w:t>
            </w:r>
          </w:p>
        </w:tc>
        <w:tc>
          <w:tcPr/>
          <w:p>
            <w:pPr>
              <w:pStyle w:val="Compact"/>
              <w:jc w:val="center"/>
            </w:pPr>
            <w:r>
              <w:t xml:space="preserve">0.129</w:t>
            </w:r>
          </w:p>
        </w:tc>
      </w:tr>
      <w:tr>
        <w:tc>
          <w:tcPr/>
          <w:p>
            <w:pPr>
              <w:pStyle w:val="Compact"/>
              <w:jc w:val="center"/>
            </w:pPr>
            <w:r>
              <w:t xml:space="preserve">9</w:t>
            </w:r>
          </w:p>
        </w:tc>
        <w:tc>
          <w:tcPr/>
          <w:p>
            <w:pPr>
              <w:pStyle w:val="Compact"/>
              <w:jc w:val="center"/>
            </w:pPr>
            <w:r>
              <w:t xml:space="preserve">Control 14days (n=5)</w:t>
            </w:r>
          </w:p>
        </w:tc>
        <w:tc>
          <w:tcPr/>
          <w:p>
            <w:pPr>
              <w:pStyle w:val="Compact"/>
              <w:jc w:val="center"/>
            </w:pPr>
            <w:r>
              <w:t xml:space="preserve">0.3226</w:t>
            </w:r>
          </w:p>
        </w:tc>
        <w:tc>
          <w:tcPr/>
          <w:p>
            <w:pPr>
              <w:pStyle w:val="Compact"/>
              <w:jc w:val="center"/>
            </w:pPr>
            <w:r>
              <w:t xml:space="preserve">0.1672</w:t>
            </w:r>
          </w:p>
        </w:tc>
      </w:tr>
      <w:tr>
        <w:tc>
          <w:tcPr/>
          <w:p>
            <w:pPr>
              <w:pStyle w:val="Compact"/>
              <w:jc w:val="center"/>
            </w:pPr>
            <w:r>
              <w:t xml:space="preserve">9</w:t>
            </w:r>
          </w:p>
        </w:tc>
        <w:tc>
          <w:tcPr/>
          <w:p>
            <w:pPr>
              <w:pStyle w:val="Compact"/>
              <w:jc w:val="center"/>
            </w:pPr>
            <w:r>
              <w:t xml:space="preserve">Control 7days (n=1)</w:t>
            </w:r>
          </w:p>
        </w:tc>
        <w:tc>
          <w:tcPr/>
          <w:p>
            <w:pPr>
              <w:pStyle w:val="Compact"/>
              <w:jc w:val="center"/>
            </w:pPr>
            <w:r>
              <w:t xml:space="preserve">0.1613</w:t>
            </w:r>
          </w:p>
        </w:tc>
        <w:tc>
          <w:tcPr/>
          <w:p>
            <w:pPr>
              <w:pStyle w:val="Compact"/>
              <w:jc w:val="center"/>
            </w:pPr>
            <w:r>
              <w:t xml:space="preserve">0</w:t>
            </w:r>
          </w:p>
        </w:tc>
      </w:tr>
      <w:tr>
        <w:tc>
          <w:tcPr/>
          <w:p>
            <w:pPr>
              <w:pStyle w:val="Compact"/>
              <w:jc w:val="center"/>
            </w:pPr>
            <w:r>
              <w:t xml:space="preserve">10</w:t>
            </w:r>
          </w:p>
        </w:tc>
        <w:tc>
          <w:tcPr/>
          <w:p>
            <w:pPr>
              <w:pStyle w:val="Compact"/>
              <w:jc w:val="center"/>
            </w:pPr>
            <w:r>
              <w:t xml:space="preserve">Activin 50ng/ml 14days (n=5)</w:t>
            </w:r>
          </w:p>
        </w:tc>
        <w:tc>
          <w:tcPr/>
          <w:p>
            <w:pPr>
              <w:pStyle w:val="Compact"/>
              <w:jc w:val="center"/>
            </w:pPr>
            <w:r>
              <w:t xml:space="preserve">0.08703</w:t>
            </w:r>
          </w:p>
        </w:tc>
        <w:tc>
          <w:tcPr/>
          <w:p>
            <w:pPr>
              <w:pStyle w:val="Compact"/>
              <w:jc w:val="center"/>
            </w:pPr>
            <w:r>
              <w:t xml:space="preserve">0.02915</w:t>
            </w:r>
          </w:p>
        </w:tc>
      </w:tr>
      <w:tr>
        <w:tc>
          <w:tcPr/>
          <w:p>
            <w:pPr>
              <w:pStyle w:val="Compact"/>
              <w:jc w:val="center"/>
            </w:pPr>
            <w:r>
              <w:t xml:space="preserve">10</w:t>
            </w:r>
          </w:p>
        </w:tc>
        <w:tc>
          <w:tcPr/>
          <w:p>
            <w:pPr>
              <w:pStyle w:val="Compact"/>
              <w:jc w:val="center"/>
            </w:pPr>
            <w:r>
              <w:t xml:space="preserve">Activin 50ng/ml 2days (n=5)</w:t>
            </w:r>
          </w:p>
        </w:tc>
        <w:tc>
          <w:tcPr/>
          <w:p>
            <w:pPr>
              <w:pStyle w:val="Compact"/>
              <w:jc w:val="center"/>
            </w:pPr>
            <w:r>
              <w:t xml:space="preserve">0.2306</w:t>
            </w:r>
          </w:p>
        </w:tc>
        <w:tc>
          <w:tcPr/>
          <w:p>
            <w:pPr>
              <w:pStyle w:val="Compact"/>
              <w:jc w:val="center"/>
            </w:pPr>
            <w:r>
              <w:t xml:space="preserve">0.1209</w:t>
            </w:r>
          </w:p>
        </w:tc>
      </w:tr>
      <w:tr>
        <w:tc>
          <w:tcPr/>
          <w:p>
            <w:pPr>
              <w:pStyle w:val="Compact"/>
              <w:jc w:val="center"/>
            </w:pPr>
            <w:r>
              <w:t xml:space="preserve">10</w:t>
            </w:r>
          </w:p>
        </w:tc>
        <w:tc>
          <w:tcPr/>
          <w:p>
            <w:pPr>
              <w:pStyle w:val="Compact"/>
              <w:jc w:val="center"/>
            </w:pPr>
            <w:r>
              <w:t xml:space="preserve">Control 14days (n=5)</w:t>
            </w:r>
          </w:p>
        </w:tc>
        <w:tc>
          <w:tcPr/>
          <w:p>
            <w:pPr>
              <w:pStyle w:val="Compact"/>
              <w:jc w:val="center"/>
            </w:pPr>
            <w:r>
              <w:t xml:space="preserve">0.1504</w:t>
            </w:r>
          </w:p>
        </w:tc>
        <w:tc>
          <w:tcPr/>
          <w:p>
            <w:pPr>
              <w:pStyle w:val="Compact"/>
              <w:jc w:val="center"/>
            </w:pPr>
            <w:r>
              <w:t xml:space="preserve">0.08223</w:t>
            </w:r>
          </w:p>
        </w:tc>
      </w:tr>
      <w:tr>
        <w:tc>
          <w:tcPr/>
          <w:p>
            <w:pPr>
              <w:pStyle w:val="Compact"/>
              <w:jc w:val="center"/>
            </w:pPr>
            <w:r>
              <w:t xml:space="preserve">10</w:t>
            </w:r>
          </w:p>
        </w:tc>
        <w:tc>
          <w:tcPr/>
          <w:p>
            <w:pPr>
              <w:pStyle w:val="Compact"/>
              <w:jc w:val="center"/>
            </w:pPr>
            <w:r>
              <w:t xml:space="preserve">Control 7days (n=1)</w:t>
            </w:r>
          </w:p>
        </w:tc>
        <w:tc>
          <w:tcPr/>
          <w:p>
            <w:pPr>
              <w:pStyle w:val="Compact"/>
              <w:jc w:val="center"/>
            </w:pPr>
            <w:r>
              <w:t xml:space="preserve">0.181</w:t>
            </w:r>
          </w:p>
        </w:tc>
        <w:tc>
          <w:tcPr/>
          <w:p>
            <w:pPr>
              <w:pStyle w:val="Compact"/>
              <w:jc w:val="center"/>
            </w:pPr>
            <w:r>
              <w:t xml:space="preserve">0</w:t>
            </w:r>
          </w:p>
        </w:tc>
      </w:tr>
    </w:tbl>
    <w:bookmarkEnd w:id="57"/>
    <w:bookmarkEnd w:id="58"/>
    <w:bookmarkStart w:id="62" w:name="references"/>
    <w:p>
      <w:pPr>
        <w:pStyle w:val="berschrift2"/>
      </w:pPr>
      <w:r>
        <w:t xml:space="preserve">References</w:t>
      </w:r>
    </w:p>
    <w:bookmarkStart w:id="61" w:name="refs"/>
    <w:bookmarkStart w:id="60" w:name="X4175f2d6a880cff244f25bc9442830b9798b728"/>
    <w:p>
      <w:pPr>
        <w:pStyle w:val="Literaturverzeichnis"/>
      </w:pPr>
      <w:r>
        <w:t xml:space="preserve">[1]</w:t>
      </w:r>
      <w:r>
        <w:t xml:space="preserve"> </w:t>
      </w:r>
      <w:r>
        <w:t xml:space="preserve">	</w:t>
      </w:r>
      <w:r>
        <w:t xml:space="preserve">Cangkrama M, Liu H, Whipman J, Zubair M, Matsushita M, Di Filippo M, et al. A</w:t>
      </w:r>
      <w:r>
        <w:t xml:space="preserve"> </w:t>
      </w:r>
      <w:r>
        <w:t xml:space="preserve">Protumorigenic mDia2-MIRO1 Axis Controls Mitochondrial Positioning</w:t>
      </w:r>
      <w:r>
        <w:t xml:space="preserve"> </w:t>
      </w:r>
      <w:r>
        <w:t xml:space="preserve">and</w:t>
      </w:r>
      <w:r>
        <w:t xml:space="preserve"> </w:t>
      </w:r>
      <w:r>
        <w:t xml:space="preserve">Function</w:t>
      </w:r>
      <w:r>
        <w:t xml:space="preserve"> </w:t>
      </w:r>
      <w:r>
        <w:t xml:space="preserve">in</w:t>
      </w:r>
      <w:r>
        <w:t xml:space="preserve"> </w:t>
      </w:r>
      <w:r>
        <w:t xml:space="preserve">Cancer-Associated Fibroblasts</w:t>
      </w:r>
      <w:r>
        <w:t xml:space="preserve">. Cancer Res 2022;82:3701–17.</w:t>
      </w:r>
      <w:r>
        <w:t xml:space="preserve"> </w:t>
      </w:r>
      <w:hyperlink r:id="rId59">
        <w:r>
          <w:rPr>
            <w:rStyle w:val="Hyperlink"/>
          </w:rPr>
          <w:t xml:space="preserve">https://doi.org/10.1158/0008-5472.CAN-22-0162</w:t>
        </w:r>
      </w:hyperlink>
      <w:r>
        <w:t xml:space="preserve">.</w:t>
      </w:r>
    </w:p>
    <w:bookmarkEnd w:id="60"/>
    <w:bookmarkEnd w:id="61"/>
    <w:bookmarkEnd w:id="62"/>
    <w:bookmarkStart w:id="63" w:name="methods-section-to-copy"/>
    <w:p>
      <w:pPr>
        <w:pStyle w:val="berschrift2"/>
      </w:pPr>
      <w:r>
        <w:t xml:space="preserve">Methods section to copy</w:t>
      </w:r>
    </w:p>
    <w:p>
      <w:pPr>
        <w:pStyle w:val="FirstParagraph"/>
      </w:pPr>
      <w:r>
        <w:t xml:space="preserve">TBA</w:t>
      </w:r>
    </w:p>
    <w:bookmarkEnd w:id="63"/>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venirNext LT Pro Regular">
    <w:panose1 w:val="020B0504020202020204"/>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A45C5"/>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hyperlink" Id="rId20" Target="../../Methods/mitostaining.xlsx" TargetMode="External" /><Relationship Type="http://schemas.openxmlformats.org/officeDocument/2006/relationships/hyperlink" Id="rId59"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20" Target="../../Methods/mitostaining.xlsx" TargetMode="External" /><Relationship Type="http://schemas.openxmlformats.org/officeDocument/2006/relationships/hyperlink" Id="rId59"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406</Words>
  <Characters>2315</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Mitochondria distribution along sections through neuronal soma</dc:title>
  <dc:creator>Dr. Jana Dahlmanns</dc:creator>
  <cp:keywords/>
  <dcterms:created xsi:type="dcterms:W3CDTF">2023-04-16T20:47:28Z</dcterms:created>
  <dcterms:modified xsi:type="dcterms:W3CDTF">2023-04-16T20:47:28Z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elsevier-vancouver.csl</vt:lpwstr>
  </property>
  <property fmtid="{D5CDD505-2E9C-101B-9397-08002B2CF9AE}" pid="4" name="date">
    <vt:lpwstr>2023-04-16</vt:lpwstr>
  </property>
  <property fmtid="{D5CDD505-2E9C-101B-9397-08002B2CF9AE}" pid="5" name="extra_dependencies">
    <vt:lpwstr>float</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ies>
</file>