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2.png" ContentType="image/png"/>
  <Override PartName="/word/media/rId36.png" ContentType="image/png"/>
  <Override PartName="/word/media/rId30.png" ContentType="image/png"/>
  <Override PartName="/word/media/rId33.png" ContentType="image/png"/>
  <Override PartName="/word/media/rId48.png" ContentType="image/png"/>
  <Override PartName="/word/media/rId43.png" ContentType="image/png"/>
  <Override PartName="/word/media/rId23.png" ContentType="image/png"/>
  <Override PartName="/word/media/rId2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of</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Untertitel"/>
      </w:pPr>
      <w:r>
        <w:t xml:space="preserve">Status</w:t>
      </w:r>
      <w:r>
        <w:t xml:space="preserve"> </w:t>
      </w:r>
      <w:r>
        <w:t xml:space="preserve">report</w:t>
      </w:r>
    </w:p>
    <w:p>
      <w:pPr>
        <w:pStyle w:val="Author"/>
      </w:pPr>
      <w:r>
        <w:t xml:space="preserve">Dr. Jana</w:t>
      </w:r>
      <w:r>
        <w:t xml:space="preserve"> </w:t>
      </w:r>
      <w:r>
        <w:t xml:space="preserve">Dahlmanns</w:t>
      </w:r>
    </w:p>
    <w:p>
      <w:pPr>
        <w:pStyle w:val="Datum"/>
      </w:pPr>
      <w:r>
        <w:t xml:space="preserve">2023-04-22</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w:t>
      </w:r>
    </w:p>
    <w:bookmarkStart w:id="26"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1" name="Picture"/>
            <a:graphic>
              <a:graphicData uri="http://schemas.openxmlformats.org/drawingml/2006/picture">
                <pic:pic>
                  <pic:nvPicPr>
                    <pic:cNvPr descr="mitochondria_alcohol_status_report_files/figure-docx/show_thumbnails-1.png" id="22" name="Picture"/>
                    <pic:cNvPicPr>
                      <a:picLocks noChangeArrowheads="1" noChangeAspect="1"/>
                    </pic:cNvPicPr>
                  </pic:nvPicPr>
                  <pic:blipFill>
                    <a:blip r:embed="rId20"/>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4" name="Picture"/>
            <a:graphic>
              <a:graphicData uri="http://schemas.openxmlformats.org/drawingml/2006/picture">
                <pic:pic>
                  <pic:nvPicPr>
                    <pic:cNvPr descr="mitochondria_alcohol_status_report_files/figure-docx/show_original_image-1.png" id="25" name="Picture"/>
                    <pic:cNvPicPr>
                      <a:picLocks noChangeArrowheads="1" noChangeAspect="1"/>
                    </pic:cNvPicPr>
                  </pic:nvPicPr>
                  <pic:blipFill>
                    <a:blip r:embed="rId23"/>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6"/>
    <w:bookmarkStart w:id="27" w:name="sample-sizes"/>
    <w:p>
      <w:pPr>
        <w:pStyle w:val="berschrift3"/>
      </w:pPr>
      <w:r>
        <w:t xml:space="preserve">Sample sizes</w:t>
      </w:r>
    </w:p>
    <w:p>
      <w:pPr>
        <w:pStyle w:val="FirstParagraph"/>
      </w:pPr>
      <w:r>
        <w:t xml:space="preserve">The number of analyzed images is currently 50 and is divided into different experimental conditions as follows:</w:t>
      </w:r>
    </w:p>
    <w:tbl>
      <w:tblPr>
        <w:tblStyle w:val="Table"/>
        <w:tblW w:type="pct" w:w="2153"/>
        <w:tblLook w:firstRow="1" w:lastRow="0" w:firstColumn="0" w:lastColumn="0" w:noHBand="0" w:noVBand="0" w:val="0020"/>
      </w:tblPr>
      <w:tblGrid>
        <w:gridCol w:w="2860"/>
        <w:gridCol w:w="55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9</w:t>
            </w:r>
          </w:p>
        </w:tc>
      </w:tr>
      <w:tr>
        <w:tc>
          <w:tcPr/>
          <w:p>
            <w:pPr>
              <w:pStyle w:val="Compact"/>
              <w:jc w:val="center"/>
            </w:pPr>
            <w:r>
              <w:t xml:space="preserve">Control 7days</w:t>
            </w:r>
          </w:p>
        </w:tc>
        <w:tc>
          <w:tcPr/>
          <w:p>
            <w:pPr>
              <w:pStyle w:val="Compact"/>
              <w:jc w:val="center"/>
            </w:pPr>
            <w:r>
              <w:t xml:space="preserve">10</w:t>
            </w:r>
          </w:p>
        </w:tc>
      </w:tr>
      <w:tr>
        <w:tc>
          <w:tcPr/>
          <w:p>
            <w:pPr>
              <w:pStyle w:val="Compact"/>
              <w:jc w:val="center"/>
            </w:pPr>
            <w:r>
              <w:t xml:space="preserve">Follistatin 50ng/ml 14d</w:t>
            </w:r>
          </w:p>
        </w:tc>
        <w:tc>
          <w:tcPr/>
          <w:p>
            <w:pPr>
              <w:pStyle w:val="Compact"/>
              <w:jc w:val="center"/>
            </w:pPr>
            <w:r>
              <w:t xml:space="preserve">5</w:t>
            </w:r>
          </w:p>
        </w:tc>
      </w:tr>
      <w:tr>
        <w:tc>
          <w:tcPr/>
          <w:p>
            <w:pPr>
              <w:pStyle w:val="Compact"/>
              <w:jc w:val="center"/>
            </w:pPr>
            <w:r>
              <w:t xml:space="preserve">Follistatin 50ng/ml 7d</w:t>
            </w:r>
          </w:p>
        </w:tc>
        <w:tc>
          <w:tcPr/>
          <w:p>
            <w:pPr>
              <w:pStyle w:val="Compact"/>
              <w:jc w:val="center"/>
            </w:pPr>
            <w:r>
              <w:t xml:space="preserve">11</w:t>
            </w:r>
          </w:p>
        </w:tc>
      </w:tr>
      <w:tr>
        <w:tc>
          <w:tcPr/>
          <w:p>
            <w:pPr>
              <w:pStyle w:val="Compact"/>
              <w:jc w:val="center"/>
            </w:pPr>
            <w:r>
              <w:t xml:space="preserve">SMIFH2 10µM 14d</w:t>
            </w:r>
          </w:p>
        </w:tc>
        <w:tc>
          <w:tcPr/>
          <w:p>
            <w:pPr>
              <w:pStyle w:val="Compact"/>
              <w:jc w:val="center"/>
            </w:pPr>
            <w:r>
              <w:t xml:space="preserve">5</w:t>
            </w:r>
          </w:p>
        </w:tc>
      </w:tr>
    </w:tbl>
    <w:bookmarkEnd w:id="27"/>
    <w:bookmarkEnd w:id="28"/>
    <w:bookmarkStart w:id="47"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Start w:id="29" w:name="intensity-profiles"/>
    <w:p>
      <w:pPr>
        <w:pStyle w:val="berschrift3"/>
      </w:pPr>
      <w:r>
        <w:t xml:space="preserve">Intensity profiles</w:t>
      </w:r>
    </w:p>
    <w:p>
      <w:pPr>
        <w:pStyle w:val="FirstParagraph"/>
      </w:pPr>
      <w:r>
        <w:t xml:space="preserve">In the original paper with this method</w:t>
      </w:r>
      <w:r>
        <w:t xml:space="preserve"> </w:t>
      </w:r>
      <w:r>
        <w:t xml:space="preserve">[1]</w:t>
      </w:r>
      <w:r>
        <w:t xml:space="preserve">, the authors normalized fluorescence intensities on the maximum intensity pixel of the given image. In my opinion,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that effect single pixels. I therefore normalized the fluorescence intensity values to the average of the 3 highest values of each cell’s profiles - which is a method not as vulnerable to the described error sources.</w:t>
      </w:r>
    </w:p>
    <w:bookmarkEnd w:id="29"/>
    <w:bookmarkStart w:id="39" w:name="normalization"/>
    <w:p>
      <w:pPr>
        <w:pStyle w:val="berschrift3"/>
      </w:pPr>
      <w:r>
        <w:t xml:space="preserve">Normalization</w:t>
      </w:r>
    </w:p>
    <w:p>
      <w:pPr>
        <w:pStyle w:val="FirstParagraph"/>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soma.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profiles only.</w:t>
      </w:r>
    </w:p>
    <w:p>
      <w:pPr>
        <w:pStyle w:val="CaptionedFigure"/>
      </w:pPr>
      <w:r>
        <w:drawing>
          <wp:inline>
            <wp:extent cx="5969000" cy="3581400"/>
            <wp:effectExtent b="0" l="0" r="0" t="0"/>
            <wp:docPr descr="Normliazed intensity profiles along first sections through the soma" title="" id="31" name="Picture"/>
            <a:graphic>
              <a:graphicData uri="http://schemas.openxmlformats.org/drawingml/2006/picture">
                <pic:pic>
                  <pic:nvPicPr>
                    <pic:cNvPr descr="mitochondria_alcohol_status_report_files/figure-docx/plot_line1-1.png" id="32" name="Picture"/>
                    <pic:cNvPicPr>
                      <a:picLocks noChangeArrowheads="1" noChangeAspect="1"/>
                    </pic:cNvPicPr>
                  </pic:nvPicPr>
                  <pic:blipFill>
                    <a:blip r:embed="rId30"/>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 Here is an overview of all thus far extracted sections through the soma:</w:t>
      </w:r>
    </w:p>
    <w:p>
      <w:pPr>
        <w:pStyle w:val="CaptionedFigure"/>
      </w:pPr>
      <w:r>
        <w:drawing>
          <wp:inline>
            <wp:extent cx="5969000" cy="7162800"/>
            <wp:effectExtent b="0" l="0" r="0" t="0"/>
            <wp:docPr descr="Overview of all normalized intensity profiles along sections through the soma" title="" id="34" name="Picture"/>
            <a:graphic>
              <a:graphicData uri="http://schemas.openxmlformats.org/drawingml/2006/picture">
                <pic:pic>
                  <pic:nvPicPr>
                    <pic:cNvPr descr="mitochondria_alcohol_status_report_files/figure-docx/plot_lines_separately-1.png" id="35" name="Picture"/>
                    <pic:cNvPicPr>
                      <a:picLocks noChangeArrowheads="1" noChangeAspect="1"/>
                    </pic:cNvPicPr>
                  </pic:nvPicPr>
                  <pic:blipFill>
                    <a:blip r:embed="rId33"/>
                    <a:stretch>
                      <a:fillRect/>
                    </a:stretch>
                  </pic:blipFill>
                  <pic:spPr bwMode="auto">
                    <a:xfrm>
                      <a:off x="0" y="0"/>
                      <a:ext cx="5969000" cy="7162800"/>
                    </a:xfrm>
                    <a:prstGeom prst="rect">
                      <a:avLst/>
                    </a:prstGeom>
                    <a:noFill/>
                    <a:ln w="9525">
                      <a:noFill/>
                      <a:headEnd/>
                      <a:tailEnd/>
                    </a:ln>
                  </pic:spPr>
                </pic:pic>
              </a:graphicData>
            </a:graphic>
          </wp:inline>
        </w:drawing>
      </w:r>
    </w:p>
    <w:p>
      <w:pPr>
        <w:pStyle w:val="ImageCaption"/>
      </w:pPr>
      <w:r>
        <w:t xml:space="preserve">Overview of all normalized intensity profiles along sections through the soma</w:t>
      </w:r>
    </w:p>
    <w:p>
      <w:pPr>
        <w:pStyle w:val="Textkrper"/>
      </w:pPr>
      <w:r>
        <w:t xml:space="preserve">We can see, that some curves consist of very few data points, because the soma is only a thin edge around the nucleus in some regions. Other sections span across wider sections of soma. Overal there seems to be no particular difference between line 1 (sections across widest area of the soma) and lines 2 and 3 (sections across other parts of the soma).</w:t>
      </w:r>
    </w:p>
    <w:p>
      <w:pPr>
        <w:pStyle w:val="CaptionedFigure"/>
      </w:pPr>
      <w:r>
        <w:drawing>
          <wp:inline>
            <wp:extent cx="5969000" cy="3581400"/>
            <wp:effectExtent b="0" l="0" r="0" t="0"/>
            <wp:docPr descr="Normalized intensity profiles along sections through the soma - all three sections averaged" title="" id="37" name="Picture"/>
            <a:graphic>
              <a:graphicData uri="http://schemas.openxmlformats.org/drawingml/2006/picture">
                <pic:pic>
                  <pic:nvPicPr>
                    <pic:cNvPr descr="mitochondria_alcohol_status_report_files/figure-docx/plot_all_lines-1.png" id="38" name="Picture"/>
                    <pic:cNvPicPr>
                      <a:picLocks noChangeArrowheads="1" noChangeAspect="1"/>
                    </pic:cNvPicPr>
                  </pic:nvPicPr>
                  <pic:blipFill>
                    <a:blip r:embed="rId36"/>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Normalized intensity profiles along sections through the soma - all three sections averaged</w:t>
      </w:r>
    </w:p>
    <w:p>
      <w:pPr>
        <w:pStyle w:val="Textkrper"/>
      </w:pPr>
      <w:r>
        <w:t xml:space="preserve">When comparing the curves of only the first (longest) sections with the averages of all three sections, we can see that the mitochondria distribution is about the same, but the distribution shape becomes more pronounced with more data, which makes sense. Hence, we’ll be using all three sections for the following analysis steps.</w:t>
      </w:r>
    </w:p>
    <w:bookmarkEnd w:id="39"/>
    <w:bookmarkStart w:id="46" w:name="statistical-comparison"/>
    <w:p>
      <w:pPr>
        <w:pStyle w:val="berschrift3"/>
      </w:pPr>
      <w:r>
        <w:t xml:space="preserve">Statistical comparison</w:t>
      </w:r>
    </w:p>
    <w:p>
      <w:pPr>
        <w:pStyle w:val="FirstParagraph"/>
      </w:pPr>
      <w:r>
        <w:t xml:space="preserve">To compare the different distributions, we divided them up into 10 sections (0-0.1 distance from the nucleus, 0.1-0.2, 0.2-0.3,…). Within each section, values are averaged and statistically compared through anova with Dunnett’s post-hoc corrections (used when comparing multiple treatment conditions to one control).</w:t>
      </w:r>
    </w:p>
    <w:p>
      <w:pPr>
        <w:pStyle w:val="CaptionedFigure"/>
      </w:pPr>
      <w:r>
        <w:drawing>
          <wp:inline>
            <wp:extent cx="5969000" cy="5372100"/>
            <wp:effectExtent b="0" l="0" r="0" t="0"/>
            <wp:docPr descr="Correlation of the different curves" title="" id="41" name="Picture"/>
            <a:graphic>
              <a:graphicData uri="http://schemas.openxmlformats.org/drawingml/2006/picture">
                <pic:pic>
                  <pic:nvPicPr>
                    <pic:cNvPr descr="mitochondria_alcohol_status_report_files/figure-docx/comparison_of_curve_sections-1.png" id="42" name="Picture"/>
                    <pic:cNvPicPr>
                      <a:picLocks noChangeArrowheads="1" noChangeAspect="1"/>
                    </pic:cNvPicPr>
                  </pic:nvPicPr>
                  <pic:blipFill>
                    <a:blip r:embed="rId40"/>
                    <a:stretch>
                      <a:fillRect/>
                    </a:stretch>
                  </pic:blipFill>
                  <pic:spPr bwMode="auto">
                    <a:xfrm>
                      <a:off x="0" y="0"/>
                      <a:ext cx="5969000" cy="5372100"/>
                    </a:xfrm>
                    <a:prstGeom prst="rect">
                      <a:avLst/>
                    </a:prstGeom>
                    <a:noFill/>
                    <a:ln w="9525">
                      <a:noFill/>
                      <a:headEnd/>
                      <a:tailEnd/>
                    </a:ln>
                  </pic:spPr>
                </pic:pic>
              </a:graphicData>
            </a:graphic>
          </wp:inline>
        </w:drawing>
      </w:r>
    </w:p>
    <w:p>
      <w:pPr>
        <w:pStyle w:val="ImageCaption"/>
      </w:pPr>
      <w:r>
        <w:t xml:space="preserve">Correlation of the different curves</w:t>
      </w:r>
    </w:p>
    <w:p>
      <w:pPr>
        <w:pStyle w:val="Textkrper"/>
      </w:pPr>
      <w:r>
        <w:t xml:space="preserve">I then performed statistical comparison between the different tratment groups and controls for each of the 10 distance sections:</w:t>
      </w:r>
    </w:p>
    <w:p>
      <w:pPr>
        <w:pStyle w:val="CaptionedFigure"/>
      </w:pPr>
      <w:r>
        <w:drawing>
          <wp:inline>
            <wp:extent cx="5969000" cy="8426823"/>
            <wp:effectExtent b="0" l="0" r="0" t="0"/>
            <wp:docPr descr="Statistical comparison of different conditions for each section" title="" id="44" name="Picture"/>
            <a:graphic>
              <a:graphicData uri="http://schemas.openxmlformats.org/drawingml/2006/picture">
                <pic:pic>
                  <pic:nvPicPr>
                    <pic:cNvPr descr="mitochondria_alcohol_status_report_files/figure-docx/separate_section_plots_stats-1.png" id="45" name="Picture"/>
                    <pic:cNvPicPr>
                      <a:picLocks noChangeArrowheads="1" noChangeAspect="1"/>
                    </pic:cNvPicPr>
                  </pic:nvPicPr>
                  <pic:blipFill>
                    <a:blip r:embed="rId43"/>
                    <a:stretch>
                      <a:fillRect/>
                    </a:stretch>
                  </pic:blipFill>
                  <pic:spPr bwMode="auto">
                    <a:xfrm>
                      <a:off x="0" y="0"/>
                      <a:ext cx="5969000" cy="8426823"/>
                    </a:xfrm>
                    <a:prstGeom prst="rect">
                      <a:avLst/>
                    </a:prstGeom>
                    <a:noFill/>
                    <a:ln w="9525">
                      <a:noFill/>
                      <a:headEnd/>
                      <a:tailEnd/>
                    </a:ln>
                  </pic:spPr>
                </pic:pic>
              </a:graphicData>
            </a:graphic>
          </wp:inline>
        </w:drawing>
      </w:r>
    </w:p>
    <w:p>
      <w:pPr>
        <w:pStyle w:val="ImageCaption"/>
      </w:pPr>
      <w:r>
        <w:t xml:space="preserve">Statistical comparison of different conditions for each section</w:t>
      </w:r>
    </w:p>
    <w:p>
      <w:pPr>
        <w:pStyle w:val="Textkrper"/>
      </w:pPr>
      <w:r>
        <w:t xml:space="preserve">Note that for a quick first overview, all conditions are compared to</w:t>
      </w:r>
      <w:r>
        <w:t xml:space="preserve"> </w:t>
      </w:r>
      <w:r>
        <w:t xml:space="preserve">“</w:t>
      </w:r>
      <w:r>
        <w:t xml:space="preserve">Control 14 days</w:t>
      </w:r>
      <w:r>
        <w:t xml:space="preserve">”</w:t>
      </w:r>
      <w:r>
        <w:t xml:space="preserve"> </w:t>
      </w:r>
      <w:r>
        <w:t xml:space="preserve">which is not entirely correct.</w:t>
      </w:r>
      <w:r>
        <w:t xml:space="preserve"> </w:t>
      </w:r>
      <w:r>
        <w:t xml:space="preserve">Also, in section 9 there seems to be a statistically significant difference between</w:t>
      </w:r>
      <w:r>
        <w:t xml:space="preserve"> </w:t>
      </w:r>
      <w:r>
        <w:t xml:space="preserve">“</w:t>
      </w:r>
      <w:r>
        <w:t xml:space="preserve">Control 14 days</w:t>
      </w:r>
      <w:r>
        <w:t xml:space="preserve">”</w:t>
      </w:r>
      <w:r>
        <w:t xml:space="preserve"> </w:t>
      </w:r>
      <w:r>
        <w:t xml:space="preserve">and</w:t>
      </w:r>
      <w:r>
        <w:t xml:space="preserve"> </w:t>
      </w:r>
      <w:r>
        <w:t xml:space="preserve">“</w:t>
      </w:r>
      <w:r>
        <w:t xml:space="preserve">Control 7 days</w:t>
      </w:r>
      <w:r>
        <w:t xml:space="preserve">”</w:t>
      </w:r>
      <w:r>
        <w:t xml:space="preserve">, which are both just untreated cultures. This might indicate that we need more data, to have sound statistical testing results.</w:t>
      </w:r>
    </w:p>
    <w:bookmarkEnd w:id="46"/>
    <w:bookmarkEnd w:id="47"/>
    <w:bookmarkStart w:id="56" w:name="current-results"/>
    <w:p>
      <w:pPr>
        <w:pStyle w:val="berschrift2"/>
      </w:pPr>
      <w:r>
        <w:t xml:space="preserve">Current results</w:t>
      </w:r>
    </w:p>
    <w:bookmarkStart w:id="51" w:name="X93b4b2936fe9c5cbc52d727f1584104ea5d2d6c"/>
    <w:p>
      <w:pPr>
        <w:pStyle w:val="berschrift3"/>
      </w:pPr>
      <w:r>
        <w:t xml:space="preserve">In Activin treated cultures, the overall mitochondria population is decreased:</w:t>
      </w:r>
    </w:p>
    <w:p>
      <w:pPr>
        <w:pStyle w:val="CaptionedFigure"/>
      </w:pPr>
      <w:r>
        <w:drawing>
          <wp:inline>
            <wp:extent cx="5969000" cy="4178300"/>
            <wp:effectExtent b="0" l="0" r="0" t="0"/>
            <wp:docPr descr="Reduced mitochondria population in the soma of Activin A treated cultures" title="" id="49" name="Picture"/>
            <a:graphic>
              <a:graphicData uri="http://schemas.openxmlformats.org/drawingml/2006/picture">
                <pic:pic>
                  <pic:nvPicPr>
                    <pic:cNvPr descr="mitochondria_alcohol_status_report_files/figure-docx/reduced_mito_in_activin-1.png" id="50" name="Picture"/>
                    <pic:cNvPicPr>
                      <a:picLocks noChangeArrowheads="1" noChangeAspect="1"/>
                    </pic:cNvPicPr>
                  </pic:nvPicPr>
                  <pic:blipFill>
                    <a:blip r:embed="rId48"/>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Reduced mitochondria population in the soma of Activin A treated cultures</w:t>
      </w:r>
    </w:p>
    <w:p>
      <w:pPr>
        <w:pStyle w:val="Textkrper"/>
      </w:pPr>
      <w:r>
        <w:t xml:space="preserve">Cultures treated with Activin A for 2 days and for 14 days have decreased overall population of mitochondria in the soma. The effect seems smaller around the nucleus (distance 1-5) and more pronounced towards the outskrits of the soma (distance 5-10).</w:t>
      </w:r>
    </w:p>
    <w:bookmarkEnd w:id="51"/>
    <w:bookmarkStart w:id="55" w:name="X826207b617a495821db7f9506b75f41831117b9"/>
    <w:p>
      <w:pPr>
        <w:pStyle w:val="berschrift3"/>
      </w:pPr>
      <w:r>
        <w:t xml:space="preserve">Follistatin does not affect somatic mitochondrial population of neurons</w:t>
      </w:r>
    </w:p>
    <w:p>
      <w:pPr>
        <w:pStyle w:val="CaptionedFigure"/>
      </w:pPr>
      <w:r>
        <w:drawing>
          <wp:inline>
            <wp:extent cx="5969000" cy="4178300"/>
            <wp:effectExtent b="0" l="0" r="0" t="0"/>
            <wp:docPr descr="Maintained mitochondria population in the soma of Follistatin treated cultures" title="" id="53" name="Picture"/>
            <a:graphic>
              <a:graphicData uri="http://schemas.openxmlformats.org/drawingml/2006/picture">
                <pic:pic>
                  <pic:nvPicPr>
                    <pic:cNvPr descr="mitochondria_alcohol_status_report_files/figure-docx/increased_mito_in_follistatin-1.png" id="54" name="Picture"/>
                    <pic:cNvPicPr>
                      <a:picLocks noChangeArrowheads="1" noChangeAspect="1"/>
                    </pic:cNvPicPr>
                  </pic:nvPicPr>
                  <pic:blipFill>
                    <a:blip r:embed="rId52"/>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Maintained mitochondria population in the soma of Follistatin treated cultures</w:t>
      </w:r>
    </w:p>
    <w:bookmarkEnd w:id="55"/>
    <w:bookmarkEnd w:id="56"/>
    <w:bookmarkStart w:id="57" w:name="next-steps"/>
    <w:p>
      <w:pPr>
        <w:pStyle w:val="berschrift2"/>
      </w:pPr>
      <w:r>
        <w:t xml:space="preserve">Next steps</w:t>
      </w:r>
    </w:p>
    <w:p>
      <w:pPr>
        <w:numPr>
          <w:ilvl w:val="0"/>
          <w:numId w:val="1001"/>
        </w:numPr>
      </w:pPr>
      <w:r>
        <w:t xml:space="preserve">Imaging of all remaining samples (currently about 50% imaged and about 30% are analyzed)</w:t>
      </w:r>
    </w:p>
    <w:p>
      <w:pPr>
        <w:numPr>
          <w:ilvl w:val="0"/>
          <w:numId w:val="1001"/>
        </w:numPr>
      </w:pPr>
      <w:r>
        <w:t xml:space="preserve">Treatment and staining of alcohol conditions</w:t>
      </w:r>
    </w:p>
    <w:p>
      <w:pPr>
        <w:numPr>
          <w:ilvl w:val="0"/>
          <w:numId w:val="1001"/>
        </w:numPr>
      </w:pPr>
      <w:r>
        <w:t xml:space="preserve">More detailed statistical analysis</w:t>
      </w:r>
    </w:p>
    <w:bookmarkEnd w:id="57"/>
    <w:bookmarkStart w:id="61" w:name="references"/>
    <w:p>
      <w:pPr>
        <w:pStyle w:val="berschrift2"/>
      </w:pPr>
      <w:r>
        <w:t xml:space="preserve">References</w:t>
      </w:r>
    </w:p>
    <w:bookmarkStart w:id="60" w:name="refs"/>
    <w:bookmarkStart w:id="59" w:name="X4175f2d6a880cff244f25bc9442830b9798b728"/>
    <w:p>
      <w:pPr>
        <w:pStyle w:val="Literaturverzeichnis"/>
      </w:pPr>
      <w:r>
        <w:t xml:space="preserve">[1]</w:t>
      </w:r>
      <w:r>
        <w:t xml:space="preserve"> </w:t>
      </w:r>
      <w:r>
        <w:t xml:space="preserve">	</w:t>
      </w:r>
      <w:r>
        <w:t xml:space="preserve">Cangkrama M, Liu H, Whipman J, Zubair M, Matsushita M, Di Filippo M, et al. A</w:t>
      </w:r>
      <w:r>
        <w:t xml:space="preserve"> </w:t>
      </w:r>
      <w:r>
        <w:t xml:space="preserve">Protumorigenic mDia2-MIRO1 Axis Controls Mitochondrial Positioning</w:t>
      </w:r>
      <w:r>
        <w:t xml:space="preserve"> </w:t>
      </w:r>
      <w:r>
        <w:t xml:space="preserve">and</w:t>
      </w:r>
      <w:r>
        <w:t xml:space="preserve"> </w:t>
      </w:r>
      <w:r>
        <w:t xml:space="preserve">Function</w:t>
      </w:r>
      <w:r>
        <w:t xml:space="preserve"> </w:t>
      </w:r>
      <w:r>
        <w:t xml:space="preserve">in</w:t>
      </w:r>
      <w:r>
        <w:t xml:space="preserve"> </w:t>
      </w:r>
      <w:r>
        <w:t xml:space="preserve">Cancer-Associated Fibroblasts</w:t>
      </w:r>
      <w:r>
        <w:t xml:space="preserve">. Cancer Res 2022;82:3701–17.</w:t>
      </w:r>
      <w:r>
        <w:t xml:space="preserve"> </w:t>
      </w:r>
      <w:hyperlink r:id="rId58">
        <w:r>
          <w:rPr>
            <w:rStyle w:val="Hyperlink"/>
          </w:rPr>
          <w:t xml:space="preserve">https://doi.org/10.1158/0008-5472.CAN-22-0162</w:t>
        </w:r>
      </w:hyperlink>
      <w:r>
        <w:t xml:space="preserve">.</w:t>
      </w:r>
    </w:p>
    <w:bookmarkEnd w:id="59"/>
    <w:bookmarkEnd w:id="60"/>
    <w:bookmarkEnd w:id="61"/>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AvenirNext LT Pro Regular">
    <w:altName w:val="Calibri"/>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A99411"/>
    <w:multiLevelType w:val="multilevel"/>
    <w:tmpl w:val="425AC5C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16cid:durableId="48961354"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4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C545D"/>
    <w:rPr>
      <w:rFonts w:ascii="Avenir Next LT Pro" w:hAnsi="Avenir Next LT Pro"/>
    </w:rPr>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link w:val="berschrift2Zchn"/>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 w:customStyle="1" w:styleId="berschrift2Zchn" w:type="character">
    <w:name w:val="Überschrift 2 Zchn"/>
    <w:basedOn w:val="Absatz-Standardschriftart"/>
    <w:link w:val="berschrift2"/>
    <w:uiPriority w:val="9"/>
    <w:rsid w:val="00EA2BB5"/>
    <w:rPr>
      <w:rFonts w:ascii="AvenirNext LT Pro Regular" w:cstheme="majorBidi" w:eastAsiaTheme="majorEastAsia" w:hAnsi="AvenirNext LT Pro Regular"/>
      <w:b/>
      <w:bCs/>
      <w:sz w:val="3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7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58"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397</Words>
  <Characters>2504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Mitochondria distribution along sections through neuronal soma</dc:title>
  <dc:creator>Dr. Jana Dahlmanns</dc:creator>
  <cp:keywords/>
  <dcterms:created xsi:type="dcterms:W3CDTF">2023-04-22T06:40:44Z</dcterms:created>
  <dcterms:modified xsi:type="dcterms:W3CDTF">2023-04-22T06:40:44Z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elsevier-vancouver.csl</vt:lpwstr>
  </property>
  <property fmtid="{D5CDD505-2E9C-101B-9397-08002B2CF9AE}" pid="4" name="date">
    <vt:lpwstr>2023-04-22</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y fmtid="{D5CDD505-2E9C-101B-9397-08002B2CF9AE}" pid="9" name="subtitle">
    <vt:lpwstr>Status report</vt:lpwstr>
  </property>
</Properties>
</file>