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44.png" ContentType="image/png"/>
  <Override PartName="/word/media/rId48.png" ContentType="image/png"/>
  <Override PartName="/word/media/rId51.png" ContentType="image/png"/>
  <Override PartName="/word/media/rId37.png" ContentType="image/png"/>
  <Override PartName="/word/media/rId31.png" ContentType="image/png"/>
  <Override PartName="/word/media/rId34.png" ContentType="image/png"/>
  <Override PartName="/word/media/rId54.png" ContentType="image/png"/>
  <Override PartName="/word/media/rId24.png" ContentType="image/png"/>
  <Override PartName="/word/media/rId21.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Analysis</w:t>
      </w:r>
      <w:r>
        <w:t xml:space="preserve"> </w:t>
      </w:r>
      <w:r>
        <w:t xml:space="preserve">Mitochondria</w:t>
      </w:r>
      <w:r>
        <w:t xml:space="preserve"> </w:t>
      </w:r>
      <w:r>
        <w:t xml:space="preserve">distribution</w:t>
      </w:r>
      <w:r>
        <w:t xml:space="preserve"> </w:t>
      </w:r>
      <w:r>
        <w:t xml:space="preserve">along</w:t>
      </w:r>
      <w:r>
        <w:t xml:space="preserve"> </w:t>
      </w:r>
      <w:r>
        <w:t xml:space="preserve">sections</w:t>
      </w:r>
      <w:r>
        <w:t xml:space="preserve"> </w:t>
      </w:r>
      <w:r>
        <w:t xml:space="preserve">through</w:t>
      </w:r>
      <w:r>
        <w:t xml:space="preserve"> </w:t>
      </w:r>
      <w:r>
        <w:t xml:space="preserve">neuronal</w:t>
      </w:r>
      <w:r>
        <w:t xml:space="preserve"> </w:t>
      </w:r>
      <w:r>
        <w:t xml:space="preserve">soma</w:t>
      </w:r>
    </w:p>
    <w:p>
      <w:pPr>
        <w:pStyle w:val="Author"/>
      </w:pPr>
      <w:r>
        <w:t xml:space="preserve">Dr. Jana</w:t>
      </w:r>
      <w:r>
        <w:t xml:space="preserve"> </w:t>
      </w:r>
      <w:r>
        <w:t xml:space="preserve">Dahlmanns</w:t>
      </w:r>
    </w:p>
    <w:p>
      <w:pPr>
        <w:pStyle w:val="Datum"/>
      </w:pPr>
      <w:r>
        <w:t xml:space="preserve">2023-04-19</w:t>
      </w:r>
    </w:p>
    <w:bookmarkStart w:id="28" w:name="introduction"/>
    <w:p>
      <w:pPr>
        <w:pStyle w:val="berschrift2"/>
      </w:pPr>
      <w:r>
        <w:t xml:space="preserve">Introduction</w:t>
      </w:r>
    </w:p>
    <w:p>
      <w:pPr>
        <w:pStyle w:val="FirstParagraph"/>
      </w:pPr>
      <w:r>
        <w:t xml:space="preserve">We analyzed the distribution of mitochondria in the soma of neurons. We used dissociated neuronal cultures that were treated under different conditions prior to fixation, staining and imaging (</w:t>
      </w:r>
      <w:hyperlink r:id="rId20">
        <w:r>
          <w:rPr>
            <w:rStyle w:val="Hyperlink"/>
          </w:rPr>
          <w:t xml:space="preserve">staining protocol</w:t>
        </w:r>
      </w:hyperlink>
      <w:r>
        <w:t xml:space="preserve">).</w:t>
      </w:r>
    </w:p>
    <w:bookmarkStart w:id="27" w:name="the-images"/>
    <w:p>
      <w:pPr>
        <w:pStyle w:val="berschrift3"/>
      </w:pPr>
      <w:r>
        <w:t xml:space="preserve">The images</w:t>
      </w:r>
    </w:p>
    <w:p>
      <w:pPr>
        <w:pStyle w:val="FirstParagraph"/>
      </w:pPr>
      <w:r>
        <w:t xml:space="preserve">The cultures contained a natural mix of hippocampal cell types. Neurons were chosen for imaging based on general cell morphology. Here is an overview of all imaged cells.</w:t>
      </w:r>
    </w:p>
    <w:p>
      <w:pPr>
        <w:pStyle w:val="CaptionedFigure"/>
      </w:pPr>
      <w:r>
        <w:drawing>
          <wp:inline>
            <wp:extent cx="5969000" cy="5969000"/>
            <wp:effectExtent b="0" l="0" r="0" t="0"/>
            <wp:docPr descr="Thumbnails of all analyzed images" title="" id="22" name="Picture"/>
            <a:graphic>
              <a:graphicData uri="http://schemas.openxmlformats.org/drawingml/2006/picture">
                <pic:pic>
                  <pic:nvPicPr>
                    <pic:cNvPr descr="results_report_mitochondria_alcohol_mitosections_files/figure-docx/show_thumbnails-1.png" id="23" name="Picture"/>
                    <pic:cNvPicPr>
                      <a:picLocks noChangeArrowheads="1" noChangeAspect="1"/>
                    </pic:cNvPicPr>
                  </pic:nvPicPr>
                  <pic:blipFill>
                    <a:blip r:embed="rId21"/>
                    <a:stretch>
                      <a:fillRect/>
                    </a:stretch>
                  </pic:blipFill>
                  <pic:spPr bwMode="auto">
                    <a:xfrm>
                      <a:off x="0" y="0"/>
                      <a:ext cx="5969000" cy="5969000"/>
                    </a:xfrm>
                    <a:prstGeom prst="rect">
                      <a:avLst/>
                    </a:prstGeom>
                    <a:noFill/>
                    <a:ln w="9525">
                      <a:noFill/>
                      <a:headEnd/>
                      <a:tailEnd/>
                    </a:ln>
                  </pic:spPr>
                </pic:pic>
              </a:graphicData>
            </a:graphic>
          </wp:inline>
        </w:drawing>
      </w:r>
    </w:p>
    <w:p>
      <w:pPr>
        <w:pStyle w:val="ImageCaption"/>
      </w:pPr>
      <w:r>
        <w:t xml:space="preserve">Thumbnails of all analyzed images</w:t>
      </w:r>
    </w:p>
    <w:p>
      <w:pPr>
        <w:pStyle w:val="Textkrper"/>
      </w:pPr>
      <w:r>
        <w:t xml:space="preserve">The analyzed images contained three color channels: The cells were stained with Mito-Tracker Green to capture mitochondria locations in the green channel, with Phallodin-Red to capture actin cytoskeleton in the red channel, and (some of the samples) with DAPI to capture DNA / nucleus location in the blue channel.</w:t>
      </w:r>
      <w:r>
        <w:t xml:space="preserve"> </w:t>
      </w:r>
    </w:p>
    <w:p>
      <w:pPr>
        <w:pStyle w:val="CaptionedFigure"/>
      </w:pPr>
      <w:r>
        <w:drawing>
          <wp:inline>
            <wp:extent cx="5969000" cy="5969000"/>
            <wp:effectExtent b="0" l="0" r="0" t="0"/>
            <wp:docPr descr="Exemplary image, separated into color channels and merge" title="" id="25" name="Picture"/>
            <a:graphic>
              <a:graphicData uri="http://schemas.openxmlformats.org/drawingml/2006/picture">
                <pic:pic>
                  <pic:nvPicPr>
                    <pic:cNvPr descr="results_report_mitochondria_alcohol_mitosections_files/figure-docx/show_original_image-1.png" id="26" name="Picture"/>
                    <pic:cNvPicPr>
                      <a:picLocks noChangeArrowheads="1" noChangeAspect="1"/>
                    </pic:cNvPicPr>
                  </pic:nvPicPr>
                  <pic:blipFill>
                    <a:blip r:embed="rId24"/>
                    <a:stretch>
                      <a:fillRect/>
                    </a:stretch>
                  </pic:blipFill>
                  <pic:spPr bwMode="auto">
                    <a:xfrm>
                      <a:off x="0" y="0"/>
                      <a:ext cx="5969000" cy="5969000"/>
                    </a:xfrm>
                    <a:prstGeom prst="rect">
                      <a:avLst/>
                    </a:prstGeom>
                    <a:noFill/>
                    <a:ln w="9525">
                      <a:noFill/>
                      <a:headEnd/>
                      <a:tailEnd/>
                    </a:ln>
                  </pic:spPr>
                </pic:pic>
              </a:graphicData>
            </a:graphic>
          </wp:inline>
        </w:drawing>
      </w:r>
    </w:p>
    <w:p>
      <w:pPr>
        <w:pStyle w:val="ImageCaption"/>
      </w:pPr>
      <w:r>
        <w:t xml:space="preserve">Exemplary image, separated into color channels and merge</w:t>
      </w:r>
    </w:p>
    <w:bookmarkEnd w:id="27"/>
    <w:bookmarkEnd w:id="28"/>
    <w:bookmarkStart w:id="29" w:name="sample-sizes"/>
    <w:p>
      <w:pPr>
        <w:pStyle w:val="berschrift2"/>
      </w:pPr>
      <w:r>
        <w:t xml:space="preserve">Sample sizes</w:t>
      </w:r>
    </w:p>
    <w:p>
      <w:pPr>
        <w:pStyle w:val="FirstParagraph"/>
      </w:pPr>
      <w:r>
        <w:t xml:space="preserve">The number of analyzed images is currently 46 and is divided into different experimental conditions as follows:</w:t>
      </w:r>
    </w:p>
    <w:tbl>
      <w:tblPr>
        <w:tblStyle w:val="Table"/>
        <w:tblW w:type="pct" w:w="2153"/>
        <w:tblLook w:firstRow="1" w:lastRow="0" w:firstColumn="0" w:lastColumn="0" w:noHBand="0" w:noVBand="0" w:val="0020"/>
      </w:tblPr>
      <w:tblGrid>
        <w:gridCol w:w="2860"/>
        <w:gridCol w:w="550"/>
      </w:tblGrid>
      <w:tr>
        <w:trPr>
          <w:tblHeader w:val="true"/>
        </w:trPr>
        <w:tc>
          <w:tcPr/>
          <w:p>
            <w:pPr>
              <w:pStyle w:val="Compact"/>
              <w:jc w:val="center"/>
            </w:pPr>
            <w:r>
              <w:t xml:space="preserve">condition</w:t>
            </w:r>
          </w:p>
        </w:tc>
        <w:tc>
          <w:tcPr/>
          <w:p>
            <w:pPr>
              <w:pStyle w:val="Compact"/>
              <w:jc w:val="center"/>
            </w:pPr>
            <w:r>
              <w:t xml:space="preserve">n</w:t>
            </w:r>
          </w:p>
        </w:tc>
      </w:tr>
      <w:tr>
        <w:tc>
          <w:tcPr/>
          <w:p>
            <w:pPr>
              <w:pStyle w:val="Compact"/>
              <w:jc w:val="center"/>
            </w:pPr>
            <w:r>
              <w:t xml:space="preserve">Activin 50ng/ml 14days</w:t>
            </w:r>
          </w:p>
        </w:tc>
        <w:tc>
          <w:tcPr/>
          <w:p>
            <w:pPr>
              <w:pStyle w:val="Compact"/>
              <w:jc w:val="center"/>
            </w:pPr>
            <w:r>
              <w:t xml:space="preserve">5</w:t>
            </w:r>
          </w:p>
        </w:tc>
      </w:tr>
      <w:tr>
        <w:tc>
          <w:tcPr/>
          <w:p>
            <w:pPr>
              <w:pStyle w:val="Compact"/>
              <w:jc w:val="center"/>
            </w:pPr>
            <w:r>
              <w:t xml:space="preserve">Activin 50ng/ml 2days</w:t>
            </w:r>
          </w:p>
        </w:tc>
        <w:tc>
          <w:tcPr/>
          <w:p>
            <w:pPr>
              <w:pStyle w:val="Compact"/>
              <w:jc w:val="center"/>
            </w:pPr>
            <w:r>
              <w:t xml:space="preserve">5</w:t>
            </w:r>
          </w:p>
        </w:tc>
      </w:tr>
      <w:tr>
        <w:tc>
          <w:tcPr/>
          <w:p>
            <w:pPr>
              <w:pStyle w:val="Compact"/>
              <w:jc w:val="center"/>
            </w:pPr>
            <w:r>
              <w:t xml:space="preserve">Control 14days</w:t>
            </w:r>
          </w:p>
        </w:tc>
        <w:tc>
          <w:tcPr/>
          <w:p>
            <w:pPr>
              <w:pStyle w:val="Compact"/>
              <w:jc w:val="center"/>
            </w:pPr>
            <w:r>
              <w:t xml:space="preserve">9</w:t>
            </w:r>
          </w:p>
        </w:tc>
      </w:tr>
      <w:tr>
        <w:tc>
          <w:tcPr/>
          <w:p>
            <w:pPr>
              <w:pStyle w:val="Compact"/>
              <w:jc w:val="center"/>
            </w:pPr>
            <w:r>
              <w:t xml:space="preserve">Control 7days</w:t>
            </w:r>
          </w:p>
        </w:tc>
        <w:tc>
          <w:tcPr/>
          <w:p>
            <w:pPr>
              <w:pStyle w:val="Compact"/>
              <w:jc w:val="center"/>
            </w:pPr>
            <w:r>
              <w:t xml:space="preserve">10</w:t>
            </w:r>
          </w:p>
        </w:tc>
      </w:tr>
      <w:tr>
        <w:tc>
          <w:tcPr/>
          <w:p>
            <w:pPr>
              <w:pStyle w:val="Compact"/>
              <w:jc w:val="center"/>
            </w:pPr>
            <w:r>
              <w:t xml:space="preserve">Follistatin 50ng/ml 14d</w:t>
            </w:r>
          </w:p>
        </w:tc>
        <w:tc>
          <w:tcPr/>
          <w:p>
            <w:pPr>
              <w:pStyle w:val="Compact"/>
              <w:jc w:val="center"/>
            </w:pPr>
            <w:r>
              <w:t xml:space="preserve">2</w:t>
            </w:r>
          </w:p>
        </w:tc>
      </w:tr>
      <w:tr>
        <w:tc>
          <w:tcPr/>
          <w:p>
            <w:pPr>
              <w:pStyle w:val="Compact"/>
              <w:jc w:val="center"/>
            </w:pPr>
            <w:r>
              <w:t xml:space="preserve">Follistatin 50ng/ml 7d</w:t>
            </w:r>
          </w:p>
        </w:tc>
        <w:tc>
          <w:tcPr/>
          <w:p>
            <w:pPr>
              <w:pStyle w:val="Compact"/>
              <w:jc w:val="center"/>
            </w:pPr>
            <w:r>
              <w:t xml:space="preserve">11</w:t>
            </w:r>
          </w:p>
        </w:tc>
      </w:tr>
      <w:tr>
        <w:tc>
          <w:tcPr/>
          <w:p>
            <w:pPr>
              <w:pStyle w:val="Compact"/>
              <w:jc w:val="center"/>
            </w:pPr>
            <w:r>
              <w:t xml:space="preserve">SMIFH2 10µM 14d</w:t>
            </w:r>
          </w:p>
        </w:tc>
        <w:tc>
          <w:tcPr/>
          <w:p>
            <w:pPr>
              <w:pStyle w:val="Compact"/>
              <w:jc w:val="center"/>
            </w:pPr>
            <w:r>
              <w:t xml:space="preserve">4</w:t>
            </w:r>
          </w:p>
        </w:tc>
      </w:tr>
    </w:tbl>
    <w:bookmarkEnd w:id="29"/>
    <w:bookmarkStart w:id="30" w:name="analysis-steps"/>
    <w:p>
      <w:pPr>
        <w:pStyle w:val="berschrift2"/>
      </w:pPr>
      <w:r>
        <w:t xml:space="preserve">Analysis steps</w:t>
      </w:r>
    </w:p>
    <w:p>
      <w:pPr>
        <w:pStyle w:val="FirstParagraph"/>
      </w:pPr>
      <w:r>
        <w:t xml:space="preserve">A user blinded to the experimental condition marked a starting point at the nuclear envelope and an endpoint at the somatic cell membrane. We then analyzed the green fluorescence intensity distribution along the connecting line as a marker for the distribution of mitochondria.</w:t>
      </w:r>
    </w:p>
    <w:bookmarkEnd w:id="30"/>
    <w:bookmarkStart w:id="40" w:name="intensity-profiles"/>
    <w:p>
      <w:pPr>
        <w:pStyle w:val="berschrift2"/>
      </w:pPr>
      <w:r>
        <w:t xml:space="preserve">Intensity profiles</w:t>
      </w:r>
    </w:p>
    <w:p>
      <w:pPr>
        <w:pStyle w:val="FirstParagraph"/>
      </w:pPr>
      <w:r>
        <w:t xml:space="preserve">In the original paper with this method</w:t>
      </w:r>
      <w:r>
        <w:t xml:space="preserve"> </w:t>
      </w:r>
      <w:r>
        <w:t xml:space="preserve">[1]</w:t>
      </w:r>
      <w:r>
        <w:t xml:space="preserve">, the authors normalized fluorescence intensities on the maximum intensity pixel of the given image. In my opinion, this is not the best solution, as there may be differences in the absolute fluorescence emission that stem from controllable sources (different fluorescence excitation intensity, different reaction times during staining) or uncontrollable sources (fluorophores not as efficient anymore due to light exposure during previous sample preparation, maybe even different fluorophore binding efficiency in different treatment conditions, imaging artefacts with unspecifically bound or unwashed fluorophores). I therefore normalized the fluorescence intensity values to the average of the 3 highest values of each cell’s profiles - which is a method not as vulnerable to the described error sources.</w:t>
      </w:r>
    </w:p>
    <w:p>
      <w:pPr>
        <w:pStyle w:val="Textkrper"/>
      </w:pPr>
      <w:r>
        <w:t xml:space="preserve">Originally</w:t>
      </w:r>
      <w:r>
        <w:t xml:space="preserve"> </w:t>
      </w:r>
      <w:r>
        <w:t xml:space="preserve">[1]</w:t>
      </w:r>
      <w:r>
        <w:t xml:space="preserve">, one line was drawn per cell at the position of maximum soma extension from the nucleus. In neurons the overall somatic area outside of the nucleus is much less than in Cangkrama et al.’s cell type and neurons differ in shape from an even, round shape. We thus drew three different sections through the soma. The first in the direction of maximum soma extension (just as the original paper), the other two about 45 degrees clockwise and 45 degrees counterclockwise to the first line.</w:t>
      </w:r>
    </w:p>
    <w:p>
      <w:pPr>
        <w:pStyle w:val="Textkrper"/>
      </w:pPr>
      <w:r>
        <w:t xml:space="preserve">For comparability with the previous study, I plotted here the results, using the first (maximum length) somatic profiles only.</w:t>
      </w:r>
    </w:p>
    <w:p>
      <w:pPr>
        <w:pStyle w:val="CaptionedFigure"/>
      </w:pPr>
      <w:r>
        <w:drawing>
          <wp:inline>
            <wp:extent cx="5969000" cy="4178300"/>
            <wp:effectExtent b="0" l="0" r="0" t="0"/>
            <wp:docPr descr="Normliazed intensity profiles along first sections through the soma" title="" id="32" name="Picture"/>
            <a:graphic>
              <a:graphicData uri="http://schemas.openxmlformats.org/drawingml/2006/picture">
                <pic:pic>
                  <pic:nvPicPr>
                    <pic:cNvPr descr="results_report_mitochondria_alcohol_mitosections_files/figure-docx/plot_line1-1.png" id="33" name="Picture"/>
                    <pic:cNvPicPr>
                      <a:picLocks noChangeArrowheads="1" noChangeAspect="1"/>
                    </pic:cNvPicPr>
                  </pic:nvPicPr>
                  <pic:blipFill>
                    <a:blip r:embed="rId31"/>
                    <a:stretch>
                      <a:fillRect/>
                    </a:stretch>
                  </pic:blipFill>
                  <pic:spPr bwMode="auto">
                    <a:xfrm>
                      <a:off x="0" y="0"/>
                      <a:ext cx="5969000" cy="4178300"/>
                    </a:xfrm>
                    <a:prstGeom prst="rect">
                      <a:avLst/>
                    </a:prstGeom>
                    <a:noFill/>
                    <a:ln w="9525">
                      <a:noFill/>
                      <a:headEnd/>
                      <a:tailEnd/>
                    </a:ln>
                  </pic:spPr>
                </pic:pic>
              </a:graphicData>
            </a:graphic>
          </wp:inline>
        </w:drawing>
      </w:r>
    </w:p>
    <w:p>
      <w:pPr>
        <w:pStyle w:val="ImageCaption"/>
      </w:pPr>
      <w:r>
        <w:t xml:space="preserve">Normliazed intensity profiles along first sections through the soma</w:t>
      </w:r>
    </w:p>
    <w:p>
      <w:pPr>
        <w:pStyle w:val="Textkrper"/>
      </w:pPr>
      <w:r>
        <w:t xml:space="preserve">For the mentioned reasons, it is sensible to use several different sections in neurons to compensate for the uneven neuronal soma shape:</w:t>
      </w:r>
    </w:p>
    <w:p>
      <w:pPr>
        <w:pStyle w:val="CaptionedFigure"/>
      </w:pPr>
      <w:r>
        <w:drawing>
          <wp:inline>
            <wp:extent cx="5969000" cy="4178300"/>
            <wp:effectExtent b="0" l="0" r="0" t="0"/>
            <wp:docPr descr="Normalized intensity profiles along sections through the soma" title="" id="35" name="Picture"/>
            <a:graphic>
              <a:graphicData uri="http://schemas.openxmlformats.org/drawingml/2006/picture">
                <pic:pic>
                  <pic:nvPicPr>
                    <pic:cNvPr descr="results_report_mitochondria_alcohol_mitosections_files/figure-docx/plot_lines_separately-1.png" id="36" name="Picture"/>
                    <pic:cNvPicPr>
                      <a:picLocks noChangeArrowheads="1" noChangeAspect="1"/>
                    </pic:cNvPicPr>
                  </pic:nvPicPr>
                  <pic:blipFill>
                    <a:blip r:embed="rId34"/>
                    <a:stretch>
                      <a:fillRect/>
                    </a:stretch>
                  </pic:blipFill>
                  <pic:spPr bwMode="auto">
                    <a:xfrm>
                      <a:off x="0" y="0"/>
                      <a:ext cx="5969000" cy="4178300"/>
                    </a:xfrm>
                    <a:prstGeom prst="rect">
                      <a:avLst/>
                    </a:prstGeom>
                    <a:noFill/>
                    <a:ln w="9525">
                      <a:noFill/>
                      <a:headEnd/>
                      <a:tailEnd/>
                    </a:ln>
                  </pic:spPr>
                </pic:pic>
              </a:graphicData>
            </a:graphic>
          </wp:inline>
        </w:drawing>
      </w:r>
    </w:p>
    <w:p>
      <w:pPr>
        <w:pStyle w:val="ImageCaption"/>
      </w:pPr>
      <w:r>
        <w:t xml:space="preserve">Normalized intensity profiles along sections through the soma</w:t>
      </w:r>
    </w:p>
    <w:p>
      <w:pPr>
        <w:pStyle w:val="CaptionedFigure"/>
      </w:pPr>
      <w:r>
        <w:drawing>
          <wp:inline>
            <wp:extent cx="5969000" cy="4178300"/>
            <wp:effectExtent b="0" l="0" r="0" t="0"/>
            <wp:docPr descr="Normalized intensity profiles along sections through the soma" title="" id="38" name="Picture"/>
            <a:graphic>
              <a:graphicData uri="http://schemas.openxmlformats.org/drawingml/2006/picture">
                <pic:pic>
                  <pic:nvPicPr>
                    <pic:cNvPr descr="results_report_mitochondria_alcohol_mitosections_files/figure-docx/plot_all_lines-1.png" id="39" name="Picture"/>
                    <pic:cNvPicPr>
                      <a:picLocks noChangeArrowheads="1" noChangeAspect="1"/>
                    </pic:cNvPicPr>
                  </pic:nvPicPr>
                  <pic:blipFill>
                    <a:blip r:embed="rId37"/>
                    <a:stretch>
                      <a:fillRect/>
                    </a:stretch>
                  </pic:blipFill>
                  <pic:spPr bwMode="auto">
                    <a:xfrm>
                      <a:off x="0" y="0"/>
                      <a:ext cx="5969000" cy="4178300"/>
                    </a:xfrm>
                    <a:prstGeom prst="rect">
                      <a:avLst/>
                    </a:prstGeom>
                    <a:noFill/>
                    <a:ln w="9525">
                      <a:noFill/>
                      <a:headEnd/>
                      <a:tailEnd/>
                    </a:ln>
                  </pic:spPr>
                </pic:pic>
              </a:graphicData>
            </a:graphic>
          </wp:inline>
        </w:drawing>
      </w:r>
    </w:p>
    <w:p>
      <w:pPr>
        <w:pStyle w:val="ImageCaption"/>
      </w:pPr>
      <w:r>
        <w:t xml:space="preserve">Normalized intensity profiles along sections through the soma</w:t>
      </w:r>
    </w:p>
    <w:bookmarkEnd w:id="40"/>
    <w:bookmarkStart w:id="58" w:name="statistical-comparison"/>
    <w:p>
      <w:pPr>
        <w:pStyle w:val="berschrift2"/>
      </w:pPr>
      <w:r>
        <w:t xml:space="preserve">Statistical comparison</w:t>
      </w:r>
    </w:p>
    <w:p>
      <w:pPr>
        <w:pStyle w:val="FirstParagraph"/>
      </w:pPr>
      <w:r>
        <w:t xml:space="preserve">To test, whether the distributions are statistically significantly different, we …?? …</w:t>
      </w:r>
    </w:p>
    <w:bookmarkStart w:id="47" w:name="idea1"/>
    <w:p>
      <w:pPr>
        <w:pStyle w:val="berschrift3"/>
      </w:pPr>
      <w:r>
        <w:t xml:space="preserve">Idea1:</w:t>
      </w:r>
    </w:p>
    <w:p>
      <w:pPr>
        <w:pStyle w:val="FirstParagraph"/>
      </w:pPr>
      <w:r>
        <w:t xml:space="preserve">Fit lowest possible degree polynomial function (3rd degree) and compare coefficients</w:t>
      </w:r>
      <w:r>
        <w:t xml:space="preserve"> </w:t>
      </w:r>
      <w:r>
        <w:drawing>
          <wp:inline>
            <wp:extent cx="5969000" cy="4178300"/>
            <wp:effectExtent b="0" l="0" r="0" t="0"/>
            <wp:docPr descr="Comparison of coefficient of polynomial fit between different experimental conditions. Intensity = poly_int + (poly1 * distance) + (poly2 * distance^2) + (poly3 * distance^3)" title="" id="42" name="Picture"/>
            <a:graphic>
              <a:graphicData uri="http://schemas.openxmlformats.org/drawingml/2006/picture">
                <pic:pic>
                  <pic:nvPicPr>
                    <pic:cNvPr descr="results_report_mitochondria_alcohol_mitosections_files/figure-docx/compare_curves-1.png" id="43" name="Picture"/>
                    <pic:cNvPicPr>
                      <a:picLocks noChangeArrowheads="1" noChangeAspect="1"/>
                    </pic:cNvPicPr>
                  </pic:nvPicPr>
                  <pic:blipFill>
                    <a:blip r:embed="rId41"/>
                    <a:stretch>
                      <a:fillRect/>
                    </a:stretch>
                  </pic:blipFill>
                  <pic:spPr bwMode="auto">
                    <a:xfrm>
                      <a:off x="0" y="0"/>
                      <a:ext cx="5969000" cy="4178300"/>
                    </a:xfrm>
                    <a:prstGeom prst="rect">
                      <a:avLst/>
                    </a:prstGeom>
                    <a:noFill/>
                    <a:ln w="9525">
                      <a:noFill/>
                      <a:headEnd/>
                      <a:tailEnd/>
                    </a:ln>
                  </pic:spPr>
                </pic:pic>
              </a:graphicData>
            </a:graphic>
          </wp:inline>
        </w:drawing>
      </w:r>
    </w:p>
    <w:p>
      <w:pPr>
        <w:pStyle w:val="CaptionedFigure"/>
      </w:pPr>
      <w:r>
        <w:drawing>
          <wp:inline>
            <wp:extent cx="5969000" cy="4178300"/>
            <wp:effectExtent b="0" l="0" r="0" t="0"/>
            <wp:docPr descr="Normalized intensity profiles along sections through the soma with fitted curves" title="" id="45" name="Picture"/>
            <a:graphic>
              <a:graphicData uri="http://schemas.openxmlformats.org/drawingml/2006/picture">
                <pic:pic>
                  <pic:nvPicPr>
                    <pic:cNvPr descr="results_report_mitochondria_alcohol_mitosections_files/figure-docx/compare_poly_coeffs-1.png" id="46" name="Picture"/>
                    <pic:cNvPicPr>
                      <a:picLocks noChangeArrowheads="1" noChangeAspect="1"/>
                    </pic:cNvPicPr>
                  </pic:nvPicPr>
                  <pic:blipFill>
                    <a:blip r:embed="rId44"/>
                    <a:stretch>
                      <a:fillRect/>
                    </a:stretch>
                  </pic:blipFill>
                  <pic:spPr bwMode="auto">
                    <a:xfrm>
                      <a:off x="0" y="0"/>
                      <a:ext cx="5969000" cy="4178300"/>
                    </a:xfrm>
                    <a:prstGeom prst="rect">
                      <a:avLst/>
                    </a:prstGeom>
                    <a:noFill/>
                    <a:ln w="9525">
                      <a:noFill/>
                      <a:headEnd/>
                      <a:tailEnd/>
                    </a:ln>
                  </pic:spPr>
                </pic:pic>
              </a:graphicData>
            </a:graphic>
          </wp:inline>
        </w:drawing>
      </w:r>
    </w:p>
    <w:p>
      <w:pPr>
        <w:pStyle w:val="ImageCaption"/>
      </w:pPr>
      <w:r>
        <w:t xml:space="preserve">Normalized intensity profiles along sections through the soma with fitted curves</w:t>
      </w:r>
    </w:p>
    <w:bookmarkEnd w:id="47"/>
    <w:bookmarkStart w:id="57" w:name="idea2"/>
    <w:p>
      <w:pPr>
        <w:pStyle w:val="berschrift3"/>
      </w:pPr>
      <w:r>
        <w:t xml:space="preserve">Idea2:</w:t>
      </w:r>
    </w:p>
    <w:p>
      <w:pPr>
        <w:pStyle w:val="FirstParagraph"/>
      </w:pPr>
      <w:r>
        <w:t xml:space="preserve">The original paper compared the different distributions by dividing them up into 10 sections (0-0.1 distance from the nucleus, 0.1-0.2, 0.2-0.3,…). Within each section, values are averaged and statistically compared through t-test or anova.</w:t>
      </w:r>
    </w:p>
    <w:p>
      <w:pPr>
        <w:pStyle w:val="Textkrper"/>
      </w:pPr>
      <w:r>
        <w:drawing>
          <wp:inline>
            <wp:extent cx="5969000" cy="4178300"/>
            <wp:effectExtent b="0" l="0" r="0" t="0"/>
            <wp:docPr descr="Correlation of the different curves" title="" id="49" name="Picture"/>
            <a:graphic>
              <a:graphicData uri="http://schemas.openxmlformats.org/drawingml/2006/picture">
                <pic:pic>
                  <pic:nvPicPr>
                    <pic:cNvPr descr="results_report_mitochondria_alcohol_mitosections_files/figure-docx/comparison_of_curve_sections-1.png" id="50" name="Picture"/>
                    <pic:cNvPicPr>
                      <a:picLocks noChangeArrowheads="1" noChangeAspect="1"/>
                    </pic:cNvPicPr>
                  </pic:nvPicPr>
                  <pic:blipFill>
                    <a:blip r:embed="rId48"/>
                    <a:stretch>
                      <a:fillRect/>
                    </a:stretch>
                  </pic:blipFill>
                  <pic:spPr bwMode="auto">
                    <a:xfrm>
                      <a:off x="0" y="0"/>
                      <a:ext cx="5969000" cy="4178300"/>
                    </a:xfrm>
                    <a:prstGeom prst="rect">
                      <a:avLst/>
                    </a:prstGeom>
                    <a:noFill/>
                    <a:ln w="9525">
                      <a:noFill/>
                      <a:headEnd/>
                      <a:tailEnd/>
                    </a:ln>
                  </pic:spPr>
                </pic:pic>
              </a:graphicData>
            </a:graphic>
          </wp:inline>
        </w:drawing>
      </w:r>
      <w:r>
        <w:drawing>
          <wp:inline>
            <wp:extent cx="5969000" cy="4178300"/>
            <wp:effectExtent b="0" l="0" r="0" t="0"/>
            <wp:docPr descr="Correlation of the different curves" title="" id="52" name="Picture"/>
            <a:graphic>
              <a:graphicData uri="http://schemas.openxmlformats.org/drawingml/2006/picture">
                <pic:pic>
                  <pic:nvPicPr>
                    <pic:cNvPr descr="results_report_mitochondria_alcohol_mitosections_files/figure-docx/comparison_of_curve_sections-2.png" id="53" name="Picture"/>
                    <pic:cNvPicPr>
                      <a:picLocks noChangeArrowheads="1" noChangeAspect="1"/>
                    </pic:cNvPicPr>
                  </pic:nvPicPr>
                  <pic:blipFill>
                    <a:blip r:embed="rId51"/>
                    <a:stretch>
                      <a:fillRect/>
                    </a:stretch>
                  </pic:blipFill>
                  <pic:spPr bwMode="auto">
                    <a:xfrm>
                      <a:off x="0" y="0"/>
                      <a:ext cx="5969000" cy="4178300"/>
                    </a:xfrm>
                    <a:prstGeom prst="rect">
                      <a:avLst/>
                    </a:prstGeom>
                    <a:noFill/>
                    <a:ln w="9525">
                      <a:noFill/>
                      <a:headEnd/>
                      <a:tailEnd/>
                    </a:ln>
                  </pic:spPr>
                </pic:pic>
              </a:graphicData>
            </a:graphic>
          </wp:inline>
        </w:drawing>
      </w:r>
      <w:r>
        <w:t xml:space="preserve"> </w:t>
      </w:r>
      <w:r>
        <w:drawing>
          <wp:inline>
            <wp:extent cx="5969000" cy="8426823"/>
            <wp:effectExtent b="0" l="0" r="0" t="0"/>
            <wp:docPr descr="Statistical comparison of different conditions for each section" title="" id="55" name="Picture"/>
            <a:graphic>
              <a:graphicData uri="http://schemas.openxmlformats.org/drawingml/2006/picture">
                <pic:pic>
                  <pic:nvPicPr>
                    <pic:cNvPr descr="results_report_mitochondria_alcohol_mitosections_files/figure-docx/separate_section_plots_stats-1.png" id="56" name="Picture"/>
                    <pic:cNvPicPr>
                      <a:picLocks noChangeArrowheads="1" noChangeAspect="1"/>
                    </pic:cNvPicPr>
                  </pic:nvPicPr>
                  <pic:blipFill>
                    <a:blip r:embed="rId54"/>
                    <a:stretch>
                      <a:fillRect/>
                    </a:stretch>
                  </pic:blipFill>
                  <pic:spPr bwMode="auto">
                    <a:xfrm>
                      <a:off x="0" y="0"/>
                      <a:ext cx="5969000" cy="8426823"/>
                    </a:xfrm>
                    <a:prstGeom prst="rect">
                      <a:avLst/>
                    </a:prstGeom>
                    <a:noFill/>
                    <a:ln w="9525">
                      <a:noFill/>
                      <a:headEnd/>
                      <a:tailEnd/>
                    </a:ln>
                  </pic:spPr>
                </pic:pic>
              </a:graphicData>
            </a:graphic>
          </wp:inline>
        </w:drawing>
      </w:r>
    </w:p>
    <w:tbl>
      <w:tblPr>
        <w:tblStyle w:val="Table"/>
        <w:tblW w:type="pct" w:w="4375"/>
        <w:tblLook w:firstRow="1" w:lastRow="0" w:firstColumn="0" w:lastColumn="0" w:noHBand="0" w:noVBand="0" w:val="0020"/>
      </w:tblPr>
      <w:tblGrid>
        <w:gridCol w:w="1100"/>
        <w:gridCol w:w="3410"/>
        <w:gridCol w:w="1100"/>
        <w:gridCol w:w="1320"/>
      </w:tblGrid>
      <w:tr>
        <w:trPr>
          <w:tblHeader w:val="true"/>
        </w:trPr>
        <w:tc>
          <w:tcPr/>
          <w:p>
            <w:pPr>
              <w:pStyle w:val="Compact"/>
              <w:jc w:val="center"/>
            </w:pPr>
            <w:r>
              <w:t xml:space="preserve">section</w:t>
            </w:r>
          </w:p>
        </w:tc>
        <w:tc>
          <w:tcPr/>
          <w:p>
            <w:pPr>
              <w:pStyle w:val="Compact"/>
              <w:jc w:val="center"/>
            </w:pPr>
            <w:r>
              <w:t xml:space="preserve">condition</w:t>
            </w:r>
          </w:p>
        </w:tc>
        <w:tc>
          <w:tcPr/>
          <w:p>
            <w:pPr>
              <w:pStyle w:val="Compact"/>
              <w:jc w:val="center"/>
            </w:pPr>
            <w:r>
              <w:t xml:space="preserve">mean</w:t>
            </w:r>
          </w:p>
        </w:tc>
        <w:tc>
          <w:tcPr/>
          <w:p>
            <w:pPr>
              <w:pStyle w:val="Compact"/>
              <w:jc w:val="center"/>
            </w:pPr>
            <w:r>
              <w:t xml:space="preserve">sd</w:t>
            </w:r>
          </w:p>
        </w:tc>
      </w:tr>
      <w:tr>
        <w:tc>
          <w:tcPr/>
          <w:p>
            <w:pPr>
              <w:pStyle w:val="Compact"/>
              <w:jc w:val="center"/>
            </w:pPr>
            <w:r>
              <w:t xml:space="preserve">1</w:t>
            </w:r>
          </w:p>
        </w:tc>
        <w:tc>
          <w:tcPr/>
          <w:p>
            <w:pPr>
              <w:pStyle w:val="Compact"/>
              <w:jc w:val="center"/>
            </w:pPr>
            <w:r>
              <w:t xml:space="preserve">Activin 50ng/ml 14days (n=5)</w:t>
            </w:r>
          </w:p>
        </w:tc>
        <w:tc>
          <w:tcPr/>
          <w:p>
            <w:pPr>
              <w:pStyle w:val="Compact"/>
              <w:jc w:val="center"/>
            </w:pPr>
            <w:r>
              <w:t xml:space="preserve">0.5769</w:t>
            </w:r>
          </w:p>
        </w:tc>
        <w:tc>
          <w:tcPr/>
          <w:p>
            <w:pPr>
              <w:pStyle w:val="Compact"/>
              <w:jc w:val="center"/>
            </w:pPr>
            <w:r>
              <w:t xml:space="preserve">0.0311</w:t>
            </w:r>
          </w:p>
        </w:tc>
      </w:tr>
      <w:tr>
        <w:tc>
          <w:tcPr/>
          <w:p>
            <w:pPr>
              <w:pStyle w:val="Compact"/>
              <w:jc w:val="center"/>
            </w:pPr>
            <w:r>
              <w:t xml:space="preserve">1</w:t>
            </w:r>
          </w:p>
        </w:tc>
        <w:tc>
          <w:tcPr/>
          <w:p>
            <w:pPr>
              <w:pStyle w:val="Compact"/>
              <w:jc w:val="center"/>
            </w:pPr>
            <w:r>
              <w:t xml:space="preserve">Activin 50ng/ml 2days (n=5)</w:t>
            </w:r>
          </w:p>
        </w:tc>
        <w:tc>
          <w:tcPr/>
          <w:p>
            <w:pPr>
              <w:pStyle w:val="Compact"/>
              <w:jc w:val="center"/>
            </w:pPr>
            <w:r>
              <w:t xml:space="preserve">0.4855</w:t>
            </w:r>
          </w:p>
        </w:tc>
        <w:tc>
          <w:tcPr/>
          <w:p>
            <w:pPr>
              <w:pStyle w:val="Compact"/>
              <w:jc w:val="center"/>
            </w:pPr>
            <w:r>
              <w:t xml:space="preserve">0.1093</w:t>
            </w:r>
          </w:p>
        </w:tc>
      </w:tr>
      <w:tr>
        <w:tc>
          <w:tcPr/>
          <w:p>
            <w:pPr>
              <w:pStyle w:val="Compact"/>
              <w:jc w:val="center"/>
            </w:pPr>
            <w:r>
              <w:t xml:space="preserve">1</w:t>
            </w:r>
          </w:p>
        </w:tc>
        <w:tc>
          <w:tcPr/>
          <w:p>
            <w:pPr>
              <w:pStyle w:val="Compact"/>
              <w:jc w:val="center"/>
            </w:pPr>
            <w:r>
              <w:t xml:space="preserve">Control 14days (n=9)</w:t>
            </w:r>
          </w:p>
        </w:tc>
        <w:tc>
          <w:tcPr/>
          <w:p>
            <w:pPr>
              <w:pStyle w:val="Compact"/>
              <w:jc w:val="center"/>
            </w:pPr>
            <w:r>
              <w:t xml:space="preserve">0.6367</w:t>
            </w:r>
          </w:p>
        </w:tc>
        <w:tc>
          <w:tcPr/>
          <w:p>
            <w:pPr>
              <w:pStyle w:val="Compact"/>
              <w:jc w:val="center"/>
            </w:pPr>
            <w:r>
              <w:t xml:space="preserve">0.09831</w:t>
            </w:r>
          </w:p>
        </w:tc>
      </w:tr>
      <w:tr>
        <w:tc>
          <w:tcPr/>
          <w:p>
            <w:pPr>
              <w:pStyle w:val="Compact"/>
              <w:jc w:val="center"/>
            </w:pPr>
            <w:r>
              <w:t xml:space="preserve">1</w:t>
            </w:r>
          </w:p>
        </w:tc>
        <w:tc>
          <w:tcPr/>
          <w:p>
            <w:pPr>
              <w:pStyle w:val="Compact"/>
              <w:jc w:val="center"/>
            </w:pPr>
            <w:r>
              <w:t xml:space="preserve">Control 7days (n=10)</w:t>
            </w:r>
          </w:p>
        </w:tc>
        <w:tc>
          <w:tcPr/>
          <w:p>
            <w:pPr>
              <w:pStyle w:val="Compact"/>
              <w:jc w:val="center"/>
            </w:pPr>
            <w:r>
              <w:t xml:space="preserve">0.5241</w:t>
            </w:r>
          </w:p>
        </w:tc>
        <w:tc>
          <w:tcPr/>
          <w:p>
            <w:pPr>
              <w:pStyle w:val="Compact"/>
              <w:jc w:val="center"/>
            </w:pPr>
            <w:r>
              <w:t xml:space="preserve">0.1681</w:t>
            </w:r>
          </w:p>
        </w:tc>
      </w:tr>
      <w:tr>
        <w:tc>
          <w:tcPr/>
          <w:p>
            <w:pPr>
              <w:pStyle w:val="Compact"/>
              <w:jc w:val="center"/>
            </w:pPr>
            <w:r>
              <w:t xml:space="preserve">1</w:t>
            </w:r>
          </w:p>
        </w:tc>
        <w:tc>
          <w:tcPr/>
          <w:p>
            <w:pPr>
              <w:pStyle w:val="Compact"/>
              <w:jc w:val="center"/>
            </w:pPr>
            <w:r>
              <w:t xml:space="preserve">Folistatin 50ng/ml 14d (n=)</w:t>
            </w:r>
          </w:p>
        </w:tc>
        <w:tc>
          <w:tcPr/>
          <w:p>
            <w:pPr>
              <w:pStyle w:val="Compact"/>
              <w:jc w:val="center"/>
            </w:pPr>
            <w:r>
              <w:t xml:space="preserve">0.8109</w:t>
            </w:r>
          </w:p>
        </w:tc>
        <w:tc>
          <w:tcPr/>
          <w:p>
            <w:pPr>
              <w:pStyle w:val="Compact"/>
              <w:jc w:val="center"/>
            </w:pPr>
            <w:r>
              <w:t xml:space="preserve">0.06097</w:t>
            </w:r>
          </w:p>
        </w:tc>
      </w:tr>
      <w:tr>
        <w:tc>
          <w:tcPr/>
          <w:p>
            <w:pPr>
              <w:pStyle w:val="Compact"/>
              <w:jc w:val="center"/>
            </w:pPr>
            <w:r>
              <w:t xml:space="preserve">1</w:t>
            </w:r>
          </w:p>
        </w:tc>
        <w:tc>
          <w:tcPr/>
          <w:p>
            <w:pPr>
              <w:pStyle w:val="Compact"/>
              <w:jc w:val="center"/>
            </w:pPr>
            <w:r>
              <w:t xml:space="preserve">Folistatin 50ng/ml 7d (n=)</w:t>
            </w:r>
          </w:p>
        </w:tc>
        <w:tc>
          <w:tcPr/>
          <w:p>
            <w:pPr>
              <w:pStyle w:val="Compact"/>
              <w:jc w:val="center"/>
            </w:pPr>
            <w:r>
              <w:t xml:space="preserve">0.603</w:t>
            </w:r>
          </w:p>
        </w:tc>
        <w:tc>
          <w:tcPr/>
          <w:p>
            <w:pPr>
              <w:pStyle w:val="Compact"/>
              <w:jc w:val="center"/>
            </w:pPr>
            <w:r>
              <w:t xml:space="preserve">0.121</w:t>
            </w:r>
          </w:p>
        </w:tc>
      </w:tr>
      <w:tr>
        <w:tc>
          <w:tcPr/>
          <w:p>
            <w:pPr>
              <w:pStyle w:val="Compact"/>
              <w:jc w:val="center"/>
            </w:pPr>
            <w:r>
              <w:t xml:space="preserve">1</w:t>
            </w:r>
          </w:p>
        </w:tc>
        <w:tc>
          <w:tcPr/>
          <w:p>
            <w:pPr>
              <w:pStyle w:val="Compact"/>
              <w:jc w:val="center"/>
            </w:pPr>
            <w:r>
              <w:t xml:space="preserve">SMIFH2 10µM 14d (n=4)</w:t>
            </w:r>
          </w:p>
        </w:tc>
        <w:tc>
          <w:tcPr/>
          <w:p>
            <w:pPr>
              <w:pStyle w:val="Compact"/>
              <w:jc w:val="center"/>
            </w:pPr>
            <w:r>
              <w:t xml:space="preserve">0.8216</w:t>
            </w:r>
          </w:p>
        </w:tc>
        <w:tc>
          <w:tcPr/>
          <w:p>
            <w:pPr>
              <w:pStyle w:val="Compact"/>
              <w:jc w:val="center"/>
            </w:pPr>
            <w:r>
              <w:t xml:space="preserve">0.03789</w:t>
            </w:r>
          </w:p>
        </w:tc>
      </w:tr>
      <w:tr>
        <w:tc>
          <w:tcPr/>
          <w:p>
            <w:pPr>
              <w:pStyle w:val="Compact"/>
              <w:jc w:val="center"/>
            </w:pPr>
            <w:r>
              <w:t xml:space="preserve">2</w:t>
            </w:r>
          </w:p>
        </w:tc>
        <w:tc>
          <w:tcPr/>
          <w:p>
            <w:pPr>
              <w:pStyle w:val="Compact"/>
              <w:jc w:val="center"/>
            </w:pPr>
            <w:r>
              <w:t xml:space="preserve">Activin 50ng/ml 14days (n=5)</w:t>
            </w:r>
          </w:p>
        </w:tc>
        <w:tc>
          <w:tcPr/>
          <w:p>
            <w:pPr>
              <w:pStyle w:val="Compact"/>
              <w:jc w:val="center"/>
            </w:pPr>
            <w:r>
              <w:t xml:space="preserve">0.6648</w:t>
            </w:r>
          </w:p>
        </w:tc>
        <w:tc>
          <w:tcPr/>
          <w:p>
            <w:pPr>
              <w:pStyle w:val="Compact"/>
              <w:jc w:val="center"/>
            </w:pPr>
            <w:r>
              <w:t xml:space="preserve">0.08714</w:t>
            </w:r>
          </w:p>
        </w:tc>
      </w:tr>
      <w:tr>
        <w:tc>
          <w:tcPr/>
          <w:p>
            <w:pPr>
              <w:pStyle w:val="Compact"/>
              <w:jc w:val="center"/>
            </w:pPr>
            <w:r>
              <w:t xml:space="preserve">2</w:t>
            </w:r>
          </w:p>
        </w:tc>
        <w:tc>
          <w:tcPr/>
          <w:p>
            <w:pPr>
              <w:pStyle w:val="Compact"/>
              <w:jc w:val="center"/>
            </w:pPr>
            <w:r>
              <w:t xml:space="preserve">Activin 50ng/ml 2days (n=5)</w:t>
            </w:r>
          </w:p>
        </w:tc>
        <w:tc>
          <w:tcPr/>
          <w:p>
            <w:pPr>
              <w:pStyle w:val="Compact"/>
              <w:jc w:val="center"/>
            </w:pPr>
            <w:r>
              <w:t xml:space="preserve">0.4952</w:t>
            </w:r>
          </w:p>
        </w:tc>
        <w:tc>
          <w:tcPr/>
          <w:p>
            <w:pPr>
              <w:pStyle w:val="Compact"/>
              <w:jc w:val="center"/>
            </w:pPr>
            <w:r>
              <w:t xml:space="preserve">0.1386</w:t>
            </w:r>
          </w:p>
        </w:tc>
      </w:tr>
      <w:tr>
        <w:tc>
          <w:tcPr/>
          <w:p>
            <w:pPr>
              <w:pStyle w:val="Compact"/>
              <w:jc w:val="center"/>
            </w:pPr>
            <w:r>
              <w:t xml:space="preserve">2</w:t>
            </w:r>
          </w:p>
        </w:tc>
        <w:tc>
          <w:tcPr/>
          <w:p>
            <w:pPr>
              <w:pStyle w:val="Compact"/>
              <w:jc w:val="center"/>
            </w:pPr>
            <w:r>
              <w:t xml:space="preserve">Control 14days (n=9)</w:t>
            </w:r>
          </w:p>
        </w:tc>
        <w:tc>
          <w:tcPr/>
          <w:p>
            <w:pPr>
              <w:pStyle w:val="Compact"/>
              <w:jc w:val="center"/>
            </w:pPr>
            <w:r>
              <w:t xml:space="preserve">0.6749</w:t>
            </w:r>
          </w:p>
        </w:tc>
        <w:tc>
          <w:tcPr/>
          <w:p>
            <w:pPr>
              <w:pStyle w:val="Compact"/>
              <w:jc w:val="center"/>
            </w:pPr>
            <w:r>
              <w:t xml:space="preserve">0.1082</w:t>
            </w:r>
          </w:p>
        </w:tc>
      </w:tr>
      <w:tr>
        <w:tc>
          <w:tcPr/>
          <w:p>
            <w:pPr>
              <w:pStyle w:val="Compact"/>
              <w:jc w:val="center"/>
            </w:pPr>
            <w:r>
              <w:t xml:space="preserve">2</w:t>
            </w:r>
          </w:p>
        </w:tc>
        <w:tc>
          <w:tcPr/>
          <w:p>
            <w:pPr>
              <w:pStyle w:val="Compact"/>
              <w:jc w:val="center"/>
            </w:pPr>
            <w:r>
              <w:t xml:space="preserve">Control 7days (n=10)</w:t>
            </w:r>
          </w:p>
        </w:tc>
        <w:tc>
          <w:tcPr/>
          <w:p>
            <w:pPr>
              <w:pStyle w:val="Compact"/>
              <w:jc w:val="center"/>
            </w:pPr>
            <w:r>
              <w:t xml:space="preserve">0.5322</w:t>
            </w:r>
          </w:p>
        </w:tc>
        <w:tc>
          <w:tcPr/>
          <w:p>
            <w:pPr>
              <w:pStyle w:val="Compact"/>
              <w:jc w:val="center"/>
            </w:pPr>
            <w:r>
              <w:t xml:space="preserve">0.1947</w:t>
            </w:r>
          </w:p>
        </w:tc>
      </w:tr>
      <w:tr>
        <w:tc>
          <w:tcPr/>
          <w:p>
            <w:pPr>
              <w:pStyle w:val="Compact"/>
              <w:jc w:val="center"/>
            </w:pPr>
            <w:r>
              <w:t xml:space="preserve">2</w:t>
            </w:r>
          </w:p>
        </w:tc>
        <w:tc>
          <w:tcPr/>
          <w:p>
            <w:pPr>
              <w:pStyle w:val="Compact"/>
              <w:jc w:val="center"/>
            </w:pPr>
            <w:r>
              <w:t xml:space="preserve">Folistatin 50ng/ml 14d (n=)</w:t>
            </w:r>
          </w:p>
        </w:tc>
        <w:tc>
          <w:tcPr/>
          <w:p>
            <w:pPr>
              <w:pStyle w:val="Compact"/>
              <w:jc w:val="center"/>
            </w:pPr>
            <w:r>
              <w:t xml:space="preserve">0.7512</w:t>
            </w:r>
          </w:p>
        </w:tc>
        <w:tc>
          <w:tcPr/>
          <w:p>
            <w:pPr>
              <w:pStyle w:val="Compact"/>
              <w:jc w:val="center"/>
            </w:pPr>
            <w:r>
              <w:t xml:space="preserve">0.00719</w:t>
            </w:r>
          </w:p>
        </w:tc>
      </w:tr>
      <w:tr>
        <w:tc>
          <w:tcPr/>
          <w:p>
            <w:pPr>
              <w:pStyle w:val="Compact"/>
              <w:jc w:val="center"/>
            </w:pPr>
            <w:r>
              <w:t xml:space="preserve">2</w:t>
            </w:r>
          </w:p>
        </w:tc>
        <w:tc>
          <w:tcPr/>
          <w:p>
            <w:pPr>
              <w:pStyle w:val="Compact"/>
              <w:jc w:val="center"/>
            </w:pPr>
            <w:r>
              <w:t xml:space="preserve">Folistatin 50ng/ml 7d (n=)</w:t>
            </w:r>
          </w:p>
        </w:tc>
        <w:tc>
          <w:tcPr/>
          <w:p>
            <w:pPr>
              <w:pStyle w:val="Compact"/>
              <w:jc w:val="center"/>
            </w:pPr>
            <w:r>
              <w:t xml:space="preserve">0.7085</w:t>
            </w:r>
          </w:p>
        </w:tc>
        <w:tc>
          <w:tcPr/>
          <w:p>
            <w:pPr>
              <w:pStyle w:val="Compact"/>
              <w:jc w:val="center"/>
            </w:pPr>
            <w:r>
              <w:t xml:space="preserve">0.09249</w:t>
            </w:r>
          </w:p>
        </w:tc>
      </w:tr>
      <w:tr>
        <w:tc>
          <w:tcPr/>
          <w:p>
            <w:pPr>
              <w:pStyle w:val="Compact"/>
              <w:jc w:val="center"/>
            </w:pPr>
            <w:r>
              <w:t xml:space="preserve">2</w:t>
            </w:r>
          </w:p>
        </w:tc>
        <w:tc>
          <w:tcPr/>
          <w:p>
            <w:pPr>
              <w:pStyle w:val="Compact"/>
              <w:jc w:val="center"/>
            </w:pPr>
            <w:r>
              <w:t xml:space="preserve">SMIFH2 10µM 14d (n=4)</w:t>
            </w:r>
          </w:p>
        </w:tc>
        <w:tc>
          <w:tcPr/>
          <w:p>
            <w:pPr>
              <w:pStyle w:val="Compact"/>
              <w:jc w:val="center"/>
            </w:pPr>
            <w:r>
              <w:t xml:space="preserve">0.8057</w:t>
            </w:r>
          </w:p>
        </w:tc>
        <w:tc>
          <w:tcPr/>
          <w:p>
            <w:pPr>
              <w:pStyle w:val="Compact"/>
              <w:jc w:val="center"/>
            </w:pPr>
            <w:r>
              <w:t xml:space="preserve">0.09063</w:t>
            </w:r>
          </w:p>
        </w:tc>
      </w:tr>
      <w:tr>
        <w:tc>
          <w:tcPr/>
          <w:p>
            <w:pPr>
              <w:pStyle w:val="Compact"/>
              <w:jc w:val="center"/>
            </w:pPr>
            <w:r>
              <w:t xml:space="preserve">3</w:t>
            </w:r>
          </w:p>
        </w:tc>
        <w:tc>
          <w:tcPr/>
          <w:p>
            <w:pPr>
              <w:pStyle w:val="Compact"/>
              <w:jc w:val="center"/>
            </w:pPr>
            <w:r>
              <w:t xml:space="preserve">Activin 50ng/ml 14days (n=5)</w:t>
            </w:r>
          </w:p>
        </w:tc>
        <w:tc>
          <w:tcPr/>
          <w:p>
            <w:pPr>
              <w:pStyle w:val="Compact"/>
              <w:jc w:val="center"/>
            </w:pPr>
            <w:r>
              <w:t xml:space="preserve">0.5985</w:t>
            </w:r>
          </w:p>
        </w:tc>
        <w:tc>
          <w:tcPr/>
          <w:p>
            <w:pPr>
              <w:pStyle w:val="Compact"/>
              <w:jc w:val="center"/>
            </w:pPr>
            <w:r>
              <w:t xml:space="preserve">0.06922</w:t>
            </w:r>
          </w:p>
        </w:tc>
      </w:tr>
      <w:tr>
        <w:tc>
          <w:tcPr/>
          <w:p>
            <w:pPr>
              <w:pStyle w:val="Compact"/>
              <w:jc w:val="center"/>
            </w:pPr>
            <w:r>
              <w:t xml:space="preserve">3</w:t>
            </w:r>
          </w:p>
        </w:tc>
        <w:tc>
          <w:tcPr/>
          <w:p>
            <w:pPr>
              <w:pStyle w:val="Compact"/>
              <w:jc w:val="center"/>
            </w:pPr>
            <w:r>
              <w:t xml:space="preserve">Activin 50ng/ml 2days (n=5)</w:t>
            </w:r>
          </w:p>
        </w:tc>
        <w:tc>
          <w:tcPr/>
          <w:p>
            <w:pPr>
              <w:pStyle w:val="Compact"/>
              <w:jc w:val="center"/>
            </w:pPr>
            <w:r>
              <w:t xml:space="preserve">0.4933</w:t>
            </w:r>
          </w:p>
        </w:tc>
        <w:tc>
          <w:tcPr/>
          <w:p>
            <w:pPr>
              <w:pStyle w:val="Compact"/>
              <w:jc w:val="center"/>
            </w:pPr>
            <w:r>
              <w:t xml:space="preserve">0.09656</w:t>
            </w:r>
          </w:p>
        </w:tc>
      </w:tr>
      <w:tr>
        <w:tc>
          <w:tcPr/>
          <w:p>
            <w:pPr>
              <w:pStyle w:val="Compact"/>
              <w:jc w:val="center"/>
            </w:pPr>
            <w:r>
              <w:t xml:space="preserve">3</w:t>
            </w:r>
          </w:p>
        </w:tc>
        <w:tc>
          <w:tcPr/>
          <w:p>
            <w:pPr>
              <w:pStyle w:val="Compact"/>
              <w:jc w:val="center"/>
            </w:pPr>
            <w:r>
              <w:t xml:space="preserve">Control 14days (n=9)</w:t>
            </w:r>
          </w:p>
        </w:tc>
        <w:tc>
          <w:tcPr/>
          <w:p>
            <w:pPr>
              <w:pStyle w:val="Compact"/>
              <w:jc w:val="center"/>
            </w:pPr>
            <w:r>
              <w:t xml:space="preserve">0.6863</w:t>
            </w:r>
          </w:p>
        </w:tc>
        <w:tc>
          <w:tcPr/>
          <w:p>
            <w:pPr>
              <w:pStyle w:val="Compact"/>
              <w:jc w:val="center"/>
            </w:pPr>
            <w:r>
              <w:t xml:space="preserve">0.1165</w:t>
            </w:r>
          </w:p>
        </w:tc>
      </w:tr>
      <w:tr>
        <w:tc>
          <w:tcPr/>
          <w:p>
            <w:pPr>
              <w:pStyle w:val="Compact"/>
              <w:jc w:val="center"/>
            </w:pPr>
            <w:r>
              <w:t xml:space="preserve">3</w:t>
            </w:r>
          </w:p>
        </w:tc>
        <w:tc>
          <w:tcPr/>
          <w:p>
            <w:pPr>
              <w:pStyle w:val="Compact"/>
              <w:jc w:val="center"/>
            </w:pPr>
            <w:r>
              <w:t xml:space="preserve">Control 7days (n=10)</w:t>
            </w:r>
          </w:p>
        </w:tc>
        <w:tc>
          <w:tcPr/>
          <w:p>
            <w:pPr>
              <w:pStyle w:val="Compact"/>
              <w:jc w:val="center"/>
            </w:pPr>
            <w:r>
              <w:t xml:space="preserve">0.5417</w:t>
            </w:r>
          </w:p>
        </w:tc>
        <w:tc>
          <w:tcPr/>
          <w:p>
            <w:pPr>
              <w:pStyle w:val="Compact"/>
              <w:jc w:val="center"/>
            </w:pPr>
            <w:r>
              <w:t xml:space="preserve">0.1773</w:t>
            </w:r>
          </w:p>
        </w:tc>
      </w:tr>
      <w:tr>
        <w:tc>
          <w:tcPr/>
          <w:p>
            <w:pPr>
              <w:pStyle w:val="Compact"/>
              <w:jc w:val="center"/>
            </w:pPr>
            <w:r>
              <w:t xml:space="preserve">3</w:t>
            </w:r>
          </w:p>
        </w:tc>
        <w:tc>
          <w:tcPr/>
          <w:p>
            <w:pPr>
              <w:pStyle w:val="Compact"/>
              <w:jc w:val="center"/>
            </w:pPr>
            <w:r>
              <w:t xml:space="preserve">Folistatin 50ng/ml 14d (n=)</w:t>
            </w:r>
          </w:p>
        </w:tc>
        <w:tc>
          <w:tcPr/>
          <w:p>
            <w:pPr>
              <w:pStyle w:val="Compact"/>
              <w:jc w:val="center"/>
            </w:pPr>
            <w:r>
              <w:t xml:space="preserve">0.7335</w:t>
            </w:r>
          </w:p>
        </w:tc>
        <w:tc>
          <w:tcPr/>
          <w:p>
            <w:pPr>
              <w:pStyle w:val="Compact"/>
              <w:jc w:val="center"/>
            </w:pPr>
            <w:r>
              <w:t xml:space="preserve">8.277e-05</w:t>
            </w:r>
          </w:p>
        </w:tc>
      </w:tr>
      <w:tr>
        <w:tc>
          <w:tcPr/>
          <w:p>
            <w:pPr>
              <w:pStyle w:val="Compact"/>
              <w:jc w:val="center"/>
            </w:pPr>
            <w:r>
              <w:t xml:space="preserve">3</w:t>
            </w:r>
          </w:p>
        </w:tc>
        <w:tc>
          <w:tcPr/>
          <w:p>
            <w:pPr>
              <w:pStyle w:val="Compact"/>
              <w:jc w:val="center"/>
            </w:pPr>
            <w:r>
              <w:t xml:space="preserve">Folistatin 50ng/ml 7d (n=)</w:t>
            </w:r>
          </w:p>
        </w:tc>
        <w:tc>
          <w:tcPr/>
          <w:p>
            <w:pPr>
              <w:pStyle w:val="Compact"/>
              <w:jc w:val="center"/>
            </w:pPr>
            <w:r>
              <w:t xml:space="preserve">0.6585</w:t>
            </w:r>
          </w:p>
        </w:tc>
        <w:tc>
          <w:tcPr/>
          <w:p>
            <w:pPr>
              <w:pStyle w:val="Compact"/>
              <w:jc w:val="center"/>
            </w:pPr>
            <w:r>
              <w:t xml:space="preserve">0.09682</w:t>
            </w:r>
          </w:p>
        </w:tc>
      </w:tr>
      <w:tr>
        <w:tc>
          <w:tcPr/>
          <w:p>
            <w:pPr>
              <w:pStyle w:val="Compact"/>
              <w:jc w:val="center"/>
            </w:pPr>
            <w:r>
              <w:t xml:space="preserve">3</w:t>
            </w:r>
          </w:p>
        </w:tc>
        <w:tc>
          <w:tcPr/>
          <w:p>
            <w:pPr>
              <w:pStyle w:val="Compact"/>
              <w:jc w:val="center"/>
            </w:pPr>
            <w:r>
              <w:t xml:space="preserve">SMIFH2 10µM 14d (n=4)</w:t>
            </w:r>
          </w:p>
        </w:tc>
        <w:tc>
          <w:tcPr/>
          <w:p>
            <w:pPr>
              <w:pStyle w:val="Compact"/>
              <w:jc w:val="center"/>
            </w:pPr>
            <w:r>
              <w:t xml:space="preserve">0.728</w:t>
            </w:r>
          </w:p>
        </w:tc>
        <w:tc>
          <w:tcPr/>
          <w:p>
            <w:pPr>
              <w:pStyle w:val="Compact"/>
              <w:jc w:val="center"/>
            </w:pPr>
            <w:r>
              <w:t xml:space="preserve">0.1386</w:t>
            </w:r>
          </w:p>
        </w:tc>
      </w:tr>
      <w:tr>
        <w:tc>
          <w:tcPr/>
          <w:p>
            <w:pPr>
              <w:pStyle w:val="Compact"/>
              <w:jc w:val="center"/>
            </w:pPr>
            <w:r>
              <w:t xml:space="preserve">4</w:t>
            </w:r>
          </w:p>
        </w:tc>
        <w:tc>
          <w:tcPr/>
          <w:p>
            <w:pPr>
              <w:pStyle w:val="Compact"/>
              <w:jc w:val="center"/>
            </w:pPr>
            <w:r>
              <w:t xml:space="preserve">Activin 50ng/ml 14days (n=5)</w:t>
            </w:r>
          </w:p>
        </w:tc>
        <w:tc>
          <w:tcPr/>
          <w:p>
            <w:pPr>
              <w:pStyle w:val="Compact"/>
              <w:jc w:val="center"/>
            </w:pPr>
            <w:r>
              <w:t xml:space="preserve">0.5328</w:t>
            </w:r>
          </w:p>
        </w:tc>
        <w:tc>
          <w:tcPr/>
          <w:p>
            <w:pPr>
              <w:pStyle w:val="Compact"/>
              <w:jc w:val="center"/>
            </w:pPr>
            <w:r>
              <w:t xml:space="preserve">0.04306</w:t>
            </w:r>
          </w:p>
        </w:tc>
      </w:tr>
      <w:tr>
        <w:tc>
          <w:tcPr/>
          <w:p>
            <w:pPr>
              <w:pStyle w:val="Compact"/>
              <w:jc w:val="center"/>
            </w:pPr>
            <w:r>
              <w:t xml:space="preserve">4</w:t>
            </w:r>
          </w:p>
        </w:tc>
        <w:tc>
          <w:tcPr/>
          <w:p>
            <w:pPr>
              <w:pStyle w:val="Compact"/>
              <w:jc w:val="center"/>
            </w:pPr>
            <w:r>
              <w:t xml:space="preserve">Activin 50ng/ml 2days (n=5)</w:t>
            </w:r>
          </w:p>
        </w:tc>
        <w:tc>
          <w:tcPr/>
          <w:p>
            <w:pPr>
              <w:pStyle w:val="Compact"/>
              <w:jc w:val="center"/>
            </w:pPr>
            <w:r>
              <w:t xml:space="preserve">0.4509</w:t>
            </w:r>
          </w:p>
        </w:tc>
        <w:tc>
          <w:tcPr/>
          <w:p>
            <w:pPr>
              <w:pStyle w:val="Compact"/>
              <w:jc w:val="center"/>
            </w:pPr>
            <w:r>
              <w:t xml:space="preserve">0.07605</w:t>
            </w:r>
          </w:p>
        </w:tc>
      </w:tr>
      <w:tr>
        <w:tc>
          <w:tcPr/>
          <w:p>
            <w:pPr>
              <w:pStyle w:val="Compact"/>
              <w:jc w:val="center"/>
            </w:pPr>
            <w:r>
              <w:t xml:space="preserve">4</w:t>
            </w:r>
          </w:p>
        </w:tc>
        <w:tc>
          <w:tcPr/>
          <w:p>
            <w:pPr>
              <w:pStyle w:val="Compact"/>
              <w:jc w:val="center"/>
            </w:pPr>
            <w:r>
              <w:t xml:space="preserve">Control 14days (n=9)</w:t>
            </w:r>
          </w:p>
        </w:tc>
        <w:tc>
          <w:tcPr/>
          <w:p>
            <w:pPr>
              <w:pStyle w:val="Compact"/>
              <w:jc w:val="center"/>
            </w:pPr>
            <w:r>
              <w:t xml:space="preserve">0.665</w:t>
            </w:r>
          </w:p>
        </w:tc>
        <w:tc>
          <w:tcPr/>
          <w:p>
            <w:pPr>
              <w:pStyle w:val="Compact"/>
              <w:jc w:val="center"/>
            </w:pPr>
            <w:r>
              <w:t xml:space="preserve">0.1153</w:t>
            </w:r>
          </w:p>
        </w:tc>
      </w:tr>
      <w:tr>
        <w:tc>
          <w:tcPr/>
          <w:p>
            <w:pPr>
              <w:pStyle w:val="Compact"/>
              <w:jc w:val="center"/>
            </w:pPr>
            <w:r>
              <w:t xml:space="preserve">4</w:t>
            </w:r>
          </w:p>
        </w:tc>
        <w:tc>
          <w:tcPr/>
          <w:p>
            <w:pPr>
              <w:pStyle w:val="Compact"/>
              <w:jc w:val="center"/>
            </w:pPr>
            <w:r>
              <w:t xml:space="preserve">Control 7days (n=10)</w:t>
            </w:r>
          </w:p>
        </w:tc>
        <w:tc>
          <w:tcPr/>
          <w:p>
            <w:pPr>
              <w:pStyle w:val="Compact"/>
              <w:jc w:val="center"/>
            </w:pPr>
            <w:r>
              <w:t xml:space="preserve">0.4856</w:t>
            </w:r>
          </w:p>
        </w:tc>
        <w:tc>
          <w:tcPr/>
          <w:p>
            <w:pPr>
              <w:pStyle w:val="Compact"/>
              <w:jc w:val="center"/>
            </w:pPr>
            <w:r>
              <w:t xml:space="preserve">0.151</w:t>
            </w:r>
          </w:p>
        </w:tc>
      </w:tr>
      <w:tr>
        <w:tc>
          <w:tcPr/>
          <w:p>
            <w:pPr>
              <w:pStyle w:val="Compact"/>
              <w:jc w:val="center"/>
            </w:pPr>
            <w:r>
              <w:t xml:space="preserve">4</w:t>
            </w:r>
          </w:p>
        </w:tc>
        <w:tc>
          <w:tcPr/>
          <w:p>
            <w:pPr>
              <w:pStyle w:val="Compact"/>
              <w:jc w:val="center"/>
            </w:pPr>
            <w:r>
              <w:t xml:space="preserve">Folistatin 50ng/ml 14d (n=)</w:t>
            </w:r>
          </w:p>
        </w:tc>
        <w:tc>
          <w:tcPr/>
          <w:p>
            <w:pPr>
              <w:pStyle w:val="Compact"/>
              <w:jc w:val="center"/>
            </w:pPr>
            <w:r>
              <w:t xml:space="preserve">0.781</w:t>
            </w:r>
          </w:p>
        </w:tc>
        <w:tc>
          <w:tcPr/>
          <w:p>
            <w:pPr>
              <w:pStyle w:val="Compact"/>
              <w:jc w:val="center"/>
            </w:pPr>
            <w:r>
              <w:t xml:space="preserve">0.02785</w:t>
            </w:r>
          </w:p>
        </w:tc>
      </w:tr>
      <w:tr>
        <w:tc>
          <w:tcPr/>
          <w:p>
            <w:pPr>
              <w:pStyle w:val="Compact"/>
              <w:jc w:val="center"/>
            </w:pPr>
            <w:r>
              <w:t xml:space="preserve">4</w:t>
            </w:r>
          </w:p>
        </w:tc>
        <w:tc>
          <w:tcPr/>
          <w:p>
            <w:pPr>
              <w:pStyle w:val="Compact"/>
              <w:jc w:val="center"/>
            </w:pPr>
            <w:r>
              <w:t xml:space="preserve">Folistatin 50ng/ml 7d (n=)</w:t>
            </w:r>
          </w:p>
        </w:tc>
        <w:tc>
          <w:tcPr/>
          <w:p>
            <w:pPr>
              <w:pStyle w:val="Compact"/>
              <w:jc w:val="center"/>
            </w:pPr>
            <w:r>
              <w:t xml:space="preserve">0.6567</w:t>
            </w:r>
          </w:p>
        </w:tc>
        <w:tc>
          <w:tcPr/>
          <w:p>
            <w:pPr>
              <w:pStyle w:val="Compact"/>
              <w:jc w:val="center"/>
            </w:pPr>
            <w:r>
              <w:t xml:space="preserve">0.08411</w:t>
            </w:r>
          </w:p>
        </w:tc>
      </w:tr>
      <w:tr>
        <w:tc>
          <w:tcPr/>
          <w:p>
            <w:pPr>
              <w:pStyle w:val="Compact"/>
              <w:jc w:val="center"/>
            </w:pPr>
            <w:r>
              <w:t xml:space="preserve">4</w:t>
            </w:r>
          </w:p>
        </w:tc>
        <w:tc>
          <w:tcPr/>
          <w:p>
            <w:pPr>
              <w:pStyle w:val="Compact"/>
              <w:jc w:val="center"/>
            </w:pPr>
            <w:r>
              <w:t xml:space="preserve">SMIFH2 10µM 14d (n=4)</w:t>
            </w:r>
          </w:p>
        </w:tc>
        <w:tc>
          <w:tcPr/>
          <w:p>
            <w:pPr>
              <w:pStyle w:val="Compact"/>
              <w:jc w:val="center"/>
            </w:pPr>
            <w:r>
              <w:t xml:space="preserve">0.6628</w:t>
            </w:r>
          </w:p>
        </w:tc>
        <w:tc>
          <w:tcPr/>
          <w:p>
            <w:pPr>
              <w:pStyle w:val="Compact"/>
              <w:jc w:val="center"/>
            </w:pPr>
            <w:r>
              <w:t xml:space="preserve">0.1091</w:t>
            </w:r>
          </w:p>
        </w:tc>
      </w:tr>
      <w:tr>
        <w:tc>
          <w:tcPr/>
          <w:p>
            <w:pPr>
              <w:pStyle w:val="Compact"/>
              <w:jc w:val="center"/>
            </w:pPr>
            <w:r>
              <w:t xml:space="preserve">5</w:t>
            </w:r>
          </w:p>
        </w:tc>
        <w:tc>
          <w:tcPr/>
          <w:p>
            <w:pPr>
              <w:pStyle w:val="Compact"/>
              <w:jc w:val="center"/>
            </w:pPr>
            <w:r>
              <w:t xml:space="preserve">Activin 50ng/ml 14days (n=5)</w:t>
            </w:r>
          </w:p>
        </w:tc>
        <w:tc>
          <w:tcPr/>
          <w:p>
            <w:pPr>
              <w:pStyle w:val="Compact"/>
              <w:jc w:val="center"/>
            </w:pPr>
            <w:r>
              <w:t xml:space="preserve">0.4296</w:t>
            </w:r>
          </w:p>
        </w:tc>
        <w:tc>
          <w:tcPr/>
          <w:p>
            <w:pPr>
              <w:pStyle w:val="Compact"/>
              <w:jc w:val="center"/>
            </w:pPr>
            <w:r>
              <w:t xml:space="preserve">0.04905</w:t>
            </w:r>
          </w:p>
        </w:tc>
      </w:tr>
      <w:tr>
        <w:tc>
          <w:tcPr/>
          <w:p>
            <w:pPr>
              <w:pStyle w:val="Compact"/>
              <w:jc w:val="center"/>
            </w:pPr>
            <w:r>
              <w:t xml:space="preserve">5</w:t>
            </w:r>
          </w:p>
        </w:tc>
        <w:tc>
          <w:tcPr/>
          <w:p>
            <w:pPr>
              <w:pStyle w:val="Compact"/>
              <w:jc w:val="center"/>
            </w:pPr>
            <w:r>
              <w:t xml:space="preserve">Activin 50ng/ml 2days (n=5)</w:t>
            </w:r>
          </w:p>
        </w:tc>
        <w:tc>
          <w:tcPr/>
          <w:p>
            <w:pPr>
              <w:pStyle w:val="Compact"/>
              <w:jc w:val="center"/>
            </w:pPr>
            <w:r>
              <w:t xml:space="preserve">0.4129</w:t>
            </w:r>
          </w:p>
        </w:tc>
        <w:tc>
          <w:tcPr/>
          <w:p>
            <w:pPr>
              <w:pStyle w:val="Compact"/>
              <w:jc w:val="center"/>
            </w:pPr>
            <w:r>
              <w:t xml:space="preserve">0.07299</w:t>
            </w:r>
          </w:p>
        </w:tc>
      </w:tr>
      <w:tr>
        <w:tc>
          <w:tcPr/>
          <w:p>
            <w:pPr>
              <w:pStyle w:val="Compact"/>
              <w:jc w:val="center"/>
            </w:pPr>
            <w:r>
              <w:t xml:space="preserve">5</w:t>
            </w:r>
          </w:p>
        </w:tc>
        <w:tc>
          <w:tcPr/>
          <w:p>
            <w:pPr>
              <w:pStyle w:val="Compact"/>
              <w:jc w:val="center"/>
            </w:pPr>
            <w:r>
              <w:t xml:space="preserve">Control 14days (n=9)</w:t>
            </w:r>
          </w:p>
        </w:tc>
        <w:tc>
          <w:tcPr/>
          <w:p>
            <w:pPr>
              <w:pStyle w:val="Compact"/>
              <w:jc w:val="center"/>
            </w:pPr>
            <w:r>
              <w:t xml:space="preserve">0.6013</w:t>
            </w:r>
          </w:p>
        </w:tc>
        <w:tc>
          <w:tcPr/>
          <w:p>
            <w:pPr>
              <w:pStyle w:val="Compact"/>
              <w:jc w:val="center"/>
            </w:pPr>
            <w:r>
              <w:t xml:space="preserve">0.1564</w:t>
            </w:r>
          </w:p>
        </w:tc>
      </w:tr>
      <w:tr>
        <w:tc>
          <w:tcPr/>
          <w:p>
            <w:pPr>
              <w:pStyle w:val="Compact"/>
              <w:jc w:val="center"/>
            </w:pPr>
            <w:r>
              <w:t xml:space="preserve">5</w:t>
            </w:r>
          </w:p>
        </w:tc>
        <w:tc>
          <w:tcPr/>
          <w:p>
            <w:pPr>
              <w:pStyle w:val="Compact"/>
              <w:jc w:val="center"/>
            </w:pPr>
            <w:r>
              <w:t xml:space="preserve">Control 7days (n=10)</w:t>
            </w:r>
          </w:p>
        </w:tc>
        <w:tc>
          <w:tcPr/>
          <w:p>
            <w:pPr>
              <w:pStyle w:val="Compact"/>
              <w:jc w:val="center"/>
            </w:pPr>
            <w:r>
              <w:t xml:space="preserve">0.504</w:t>
            </w:r>
          </w:p>
        </w:tc>
        <w:tc>
          <w:tcPr/>
          <w:p>
            <w:pPr>
              <w:pStyle w:val="Compact"/>
              <w:jc w:val="center"/>
            </w:pPr>
            <w:r>
              <w:t xml:space="preserve">0.1224</w:t>
            </w:r>
          </w:p>
        </w:tc>
      </w:tr>
      <w:tr>
        <w:tc>
          <w:tcPr/>
          <w:p>
            <w:pPr>
              <w:pStyle w:val="Compact"/>
              <w:jc w:val="center"/>
            </w:pPr>
            <w:r>
              <w:t xml:space="preserve">5</w:t>
            </w:r>
          </w:p>
        </w:tc>
        <w:tc>
          <w:tcPr/>
          <w:p>
            <w:pPr>
              <w:pStyle w:val="Compact"/>
              <w:jc w:val="center"/>
            </w:pPr>
            <w:r>
              <w:t xml:space="preserve">Folistatin 50ng/ml 14d (n=)</w:t>
            </w:r>
          </w:p>
        </w:tc>
        <w:tc>
          <w:tcPr/>
          <w:p>
            <w:pPr>
              <w:pStyle w:val="Compact"/>
              <w:jc w:val="center"/>
            </w:pPr>
            <w:r>
              <w:t xml:space="preserve">0.7408</w:t>
            </w:r>
          </w:p>
        </w:tc>
        <w:tc>
          <w:tcPr/>
          <w:p>
            <w:pPr>
              <w:pStyle w:val="Compact"/>
              <w:jc w:val="center"/>
            </w:pPr>
            <w:r>
              <w:t xml:space="preserve">0.009714</w:t>
            </w:r>
          </w:p>
        </w:tc>
      </w:tr>
      <w:tr>
        <w:tc>
          <w:tcPr/>
          <w:p>
            <w:pPr>
              <w:pStyle w:val="Compact"/>
              <w:jc w:val="center"/>
            </w:pPr>
            <w:r>
              <w:t xml:space="preserve">5</w:t>
            </w:r>
          </w:p>
        </w:tc>
        <w:tc>
          <w:tcPr/>
          <w:p>
            <w:pPr>
              <w:pStyle w:val="Compact"/>
              <w:jc w:val="center"/>
            </w:pPr>
            <w:r>
              <w:t xml:space="preserve">Folistatin 50ng/ml 7d (n=)</w:t>
            </w:r>
          </w:p>
        </w:tc>
        <w:tc>
          <w:tcPr/>
          <w:p>
            <w:pPr>
              <w:pStyle w:val="Compact"/>
              <w:jc w:val="center"/>
            </w:pPr>
            <w:r>
              <w:t xml:space="preserve">0.6067</w:t>
            </w:r>
          </w:p>
        </w:tc>
        <w:tc>
          <w:tcPr/>
          <w:p>
            <w:pPr>
              <w:pStyle w:val="Compact"/>
              <w:jc w:val="center"/>
            </w:pPr>
            <w:r>
              <w:t xml:space="preserve">0.1108</w:t>
            </w:r>
          </w:p>
        </w:tc>
      </w:tr>
      <w:tr>
        <w:tc>
          <w:tcPr/>
          <w:p>
            <w:pPr>
              <w:pStyle w:val="Compact"/>
              <w:jc w:val="center"/>
            </w:pPr>
            <w:r>
              <w:t xml:space="preserve">5</w:t>
            </w:r>
          </w:p>
        </w:tc>
        <w:tc>
          <w:tcPr/>
          <w:p>
            <w:pPr>
              <w:pStyle w:val="Compact"/>
              <w:jc w:val="center"/>
            </w:pPr>
            <w:r>
              <w:t xml:space="preserve">SMIFH2 10µM 14d (n=4)</w:t>
            </w:r>
          </w:p>
        </w:tc>
        <w:tc>
          <w:tcPr/>
          <w:p>
            <w:pPr>
              <w:pStyle w:val="Compact"/>
              <w:jc w:val="center"/>
            </w:pPr>
            <w:r>
              <w:t xml:space="preserve">0.6116</w:t>
            </w:r>
          </w:p>
        </w:tc>
        <w:tc>
          <w:tcPr/>
          <w:p>
            <w:pPr>
              <w:pStyle w:val="Compact"/>
              <w:jc w:val="center"/>
            </w:pPr>
            <w:r>
              <w:t xml:space="preserve">0.1356</w:t>
            </w:r>
          </w:p>
        </w:tc>
      </w:tr>
      <w:tr>
        <w:tc>
          <w:tcPr/>
          <w:p>
            <w:pPr>
              <w:pStyle w:val="Compact"/>
              <w:jc w:val="center"/>
            </w:pPr>
            <w:r>
              <w:t xml:space="preserve">6</w:t>
            </w:r>
          </w:p>
        </w:tc>
        <w:tc>
          <w:tcPr/>
          <w:p>
            <w:pPr>
              <w:pStyle w:val="Compact"/>
              <w:jc w:val="center"/>
            </w:pPr>
            <w:r>
              <w:t xml:space="preserve">Activin 50ng/ml 14days (n=5)</w:t>
            </w:r>
          </w:p>
        </w:tc>
        <w:tc>
          <w:tcPr/>
          <w:p>
            <w:pPr>
              <w:pStyle w:val="Compact"/>
              <w:jc w:val="center"/>
            </w:pPr>
            <w:r>
              <w:t xml:space="preserve">0.3498</w:t>
            </w:r>
          </w:p>
        </w:tc>
        <w:tc>
          <w:tcPr/>
          <w:p>
            <w:pPr>
              <w:pStyle w:val="Compact"/>
              <w:jc w:val="center"/>
            </w:pPr>
            <w:r>
              <w:t xml:space="preserve">0.08917</w:t>
            </w:r>
          </w:p>
        </w:tc>
      </w:tr>
      <w:tr>
        <w:tc>
          <w:tcPr/>
          <w:p>
            <w:pPr>
              <w:pStyle w:val="Compact"/>
              <w:jc w:val="center"/>
            </w:pPr>
            <w:r>
              <w:t xml:space="preserve">6</w:t>
            </w:r>
          </w:p>
        </w:tc>
        <w:tc>
          <w:tcPr/>
          <w:p>
            <w:pPr>
              <w:pStyle w:val="Compact"/>
              <w:jc w:val="center"/>
            </w:pPr>
            <w:r>
              <w:t xml:space="preserve">Activin 50ng/ml 2days (n=5)</w:t>
            </w:r>
          </w:p>
        </w:tc>
        <w:tc>
          <w:tcPr/>
          <w:p>
            <w:pPr>
              <w:pStyle w:val="Compact"/>
              <w:jc w:val="center"/>
            </w:pPr>
            <w:r>
              <w:t xml:space="preserve">0.392</w:t>
            </w:r>
          </w:p>
        </w:tc>
        <w:tc>
          <w:tcPr/>
          <w:p>
            <w:pPr>
              <w:pStyle w:val="Compact"/>
              <w:jc w:val="center"/>
            </w:pPr>
            <w:r>
              <w:t xml:space="preserve">0.1203</w:t>
            </w:r>
          </w:p>
        </w:tc>
      </w:tr>
      <w:tr>
        <w:tc>
          <w:tcPr/>
          <w:p>
            <w:pPr>
              <w:pStyle w:val="Compact"/>
              <w:jc w:val="center"/>
            </w:pPr>
            <w:r>
              <w:t xml:space="preserve">6</w:t>
            </w:r>
          </w:p>
        </w:tc>
        <w:tc>
          <w:tcPr/>
          <w:p>
            <w:pPr>
              <w:pStyle w:val="Compact"/>
              <w:jc w:val="center"/>
            </w:pPr>
            <w:r>
              <w:t xml:space="preserve">Control 14days (n=9)</w:t>
            </w:r>
          </w:p>
        </w:tc>
        <w:tc>
          <w:tcPr/>
          <w:p>
            <w:pPr>
              <w:pStyle w:val="Compact"/>
              <w:jc w:val="center"/>
            </w:pPr>
            <w:r>
              <w:t xml:space="preserve">0.5492</w:t>
            </w:r>
          </w:p>
        </w:tc>
        <w:tc>
          <w:tcPr/>
          <w:p>
            <w:pPr>
              <w:pStyle w:val="Compact"/>
              <w:jc w:val="center"/>
            </w:pPr>
            <w:r>
              <w:t xml:space="preserve">0.1763</w:t>
            </w:r>
          </w:p>
        </w:tc>
      </w:tr>
      <w:tr>
        <w:tc>
          <w:tcPr/>
          <w:p>
            <w:pPr>
              <w:pStyle w:val="Compact"/>
              <w:jc w:val="center"/>
            </w:pPr>
            <w:r>
              <w:t xml:space="preserve">6</w:t>
            </w:r>
          </w:p>
        </w:tc>
        <w:tc>
          <w:tcPr/>
          <w:p>
            <w:pPr>
              <w:pStyle w:val="Compact"/>
              <w:jc w:val="center"/>
            </w:pPr>
            <w:r>
              <w:t xml:space="preserve">Control 7days (n=10)</w:t>
            </w:r>
          </w:p>
        </w:tc>
        <w:tc>
          <w:tcPr/>
          <w:p>
            <w:pPr>
              <w:pStyle w:val="Compact"/>
              <w:jc w:val="center"/>
            </w:pPr>
            <w:r>
              <w:t xml:space="preserve">0.4754</w:t>
            </w:r>
          </w:p>
        </w:tc>
        <w:tc>
          <w:tcPr/>
          <w:p>
            <w:pPr>
              <w:pStyle w:val="Compact"/>
              <w:jc w:val="center"/>
            </w:pPr>
            <w:r>
              <w:t xml:space="preserve">0.0994</w:t>
            </w:r>
          </w:p>
        </w:tc>
      </w:tr>
      <w:tr>
        <w:tc>
          <w:tcPr/>
          <w:p>
            <w:pPr>
              <w:pStyle w:val="Compact"/>
              <w:jc w:val="center"/>
            </w:pPr>
            <w:r>
              <w:t xml:space="preserve">6</w:t>
            </w:r>
          </w:p>
        </w:tc>
        <w:tc>
          <w:tcPr/>
          <w:p>
            <w:pPr>
              <w:pStyle w:val="Compact"/>
              <w:jc w:val="center"/>
            </w:pPr>
            <w:r>
              <w:t xml:space="preserve">Folistatin 50ng/ml 14d (n=)</w:t>
            </w:r>
          </w:p>
        </w:tc>
        <w:tc>
          <w:tcPr/>
          <w:p>
            <w:pPr>
              <w:pStyle w:val="Compact"/>
              <w:jc w:val="center"/>
            </w:pPr>
            <w:r>
              <w:t xml:space="preserve">0.7148</w:t>
            </w:r>
          </w:p>
        </w:tc>
        <w:tc>
          <w:tcPr/>
          <w:p>
            <w:pPr>
              <w:pStyle w:val="Compact"/>
              <w:jc w:val="center"/>
            </w:pPr>
            <w:r>
              <w:t xml:space="preserve">0.02615</w:t>
            </w:r>
          </w:p>
        </w:tc>
      </w:tr>
      <w:tr>
        <w:tc>
          <w:tcPr/>
          <w:p>
            <w:pPr>
              <w:pStyle w:val="Compact"/>
              <w:jc w:val="center"/>
            </w:pPr>
            <w:r>
              <w:t xml:space="preserve">6</w:t>
            </w:r>
          </w:p>
        </w:tc>
        <w:tc>
          <w:tcPr/>
          <w:p>
            <w:pPr>
              <w:pStyle w:val="Compact"/>
              <w:jc w:val="center"/>
            </w:pPr>
            <w:r>
              <w:t xml:space="preserve">Folistatin 50ng/ml 7d (n=)</w:t>
            </w:r>
          </w:p>
        </w:tc>
        <w:tc>
          <w:tcPr/>
          <w:p>
            <w:pPr>
              <w:pStyle w:val="Compact"/>
              <w:jc w:val="center"/>
            </w:pPr>
            <w:r>
              <w:t xml:space="preserve">0.533</w:t>
            </w:r>
          </w:p>
        </w:tc>
        <w:tc>
          <w:tcPr/>
          <w:p>
            <w:pPr>
              <w:pStyle w:val="Compact"/>
              <w:jc w:val="center"/>
            </w:pPr>
            <w:r>
              <w:t xml:space="preserve">0.1631</w:t>
            </w:r>
          </w:p>
        </w:tc>
      </w:tr>
      <w:tr>
        <w:tc>
          <w:tcPr/>
          <w:p>
            <w:pPr>
              <w:pStyle w:val="Compact"/>
              <w:jc w:val="center"/>
            </w:pPr>
            <w:r>
              <w:t xml:space="preserve">6</w:t>
            </w:r>
          </w:p>
        </w:tc>
        <w:tc>
          <w:tcPr/>
          <w:p>
            <w:pPr>
              <w:pStyle w:val="Compact"/>
              <w:jc w:val="center"/>
            </w:pPr>
            <w:r>
              <w:t xml:space="preserve">SMIFH2 10µM 14d (n=4)</w:t>
            </w:r>
          </w:p>
        </w:tc>
        <w:tc>
          <w:tcPr/>
          <w:p>
            <w:pPr>
              <w:pStyle w:val="Compact"/>
              <w:jc w:val="center"/>
            </w:pPr>
            <w:r>
              <w:t xml:space="preserve">0.6212</w:t>
            </w:r>
          </w:p>
        </w:tc>
        <w:tc>
          <w:tcPr/>
          <w:p>
            <w:pPr>
              <w:pStyle w:val="Compact"/>
              <w:jc w:val="center"/>
            </w:pPr>
            <w:r>
              <w:t xml:space="preserve">0.0688</w:t>
            </w:r>
          </w:p>
        </w:tc>
      </w:tr>
      <w:tr>
        <w:tc>
          <w:tcPr/>
          <w:p>
            <w:pPr>
              <w:pStyle w:val="Compact"/>
              <w:jc w:val="center"/>
            </w:pPr>
            <w:r>
              <w:t xml:space="preserve">7</w:t>
            </w:r>
          </w:p>
        </w:tc>
        <w:tc>
          <w:tcPr/>
          <w:p>
            <w:pPr>
              <w:pStyle w:val="Compact"/>
              <w:jc w:val="center"/>
            </w:pPr>
            <w:r>
              <w:t xml:space="preserve">Activin 50ng/ml 14days (n=5)</w:t>
            </w:r>
          </w:p>
        </w:tc>
        <w:tc>
          <w:tcPr/>
          <w:p>
            <w:pPr>
              <w:pStyle w:val="Compact"/>
              <w:jc w:val="center"/>
            </w:pPr>
            <w:r>
              <w:t xml:space="preserve">0.3337</w:t>
            </w:r>
          </w:p>
        </w:tc>
        <w:tc>
          <w:tcPr/>
          <w:p>
            <w:pPr>
              <w:pStyle w:val="Compact"/>
              <w:jc w:val="center"/>
            </w:pPr>
            <w:r>
              <w:t xml:space="preserve">0.1421</w:t>
            </w:r>
          </w:p>
        </w:tc>
      </w:tr>
      <w:tr>
        <w:tc>
          <w:tcPr/>
          <w:p>
            <w:pPr>
              <w:pStyle w:val="Compact"/>
              <w:jc w:val="center"/>
            </w:pPr>
            <w:r>
              <w:t xml:space="preserve">7</w:t>
            </w:r>
          </w:p>
        </w:tc>
        <w:tc>
          <w:tcPr/>
          <w:p>
            <w:pPr>
              <w:pStyle w:val="Compact"/>
              <w:jc w:val="center"/>
            </w:pPr>
            <w:r>
              <w:t xml:space="preserve">Activin 50ng/ml 2days (n=5)</w:t>
            </w:r>
          </w:p>
        </w:tc>
        <w:tc>
          <w:tcPr/>
          <w:p>
            <w:pPr>
              <w:pStyle w:val="Compact"/>
              <w:jc w:val="center"/>
            </w:pPr>
            <w:r>
              <w:t xml:space="preserve">0.3357</w:t>
            </w:r>
          </w:p>
        </w:tc>
        <w:tc>
          <w:tcPr/>
          <w:p>
            <w:pPr>
              <w:pStyle w:val="Compact"/>
              <w:jc w:val="center"/>
            </w:pPr>
            <w:r>
              <w:t xml:space="preserve">0.09613</w:t>
            </w:r>
          </w:p>
        </w:tc>
      </w:tr>
      <w:tr>
        <w:tc>
          <w:tcPr/>
          <w:p>
            <w:pPr>
              <w:pStyle w:val="Compact"/>
              <w:jc w:val="center"/>
            </w:pPr>
            <w:r>
              <w:t xml:space="preserve">7</w:t>
            </w:r>
          </w:p>
        </w:tc>
        <w:tc>
          <w:tcPr/>
          <w:p>
            <w:pPr>
              <w:pStyle w:val="Compact"/>
              <w:jc w:val="center"/>
            </w:pPr>
            <w:r>
              <w:t xml:space="preserve">Control 14days (n=9)</w:t>
            </w:r>
          </w:p>
        </w:tc>
        <w:tc>
          <w:tcPr/>
          <w:p>
            <w:pPr>
              <w:pStyle w:val="Compact"/>
              <w:jc w:val="center"/>
            </w:pPr>
            <w:r>
              <w:t xml:space="preserve">0.5385</w:t>
            </w:r>
          </w:p>
        </w:tc>
        <w:tc>
          <w:tcPr/>
          <w:p>
            <w:pPr>
              <w:pStyle w:val="Compact"/>
              <w:jc w:val="center"/>
            </w:pPr>
            <w:r>
              <w:t xml:space="preserve">0.1711</w:t>
            </w:r>
          </w:p>
        </w:tc>
      </w:tr>
      <w:tr>
        <w:tc>
          <w:tcPr/>
          <w:p>
            <w:pPr>
              <w:pStyle w:val="Compact"/>
              <w:jc w:val="center"/>
            </w:pPr>
            <w:r>
              <w:t xml:space="preserve">7</w:t>
            </w:r>
          </w:p>
        </w:tc>
        <w:tc>
          <w:tcPr/>
          <w:p>
            <w:pPr>
              <w:pStyle w:val="Compact"/>
              <w:jc w:val="center"/>
            </w:pPr>
            <w:r>
              <w:t xml:space="preserve">Control 7days (n=10)</w:t>
            </w:r>
          </w:p>
        </w:tc>
        <w:tc>
          <w:tcPr/>
          <w:p>
            <w:pPr>
              <w:pStyle w:val="Compact"/>
              <w:jc w:val="center"/>
            </w:pPr>
            <w:r>
              <w:t xml:space="preserve">0.4225</w:t>
            </w:r>
          </w:p>
        </w:tc>
        <w:tc>
          <w:tcPr/>
          <w:p>
            <w:pPr>
              <w:pStyle w:val="Compact"/>
              <w:jc w:val="center"/>
            </w:pPr>
            <w:r>
              <w:t xml:space="preserve">0.1302</w:t>
            </w:r>
          </w:p>
        </w:tc>
      </w:tr>
      <w:tr>
        <w:tc>
          <w:tcPr/>
          <w:p>
            <w:pPr>
              <w:pStyle w:val="Compact"/>
              <w:jc w:val="center"/>
            </w:pPr>
            <w:r>
              <w:t xml:space="preserve">7</w:t>
            </w:r>
          </w:p>
        </w:tc>
        <w:tc>
          <w:tcPr/>
          <w:p>
            <w:pPr>
              <w:pStyle w:val="Compact"/>
              <w:jc w:val="center"/>
            </w:pPr>
            <w:r>
              <w:t xml:space="preserve">Folistatin 50ng/ml 14d (n=)</w:t>
            </w:r>
          </w:p>
        </w:tc>
        <w:tc>
          <w:tcPr/>
          <w:p>
            <w:pPr>
              <w:pStyle w:val="Compact"/>
              <w:jc w:val="center"/>
            </w:pPr>
            <w:r>
              <w:t xml:space="preserve">0.6071</w:t>
            </w:r>
          </w:p>
        </w:tc>
        <w:tc>
          <w:tcPr/>
          <w:p>
            <w:pPr>
              <w:pStyle w:val="Compact"/>
              <w:jc w:val="center"/>
            </w:pPr>
            <w:r>
              <w:t xml:space="preserve">0.03077</w:t>
            </w:r>
          </w:p>
        </w:tc>
      </w:tr>
      <w:tr>
        <w:tc>
          <w:tcPr/>
          <w:p>
            <w:pPr>
              <w:pStyle w:val="Compact"/>
              <w:jc w:val="center"/>
            </w:pPr>
            <w:r>
              <w:t xml:space="preserve">7</w:t>
            </w:r>
          </w:p>
        </w:tc>
        <w:tc>
          <w:tcPr/>
          <w:p>
            <w:pPr>
              <w:pStyle w:val="Compact"/>
              <w:jc w:val="center"/>
            </w:pPr>
            <w:r>
              <w:t xml:space="preserve">Folistatin 50ng/ml 7d (n=)</w:t>
            </w:r>
          </w:p>
        </w:tc>
        <w:tc>
          <w:tcPr/>
          <w:p>
            <w:pPr>
              <w:pStyle w:val="Compact"/>
              <w:jc w:val="center"/>
            </w:pPr>
            <w:r>
              <w:t xml:space="preserve">0.5005</w:t>
            </w:r>
          </w:p>
        </w:tc>
        <w:tc>
          <w:tcPr/>
          <w:p>
            <w:pPr>
              <w:pStyle w:val="Compact"/>
              <w:jc w:val="center"/>
            </w:pPr>
            <w:r>
              <w:t xml:space="preserve">0.1271</w:t>
            </w:r>
          </w:p>
        </w:tc>
      </w:tr>
      <w:tr>
        <w:tc>
          <w:tcPr/>
          <w:p>
            <w:pPr>
              <w:pStyle w:val="Compact"/>
              <w:jc w:val="center"/>
            </w:pPr>
            <w:r>
              <w:t xml:space="preserve">7</w:t>
            </w:r>
          </w:p>
        </w:tc>
        <w:tc>
          <w:tcPr/>
          <w:p>
            <w:pPr>
              <w:pStyle w:val="Compact"/>
              <w:jc w:val="center"/>
            </w:pPr>
            <w:r>
              <w:t xml:space="preserve">SMIFH2 10µM 14d (n=4)</w:t>
            </w:r>
          </w:p>
        </w:tc>
        <w:tc>
          <w:tcPr/>
          <w:p>
            <w:pPr>
              <w:pStyle w:val="Compact"/>
              <w:jc w:val="center"/>
            </w:pPr>
            <w:r>
              <w:t xml:space="preserve">0.492</w:t>
            </w:r>
          </w:p>
        </w:tc>
        <w:tc>
          <w:tcPr/>
          <w:p>
            <w:pPr>
              <w:pStyle w:val="Compact"/>
              <w:jc w:val="center"/>
            </w:pPr>
            <w:r>
              <w:t xml:space="preserve">0.08463</w:t>
            </w:r>
          </w:p>
        </w:tc>
      </w:tr>
      <w:tr>
        <w:tc>
          <w:tcPr/>
          <w:p>
            <w:pPr>
              <w:pStyle w:val="Compact"/>
              <w:jc w:val="center"/>
            </w:pPr>
            <w:r>
              <w:t xml:space="preserve">8</w:t>
            </w:r>
          </w:p>
        </w:tc>
        <w:tc>
          <w:tcPr/>
          <w:p>
            <w:pPr>
              <w:pStyle w:val="Compact"/>
              <w:jc w:val="center"/>
            </w:pPr>
            <w:r>
              <w:t xml:space="preserve">Activin 50ng/ml 14days (n=5)</w:t>
            </w:r>
          </w:p>
        </w:tc>
        <w:tc>
          <w:tcPr/>
          <w:p>
            <w:pPr>
              <w:pStyle w:val="Compact"/>
              <w:jc w:val="center"/>
            </w:pPr>
            <w:r>
              <w:t xml:space="preserve">0.2915</w:t>
            </w:r>
          </w:p>
        </w:tc>
        <w:tc>
          <w:tcPr/>
          <w:p>
            <w:pPr>
              <w:pStyle w:val="Compact"/>
              <w:jc w:val="center"/>
            </w:pPr>
            <w:r>
              <w:t xml:space="preserve">0.1502</w:t>
            </w:r>
          </w:p>
        </w:tc>
      </w:tr>
      <w:tr>
        <w:tc>
          <w:tcPr/>
          <w:p>
            <w:pPr>
              <w:pStyle w:val="Compact"/>
              <w:jc w:val="center"/>
            </w:pPr>
            <w:r>
              <w:t xml:space="preserve">8</w:t>
            </w:r>
          </w:p>
        </w:tc>
        <w:tc>
          <w:tcPr/>
          <w:p>
            <w:pPr>
              <w:pStyle w:val="Compact"/>
              <w:jc w:val="center"/>
            </w:pPr>
            <w:r>
              <w:t xml:space="preserve">Activin 50ng/ml 2days (n=5)</w:t>
            </w:r>
          </w:p>
        </w:tc>
        <w:tc>
          <w:tcPr/>
          <w:p>
            <w:pPr>
              <w:pStyle w:val="Compact"/>
              <w:jc w:val="center"/>
            </w:pPr>
            <w:r>
              <w:t xml:space="preserve">0.2828</w:t>
            </w:r>
          </w:p>
        </w:tc>
        <w:tc>
          <w:tcPr/>
          <w:p>
            <w:pPr>
              <w:pStyle w:val="Compact"/>
              <w:jc w:val="center"/>
            </w:pPr>
            <w:r>
              <w:t xml:space="preserve">0.08893</w:t>
            </w:r>
          </w:p>
        </w:tc>
      </w:tr>
      <w:tr>
        <w:tc>
          <w:tcPr/>
          <w:p>
            <w:pPr>
              <w:pStyle w:val="Compact"/>
              <w:jc w:val="center"/>
            </w:pPr>
            <w:r>
              <w:t xml:space="preserve">8</w:t>
            </w:r>
          </w:p>
        </w:tc>
        <w:tc>
          <w:tcPr/>
          <w:p>
            <w:pPr>
              <w:pStyle w:val="Compact"/>
              <w:jc w:val="center"/>
            </w:pPr>
            <w:r>
              <w:t xml:space="preserve">Control 14days (n=9)</w:t>
            </w:r>
          </w:p>
        </w:tc>
        <w:tc>
          <w:tcPr/>
          <w:p>
            <w:pPr>
              <w:pStyle w:val="Compact"/>
              <w:jc w:val="center"/>
            </w:pPr>
            <w:r>
              <w:t xml:space="preserve">0.4453</w:t>
            </w:r>
          </w:p>
        </w:tc>
        <w:tc>
          <w:tcPr/>
          <w:p>
            <w:pPr>
              <w:pStyle w:val="Compact"/>
              <w:jc w:val="center"/>
            </w:pPr>
            <w:r>
              <w:t xml:space="preserve">0.1535</w:t>
            </w:r>
          </w:p>
        </w:tc>
      </w:tr>
      <w:tr>
        <w:tc>
          <w:tcPr/>
          <w:p>
            <w:pPr>
              <w:pStyle w:val="Compact"/>
              <w:jc w:val="center"/>
            </w:pPr>
            <w:r>
              <w:t xml:space="preserve">8</w:t>
            </w:r>
          </w:p>
        </w:tc>
        <w:tc>
          <w:tcPr/>
          <w:p>
            <w:pPr>
              <w:pStyle w:val="Compact"/>
              <w:jc w:val="center"/>
            </w:pPr>
            <w:r>
              <w:t xml:space="preserve">Control 7days (n=10)</w:t>
            </w:r>
          </w:p>
        </w:tc>
        <w:tc>
          <w:tcPr/>
          <w:p>
            <w:pPr>
              <w:pStyle w:val="Compact"/>
              <w:jc w:val="center"/>
            </w:pPr>
            <w:r>
              <w:t xml:space="preserve">0.3669</w:t>
            </w:r>
          </w:p>
        </w:tc>
        <w:tc>
          <w:tcPr/>
          <w:p>
            <w:pPr>
              <w:pStyle w:val="Compact"/>
              <w:jc w:val="center"/>
            </w:pPr>
            <w:r>
              <w:t xml:space="preserve">0.1187</w:t>
            </w:r>
          </w:p>
        </w:tc>
      </w:tr>
      <w:tr>
        <w:tc>
          <w:tcPr/>
          <w:p>
            <w:pPr>
              <w:pStyle w:val="Compact"/>
              <w:jc w:val="center"/>
            </w:pPr>
            <w:r>
              <w:t xml:space="preserve">8</w:t>
            </w:r>
          </w:p>
        </w:tc>
        <w:tc>
          <w:tcPr/>
          <w:p>
            <w:pPr>
              <w:pStyle w:val="Compact"/>
              <w:jc w:val="center"/>
            </w:pPr>
            <w:r>
              <w:t xml:space="preserve">Folistatin 50ng/ml 14d (n=)</w:t>
            </w:r>
          </w:p>
        </w:tc>
        <w:tc>
          <w:tcPr/>
          <w:p>
            <w:pPr>
              <w:pStyle w:val="Compact"/>
              <w:jc w:val="center"/>
            </w:pPr>
            <w:r>
              <w:t xml:space="preserve">0.6051</w:t>
            </w:r>
          </w:p>
        </w:tc>
        <w:tc>
          <w:tcPr/>
          <w:p>
            <w:pPr>
              <w:pStyle w:val="Compact"/>
              <w:jc w:val="center"/>
            </w:pPr>
            <w:r>
              <w:t xml:space="preserve">0.0802</w:t>
            </w:r>
          </w:p>
        </w:tc>
      </w:tr>
      <w:tr>
        <w:tc>
          <w:tcPr/>
          <w:p>
            <w:pPr>
              <w:pStyle w:val="Compact"/>
              <w:jc w:val="center"/>
            </w:pPr>
            <w:r>
              <w:t xml:space="preserve">8</w:t>
            </w:r>
          </w:p>
        </w:tc>
        <w:tc>
          <w:tcPr/>
          <w:p>
            <w:pPr>
              <w:pStyle w:val="Compact"/>
              <w:jc w:val="center"/>
            </w:pPr>
            <w:r>
              <w:t xml:space="preserve">Folistatin 50ng/ml 7d (n=)</w:t>
            </w:r>
          </w:p>
        </w:tc>
        <w:tc>
          <w:tcPr/>
          <w:p>
            <w:pPr>
              <w:pStyle w:val="Compact"/>
              <w:jc w:val="center"/>
            </w:pPr>
            <w:r>
              <w:t xml:space="preserve">0.4466</w:t>
            </w:r>
          </w:p>
        </w:tc>
        <w:tc>
          <w:tcPr/>
          <w:p>
            <w:pPr>
              <w:pStyle w:val="Compact"/>
              <w:jc w:val="center"/>
            </w:pPr>
            <w:r>
              <w:t xml:space="preserve">0.1297</w:t>
            </w:r>
          </w:p>
        </w:tc>
      </w:tr>
      <w:tr>
        <w:tc>
          <w:tcPr/>
          <w:p>
            <w:pPr>
              <w:pStyle w:val="Compact"/>
              <w:jc w:val="center"/>
            </w:pPr>
            <w:r>
              <w:t xml:space="preserve">8</w:t>
            </w:r>
          </w:p>
        </w:tc>
        <w:tc>
          <w:tcPr/>
          <w:p>
            <w:pPr>
              <w:pStyle w:val="Compact"/>
              <w:jc w:val="center"/>
            </w:pPr>
            <w:r>
              <w:t xml:space="preserve">SMIFH2 10µM 14d (n=4)</w:t>
            </w:r>
          </w:p>
        </w:tc>
        <w:tc>
          <w:tcPr/>
          <w:p>
            <w:pPr>
              <w:pStyle w:val="Compact"/>
              <w:jc w:val="center"/>
            </w:pPr>
            <w:r>
              <w:t xml:space="preserve">0.4492</w:t>
            </w:r>
          </w:p>
        </w:tc>
        <w:tc>
          <w:tcPr/>
          <w:p>
            <w:pPr>
              <w:pStyle w:val="Compact"/>
              <w:jc w:val="center"/>
            </w:pPr>
            <w:r>
              <w:t xml:space="preserve">0.09618</w:t>
            </w:r>
          </w:p>
        </w:tc>
      </w:tr>
      <w:tr>
        <w:tc>
          <w:tcPr/>
          <w:p>
            <w:pPr>
              <w:pStyle w:val="Compact"/>
              <w:jc w:val="center"/>
            </w:pPr>
            <w:r>
              <w:t xml:space="preserve">9</w:t>
            </w:r>
          </w:p>
        </w:tc>
        <w:tc>
          <w:tcPr/>
          <w:p>
            <w:pPr>
              <w:pStyle w:val="Compact"/>
              <w:jc w:val="center"/>
            </w:pPr>
            <w:r>
              <w:t xml:space="preserve">Activin 50ng/ml 14days (n=5)</w:t>
            </w:r>
          </w:p>
        </w:tc>
        <w:tc>
          <w:tcPr/>
          <w:p>
            <w:pPr>
              <w:pStyle w:val="Compact"/>
              <w:jc w:val="center"/>
            </w:pPr>
            <w:r>
              <w:t xml:space="preserve">0.2011</w:t>
            </w:r>
          </w:p>
        </w:tc>
        <w:tc>
          <w:tcPr/>
          <w:p>
            <w:pPr>
              <w:pStyle w:val="Compact"/>
              <w:jc w:val="center"/>
            </w:pPr>
            <w:r>
              <w:t xml:space="preserve">0.1121</w:t>
            </w:r>
          </w:p>
        </w:tc>
      </w:tr>
      <w:tr>
        <w:tc>
          <w:tcPr/>
          <w:p>
            <w:pPr>
              <w:pStyle w:val="Compact"/>
              <w:jc w:val="center"/>
            </w:pPr>
            <w:r>
              <w:t xml:space="preserve">9</w:t>
            </w:r>
          </w:p>
        </w:tc>
        <w:tc>
          <w:tcPr/>
          <w:p>
            <w:pPr>
              <w:pStyle w:val="Compact"/>
              <w:jc w:val="center"/>
            </w:pPr>
            <w:r>
              <w:t xml:space="preserve">Activin 50ng/ml 2days (n=5)</w:t>
            </w:r>
          </w:p>
        </w:tc>
        <w:tc>
          <w:tcPr/>
          <w:p>
            <w:pPr>
              <w:pStyle w:val="Compact"/>
              <w:jc w:val="center"/>
            </w:pPr>
            <w:r>
              <w:t xml:space="preserve">0.2273</w:t>
            </w:r>
          </w:p>
        </w:tc>
        <w:tc>
          <w:tcPr/>
          <w:p>
            <w:pPr>
              <w:pStyle w:val="Compact"/>
              <w:jc w:val="center"/>
            </w:pPr>
            <w:r>
              <w:t xml:space="preserve">0.129</w:t>
            </w:r>
          </w:p>
        </w:tc>
      </w:tr>
      <w:tr>
        <w:tc>
          <w:tcPr/>
          <w:p>
            <w:pPr>
              <w:pStyle w:val="Compact"/>
              <w:jc w:val="center"/>
            </w:pPr>
            <w:r>
              <w:t xml:space="preserve">9</w:t>
            </w:r>
          </w:p>
        </w:tc>
        <w:tc>
          <w:tcPr/>
          <w:p>
            <w:pPr>
              <w:pStyle w:val="Compact"/>
              <w:jc w:val="center"/>
            </w:pPr>
            <w:r>
              <w:t xml:space="preserve">Control 14days (n=9)</w:t>
            </w:r>
          </w:p>
        </w:tc>
        <w:tc>
          <w:tcPr/>
          <w:p>
            <w:pPr>
              <w:pStyle w:val="Compact"/>
              <w:jc w:val="center"/>
            </w:pPr>
            <w:r>
              <w:t xml:space="preserve">0.3633</w:t>
            </w:r>
          </w:p>
        </w:tc>
        <w:tc>
          <w:tcPr/>
          <w:p>
            <w:pPr>
              <w:pStyle w:val="Compact"/>
              <w:jc w:val="center"/>
            </w:pPr>
            <w:r>
              <w:t xml:space="preserve">0.1463</w:t>
            </w:r>
          </w:p>
        </w:tc>
      </w:tr>
      <w:tr>
        <w:tc>
          <w:tcPr/>
          <w:p>
            <w:pPr>
              <w:pStyle w:val="Compact"/>
              <w:jc w:val="center"/>
            </w:pPr>
            <w:r>
              <w:t xml:space="preserve">9</w:t>
            </w:r>
          </w:p>
        </w:tc>
        <w:tc>
          <w:tcPr/>
          <w:p>
            <w:pPr>
              <w:pStyle w:val="Compact"/>
              <w:jc w:val="center"/>
            </w:pPr>
            <w:r>
              <w:t xml:space="preserve">Control 7days (n=10)</w:t>
            </w:r>
          </w:p>
        </w:tc>
        <w:tc>
          <w:tcPr/>
          <w:p>
            <w:pPr>
              <w:pStyle w:val="Compact"/>
              <w:jc w:val="center"/>
            </w:pPr>
            <w:r>
              <w:t xml:space="preserve">0.3</w:t>
            </w:r>
          </w:p>
        </w:tc>
        <w:tc>
          <w:tcPr/>
          <w:p>
            <w:pPr>
              <w:pStyle w:val="Compact"/>
              <w:jc w:val="center"/>
            </w:pPr>
            <w:r>
              <w:t xml:space="preserve">0.14</w:t>
            </w:r>
          </w:p>
        </w:tc>
      </w:tr>
      <w:tr>
        <w:tc>
          <w:tcPr/>
          <w:p>
            <w:pPr>
              <w:pStyle w:val="Compact"/>
              <w:jc w:val="center"/>
            </w:pPr>
            <w:r>
              <w:t xml:space="preserve">9</w:t>
            </w:r>
          </w:p>
        </w:tc>
        <w:tc>
          <w:tcPr/>
          <w:p>
            <w:pPr>
              <w:pStyle w:val="Compact"/>
              <w:jc w:val="center"/>
            </w:pPr>
            <w:r>
              <w:t xml:space="preserve">Folistatin 50ng/ml 14d (n=)</w:t>
            </w:r>
          </w:p>
        </w:tc>
        <w:tc>
          <w:tcPr/>
          <w:p>
            <w:pPr>
              <w:pStyle w:val="Compact"/>
              <w:jc w:val="center"/>
            </w:pPr>
            <w:r>
              <w:t xml:space="preserve">0.4558</w:t>
            </w:r>
          </w:p>
        </w:tc>
        <w:tc>
          <w:tcPr/>
          <w:p>
            <w:pPr>
              <w:pStyle w:val="Compact"/>
              <w:jc w:val="center"/>
            </w:pPr>
            <w:r>
              <w:t xml:space="preserve">0.08312</w:t>
            </w:r>
          </w:p>
        </w:tc>
      </w:tr>
      <w:tr>
        <w:tc>
          <w:tcPr/>
          <w:p>
            <w:pPr>
              <w:pStyle w:val="Compact"/>
              <w:jc w:val="center"/>
            </w:pPr>
            <w:r>
              <w:t xml:space="preserve">9</w:t>
            </w:r>
          </w:p>
        </w:tc>
        <w:tc>
          <w:tcPr/>
          <w:p>
            <w:pPr>
              <w:pStyle w:val="Compact"/>
              <w:jc w:val="center"/>
            </w:pPr>
            <w:r>
              <w:t xml:space="preserve">Folistatin 50ng/ml 7d (n=)</w:t>
            </w:r>
          </w:p>
        </w:tc>
        <w:tc>
          <w:tcPr/>
          <w:p>
            <w:pPr>
              <w:pStyle w:val="Compact"/>
              <w:jc w:val="center"/>
            </w:pPr>
            <w:r>
              <w:t xml:space="preserve">0.3408</w:t>
            </w:r>
          </w:p>
        </w:tc>
        <w:tc>
          <w:tcPr/>
          <w:p>
            <w:pPr>
              <w:pStyle w:val="Compact"/>
              <w:jc w:val="center"/>
            </w:pPr>
            <w:r>
              <w:t xml:space="preserve">0.09633</w:t>
            </w:r>
          </w:p>
        </w:tc>
      </w:tr>
      <w:tr>
        <w:tc>
          <w:tcPr/>
          <w:p>
            <w:pPr>
              <w:pStyle w:val="Compact"/>
              <w:jc w:val="center"/>
            </w:pPr>
            <w:r>
              <w:t xml:space="preserve">9</w:t>
            </w:r>
          </w:p>
        </w:tc>
        <w:tc>
          <w:tcPr/>
          <w:p>
            <w:pPr>
              <w:pStyle w:val="Compact"/>
              <w:jc w:val="center"/>
            </w:pPr>
            <w:r>
              <w:t xml:space="preserve">SMIFH2 10µM 14d (n=4)</w:t>
            </w:r>
          </w:p>
        </w:tc>
        <w:tc>
          <w:tcPr/>
          <w:p>
            <w:pPr>
              <w:pStyle w:val="Compact"/>
              <w:jc w:val="center"/>
            </w:pPr>
            <w:r>
              <w:t xml:space="preserve">0.3504</w:t>
            </w:r>
          </w:p>
        </w:tc>
        <w:tc>
          <w:tcPr/>
          <w:p>
            <w:pPr>
              <w:pStyle w:val="Compact"/>
              <w:jc w:val="center"/>
            </w:pPr>
            <w:r>
              <w:t xml:space="preserve">0.05462</w:t>
            </w:r>
          </w:p>
        </w:tc>
      </w:tr>
      <w:tr>
        <w:tc>
          <w:tcPr/>
          <w:p>
            <w:pPr>
              <w:pStyle w:val="Compact"/>
              <w:jc w:val="center"/>
            </w:pPr>
            <w:r>
              <w:t xml:space="preserve">10</w:t>
            </w:r>
          </w:p>
        </w:tc>
        <w:tc>
          <w:tcPr/>
          <w:p>
            <w:pPr>
              <w:pStyle w:val="Compact"/>
              <w:jc w:val="center"/>
            </w:pPr>
            <w:r>
              <w:t xml:space="preserve">Activin 50ng/ml 14days (n=5)</w:t>
            </w:r>
          </w:p>
        </w:tc>
        <w:tc>
          <w:tcPr/>
          <w:p>
            <w:pPr>
              <w:pStyle w:val="Compact"/>
              <w:jc w:val="center"/>
            </w:pPr>
            <w:r>
              <w:t xml:space="preserve">0.08703</w:t>
            </w:r>
          </w:p>
        </w:tc>
        <w:tc>
          <w:tcPr/>
          <w:p>
            <w:pPr>
              <w:pStyle w:val="Compact"/>
              <w:jc w:val="center"/>
            </w:pPr>
            <w:r>
              <w:t xml:space="preserve">0.02915</w:t>
            </w:r>
          </w:p>
        </w:tc>
      </w:tr>
      <w:tr>
        <w:tc>
          <w:tcPr/>
          <w:p>
            <w:pPr>
              <w:pStyle w:val="Compact"/>
              <w:jc w:val="center"/>
            </w:pPr>
            <w:r>
              <w:t xml:space="preserve">10</w:t>
            </w:r>
          </w:p>
        </w:tc>
        <w:tc>
          <w:tcPr/>
          <w:p>
            <w:pPr>
              <w:pStyle w:val="Compact"/>
              <w:jc w:val="center"/>
            </w:pPr>
            <w:r>
              <w:t xml:space="preserve">Activin 50ng/ml 2days (n=5)</w:t>
            </w:r>
          </w:p>
        </w:tc>
        <w:tc>
          <w:tcPr/>
          <w:p>
            <w:pPr>
              <w:pStyle w:val="Compact"/>
              <w:jc w:val="center"/>
            </w:pPr>
            <w:r>
              <w:t xml:space="preserve">0.2306</w:t>
            </w:r>
          </w:p>
        </w:tc>
        <w:tc>
          <w:tcPr/>
          <w:p>
            <w:pPr>
              <w:pStyle w:val="Compact"/>
              <w:jc w:val="center"/>
            </w:pPr>
            <w:r>
              <w:t xml:space="preserve">0.1209</w:t>
            </w:r>
          </w:p>
        </w:tc>
      </w:tr>
      <w:tr>
        <w:tc>
          <w:tcPr/>
          <w:p>
            <w:pPr>
              <w:pStyle w:val="Compact"/>
              <w:jc w:val="center"/>
            </w:pPr>
            <w:r>
              <w:t xml:space="preserve">10</w:t>
            </w:r>
          </w:p>
        </w:tc>
        <w:tc>
          <w:tcPr/>
          <w:p>
            <w:pPr>
              <w:pStyle w:val="Compact"/>
              <w:jc w:val="center"/>
            </w:pPr>
            <w:r>
              <w:t xml:space="preserve">Control 14days (n=9)</w:t>
            </w:r>
          </w:p>
        </w:tc>
        <w:tc>
          <w:tcPr/>
          <w:p>
            <w:pPr>
              <w:pStyle w:val="Compact"/>
              <w:jc w:val="center"/>
            </w:pPr>
            <w:r>
              <w:t xml:space="preserve">0.1647</w:t>
            </w:r>
          </w:p>
        </w:tc>
        <w:tc>
          <w:tcPr/>
          <w:p>
            <w:pPr>
              <w:pStyle w:val="Compact"/>
              <w:jc w:val="center"/>
            </w:pPr>
            <w:r>
              <w:t xml:space="preserve">0.07225</w:t>
            </w:r>
          </w:p>
        </w:tc>
      </w:tr>
      <w:tr>
        <w:tc>
          <w:tcPr/>
          <w:p>
            <w:pPr>
              <w:pStyle w:val="Compact"/>
              <w:jc w:val="center"/>
            </w:pPr>
            <w:r>
              <w:t xml:space="preserve">10</w:t>
            </w:r>
          </w:p>
        </w:tc>
        <w:tc>
          <w:tcPr/>
          <w:p>
            <w:pPr>
              <w:pStyle w:val="Compact"/>
              <w:jc w:val="center"/>
            </w:pPr>
            <w:r>
              <w:t xml:space="preserve">Control 7days (n=10)</w:t>
            </w:r>
          </w:p>
        </w:tc>
        <w:tc>
          <w:tcPr/>
          <w:p>
            <w:pPr>
              <w:pStyle w:val="Compact"/>
              <w:jc w:val="center"/>
            </w:pPr>
            <w:r>
              <w:t xml:space="preserve">0.1844</w:t>
            </w:r>
          </w:p>
        </w:tc>
        <w:tc>
          <w:tcPr/>
          <w:p>
            <w:pPr>
              <w:pStyle w:val="Compact"/>
              <w:jc w:val="center"/>
            </w:pPr>
            <w:r>
              <w:t xml:space="preserve">0.1108</w:t>
            </w:r>
          </w:p>
        </w:tc>
      </w:tr>
      <w:tr>
        <w:tc>
          <w:tcPr/>
          <w:p>
            <w:pPr>
              <w:pStyle w:val="Compact"/>
              <w:jc w:val="center"/>
            </w:pPr>
            <w:r>
              <w:t xml:space="preserve">10</w:t>
            </w:r>
          </w:p>
        </w:tc>
        <w:tc>
          <w:tcPr/>
          <w:p>
            <w:pPr>
              <w:pStyle w:val="Compact"/>
              <w:jc w:val="center"/>
            </w:pPr>
            <w:r>
              <w:t xml:space="preserve">Folistatin 50ng/ml 14d (n=)</w:t>
            </w:r>
          </w:p>
        </w:tc>
        <w:tc>
          <w:tcPr/>
          <w:p>
            <w:pPr>
              <w:pStyle w:val="Compact"/>
              <w:jc w:val="center"/>
            </w:pPr>
            <w:r>
              <w:t xml:space="preserve">0.2537</w:t>
            </w:r>
          </w:p>
        </w:tc>
        <w:tc>
          <w:tcPr/>
          <w:p>
            <w:pPr>
              <w:pStyle w:val="Compact"/>
              <w:jc w:val="center"/>
            </w:pPr>
            <w:r>
              <w:t xml:space="preserve">0.002749</w:t>
            </w:r>
          </w:p>
        </w:tc>
      </w:tr>
      <w:tr>
        <w:tc>
          <w:tcPr/>
          <w:p>
            <w:pPr>
              <w:pStyle w:val="Compact"/>
              <w:jc w:val="center"/>
            </w:pPr>
            <w:r>
              <w:t xml:space="preserve">10</w:t>
            </w:r>
          </w:p>
        </w:tc>
        <w:tc>
          <w:tcPr/>
          <w:p>
            <w:pPr>
              <w:pStyle w:val="Compact"/>
              <w:jc w:val="center"/>
            </w:pPr>
            <w:r>
              <w:t xml:space="preserve">Folistatin 50ng/ml 7d (n=)</w:t>
            </w:r>
          </w:p>
        </w:tc>
        <w:tc>
          <w:tcPr/>
          <w:p>
            <w:pPr>
              <w:pStyle w:val="Compact"/>
              <w:jc w:val="center"/>
            </w:pPr>
            <w:r>
              <w:t xml:space="preserve">0.2201</w:t>
            </w:r>
          </w:p>
        </w:tc>
        <w:tc>
          <w:tcPr/>
          <w:p>
            <w:pPr>
              <w:pStyle w:val="Compact"/>
              <w:jc w:val="center"/>
            </w:pPr>
            <w:r>
              <w:t xml:space="preserve">0.08443</w:t>
            </w:r>
          </w:p>
        </w:tc>
      </w:tr>
      <w:tr>
        <w:tc>
          <w:tcPr/>
          <w:p>
            <w:pPr>
              <w:pStyle w:val="Compact"/>
              <w:jc w:val="center"/>
            </w:pPr>
            <w:r>
              <w:t xml:space="preserve">10</w:t>
            </w:r>
          </w:p>
        </w:tc>
        <w:tc>
          <w:tcPr/>
          <w:p>
            <w:pPr>
              <w:pStyle w:val="Compact"/>
              <w:jc w:val="center"/>
            </w:pPr>
            <w:r>
              <w:t xml:space="preserve">SMIFH2 10µM 14d (n=4)</w:t>
            </w:r>
          </w:p>
        </w:tc>
        <w:tc>
          <w:tcPr/>
          <w:p>
            <w:pPr>
              <w:pStyle w:val="Compact"/>
              <w:jc w:val="center"/>
            </w:pPr>
            <w:r>
              <w:t xml:space="preserve">0.1615</w:t>
            </w:r>
          </w:p>
        </w:tc>
        <w:tc>
          <w:tcPr/>
          <w:p>
            <w:pPr>
              <w:pStyle w:val="Compact"/>
              <w:jc w:val="center"/>
            </w:pPr>
            <w:r>
              <w:t xml:space="preserve">0.05758</w:t>
            </w:r>
          </w:p>
        </w:tc>
      </w:tr>
    </w:tbl>
    <w:bookmarkEnd w:id="57"/>
    <w:bookmarkEnd w:id="58"/>
    <w:bookmarkStart w:id="62" w:name="references"/>
    <w:p>
      <w:pPr>
        <w:pStyle w:val="berschrift2"/>
      </w:pPr>
      <w:r>
        <w:t xml:space="preserve">References</w:t>
      </w:r>
    </w:p>
    <w:bookmarkStart w:id="61" w:name="refs"/>
    <w:bookmarkStart w:id="60" w:name="X4175f2d6a880cff244f25bc9442830b9798b728"/>
    <w:p>
      <w:pPr>
        <w:pStyle w:val="Literaturverzeichnis"/>
      </w:pPr>
      <w:r>
        <w:t xml:space="preserve">[1]</w:t>
      </w:r>
      <w:r>
        <w:t xml:space="preserve"> </w:t>
      </w:r>
      <w:r>
        <w:t xml:space="preserve">	</w:t>
      </w:r>
      <w:r>
        <w:t xml:space="preserve">Cangkrama M, Liu H, Whipman J, Zubair M, Matsushita M, Di Filippo M, et al. A</w:t>
      </w:r>
      <w:r>
        <w:t xml:space="preserve"> </w:t>
      </w:r>
      <w:r>
        <w:t xml:space="preserve">Protumorigenic mDia2-MIRO1 Axis Controls Mitochondrial Positioning</w:t>
      </w:r>
      <w:r>
        <w:t xml:space="preserve"> </w:t>
      </w:r>
      <w:r>
        <w:t xml:space="preserve">and</w:t>
      </w:r>
      <w:r>
        <w:t xml:space="preserve"> </w:t>
      </w:r>
      <w:r>
        <w:t xml:space="preserve">Function</w:t>
      </w:r>
      <w:r>
        <w:t xml:space="preserve"> </w:t>
      </w:r>
      <w:r>
        <w:t xml:space="preserve">in</w:t>
      </w:r>
      <w:r>
        <w:t xml:space="preserve"> </w:t>
      </w:r>
      <w:r>
        <w:t xml:space="preserve">Cancer-Associated Fibroblasts</w:t>
      </w:r>
      <w:r>
        <w:t xml:space="preserve">. Cancer Res 2022;82:3701–17.</w:t>
      </w:r>
      <w:r>
        <w:t xml:space="preserve"> </w:t>
      </w:r>
      <w:hyperlink r:id="rId59">
        <w:r>
          <w:rPr>
            <w:rStyle w:val="Hyperlink"/>
          </w:rPr>
          <w:t xml:space="preserve">https://doi.org/10.1158/0008-5472.CAN-22-0162</w:t>
        </w:r>
      </w:hyperlink>
      <w:r>
        <w:t xml:space="preserve">.</w:t>
      </w:r>
    </w:p>
    <w:bookmarkEnd w:id="60"/>
    <w:bookmarkEnd w:id="61"/>
    <w:bookmarkEnd w:id="62"/>
    <w:bookmarkStart w:id="63" w:name="methods-section-to-copy"/>
    <w:p>
      <w:pPr>
        <w:pStyle w:val="berschrift2"/>
      </w:pPr>
      <w:r>
        <w:t xml:space="preserve">Methods section to copy</w:t>
      </w:r>
    </w:p>
    <w:p>
      <w:pPr>
        <w:pStyle w:val="FirstParagraph"/>
      </w:pPr>
      <w:r>
        <w:t xml:space="preserve">TBA</w:t>
      </w:r>
    </w:p>
    <w:bookmarkEnd w:id="63"/>
    <w:sectPr w:rsidR="0066171F" w:rsidSect="00250CD9">
      <w:pgSz w:h="15840" w:w="12240"/>
      <w:pgMar w:bottom="1134" w:footer="720" w:gutter="0" w:header="720" w:left="1417" w:right="1417" w:top="1417"/>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venirNext LT Pro Regular">
    <w:panose1 w:val="020B0504020202020204"/>
    <w:charset w:val="00"/>
    <w:family w:val="swiss"/>
    <w:pitch w:val="variable"/>
    <w:sig w:usb0="800000AF" w:usb1="5000204A" w:usb2="00000000" w:usb3="00000000" w:csb0="0000009B"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DA3493D8"/>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1EE4234"/>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6DD4B50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F69A062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B2B0BBB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16CB6A2"/>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DBFA998A"/>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557CEE4A"/>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A036C8BA"/>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29C0301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15CC913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720863562" w:numId="1">
    <w:abstractNumId w:val="9"/>
  </w:num>
  <w:num w16cid:durableId="1065569572" w:numId="2">
    <w:abstractNumId w:val="7"/>
  </w:num>
  <w:num w16cid:durableId="180047065" w:numId="3">
    <w:abstractNumId w:val="6"/>
  </w:num>
  <w:num w16cid:durableId="2049599164" w:numId="4">
    <w:abstractNumId w:val="5"/>
  </w:num>
  <w:num w16cid:durableId="1336347997" w:numId="5">
    <w:abstractNumId w:val="4"/>
  </w:num>
  <w:num w16cid:durableId="2006856992" w:numId="6">
    <w:abstractNumId w:val="8"/>
  </w:num>
  <w:num w16cid:durableId="2129466331" w:numId="7">
    <w:abstractNumId w:val="3"/>
  </w:num>
  <w:num w16cid:durableId="754740175" w:numId="8">
    <w:abstractNumId w:val="2"/>
  </w:num>
  <w:num w16cid:durableId="2057006866" w:numId="9">
    <w:abstractNumId w:val="1"/>
  </w:num>
  <w:num w16cid:durableId="173540954" w:numId="10">
    <w:abstractNumId w:val="0"/>
  </w:num>
  <w:num w16cid:durableId="387807495" w:numId="11">
    <w:abstractNumId w:val="1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rsid w:val="004A45C5"/>
  </w:style>
  <w:style w:styleId="berschrift1" w:type="paragraph">
    <w:name w:val="heading 1"/>
    <w:basedOn w:val="Standard"/>
    <w:next w:val="Textkrper"/>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berschrift2" w:type="paragraph">
    <w:name w:val="heading 2"/>
    <w:basedOn w:val="Standard"/>
    <w:next w:val="Textkrper"/>
    <w:uiPriority w:val="9"/>
    <w:unhideWhenUsed/>
    <w:qFormat/>
    <w:rsid w:val="00943FE2"/>
    <w:pPr>
      <w:keepNext/>
      <w:keepLines/>
      <w:spacing w:after="0" w:before="200"/>
      <w:outlineLvl w:val="1"/>
    </w:pPr>
    <w:rPr>
      <w:rFonts w:ascii="AvenirNext LT Pro Regular" w:cstheme="majorBidi" w:eastAsiaTheme="majorEastAsia" w:hAnsi="AvenirNext LT Pro Regular"/>
      <w:b/>
      <w:bCs/>
      <w:sz w:val="36"/>
      <w:szCs w:val="28"/>
    </w:rPr>
  </w:style>
  <w:style w:styleId="berschrift3" w:type="paragraph">
    <w:name w:val="heading 3"/>
    <w:basedOn w:val="Standard"/>
    <w:next w:val="Textkrper"/>
    <w:uiPriority w:val="9"/>
    <w:unhideWhenUsed/>
    <w:qFormat/>
    <w:rsid w:val="00943FE2"/>
    <w:pPr>
      <w:keepNext/>
      <w:keepLines/>
      <w:spacing w:after="0" w:before="200"/>
      <w:outlineLvl w:val="2"/>
    </w:pPr>
    <w:rPr>
      <w:rFonts w:ascii="AvenirNext LT Pro Regular" w:cstheme="majorBidi" w:eastAsiaTheme="majorEastAsia" w:hAnsi="AvenirNext LT Pro Regular"/>
      <w:b/>
      <w:bCs/>
    </w:rPr>
  </w:style>
  <w:style w:styleId="berschrift4" w:type="paragraph">
    <w:name w:val="heading 4"/>
    <w:basedOn w:val="Standard"/>
    <w:next w:val="Textkrper"/>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berschrift5" w:type="paragraph">
    <w:name w:val="heading 5"/>
    <w:basedOn w:val="Standard"/>
    <w:next w:val="Textkrper"/>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943FE2"/>
    <w:pPr>
      <w:spacing w:after="180" w:before="180"/>
    </w:pPr>
    <w:rPr>
      <w:rFonts w:ascii="AvenirNext LT Pro Regular" w:hAnsi="AvenirNext LT Pro Regular"/>
    </w:r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qFormat/>
    <w:rsid w:val="00943FE2"/>
    <w:pPr>
      <w:keepNext/>
      <w:keepLines/>
      <w:spacing w:after="240" w:before="480"/>
      <w:jc w:val="center"/>
    </w:pPr>
    <w:rPr>
      <w:rFonts w:ascii="AvenirNext LT Pro Regular" w:cstheme="majorBidi" w:eastAsiaTheme="majorEastAsia" w:hAnsi="AvenirNext LT Pro Regular"/>
      <w:b/>
      <w:bCs/>
      <w:sz w:val="52"/>
      <w:szCs w:val="36"/>
    </w:rPr>
  </w:style>
  <w:style w:styleId="Untertitel" w:type="paragraph">
    <w:name w:val="Subtitle"/>
    <w:basedOn w:val="Titel"/>
    <w:next w:val="Textkrper"/>
    <w:qFormat/>
    <w:pPr>
      <w:spacing w:before="240"/>
    </w:pPr>
    <w:rPr>
      <w:sz w:val="30"/>
      <w:szCs w:val="30"/>
    </w:rPr>
  </w:style>
  <w:style w:customStyle="1" w:styleId="Author" w:type="paragraph">
    <w:name w:val="Author"/>
    <w:next w:val="Textkrper"/>
    <w:qFormat/>
    <w:rsid w:val="00943FE2"/>
    <w:pPr>
      <w:keepNext/>
      <w:keepLines/>
      <w:jc w:val="center"/>
    </w:pPr>
    <w:rPr>
      <w:rFonts w:ascii="AvenirNext LT Pro Regular" w:hAnsi="AvenirNext LT Pro Regular"/>
      <w:sz w:val="36"/>
    </w:rPr>
  </w:style>
  <w:style w:styleId="Datum" w:type="paragraph">
    <w:name w:val="Date"/>
    <w:next w:val="Textkrper"/>
    <w:qFormat/>
    <w:rsid w:val="00943FE2"/>
    <w:pPr>
      <w:keepNext/>
      <w:keepLines/>
      <w:jc w:val="center"/>
    </w:pPr>
    <w:rPr>
      <w:rFonts w:ascii="AvenirNext LT Pro Regular" w:hAnsi="AvenirNext LT Pro Regular"/>
      <w:sz w:val="36"/>
    </w:rPr>
  </w:style>
  <w:style w:customStyle="1" w:styleId="Abstract" w:type="paragraph">
    <w:name w:val="Abstract"/>
    <w:basedOn w:val="Standard"/>
    <w:next w:val="Textkrper"/>
    <w:qFormat/>
    <w:pPr>
      <w:keepNext/>
      <w:keepLines/>
      <w:spacing w:after="300" w:before="300"/>
    </w:pPr>
    <w:rPr>
      <w:sz w:val="20"/>
      <w:szCs w:val="20"/>
    </w:rPr>
  </w:style>
  <w:style w:styleId="Literaturverzeichnis" w:type="paragraph">
    <w:name w:val="Bibliography"/>
    <w:basedOn w:val="Standard"/>
    <w:qFormat/>
    <w:rsid w:val="00C42648"/>
    <w:rPr>
      <w:rFonts w:ascii="AvenirNext LT Pro Regular" w:hAnsi="AvenirNext LT Pro Regular"/>
    </w:rPr>
  </w:style>
  <w:style w:styleId="Blocktext" w:type="paragraph">
    <w:name w:val="Block Text"/>
    <w:basedOn w:val="Textkrper"/>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rsid w:val="00943FE2"/>
    <w:rPr>
      <w:rFonts w:ascii="AvenirNext LT Pro Regular" w:hAnsi="AvenirNext LT Pro Regular"/>
    </w:rPr>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TextkrperZchn" w:type="character">
    <w:name w:val="Textkörper Zchn"/>
    <w:basedOn w:val="Absatz-Standardschriftart"/>
    <w:link w:val="Textkrper"/>
    <w:rsid w:val="00943FE2"/>
    <w:rPr>
      <w:rFonts w:ascii="AvenirNext LT Pro Regular" w:hAnsi="AvenirNext LT Pro Regul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37" Target="media/rId37.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54" Target="media/rId54.png" /><Relationship Type="http://schemas.openxmlformats.org/officeDocument/2006/relationships/image" Id="rId24" Target="media/rId24.png" /><Relationship Type="http://schemas.openxmlformats.org/officeDocument/2006/relationships/image" Id="rId21" Target="media/rId21.png" /><Relationship Type="http://schemas.openxmlformats.org/officeDocument/2006/relationships/hyperlink" Id="rId20" Target="../../Methods/mitostaining.xlsx" TargetMode="External" /><Relationship Type="http://schemas.openxmlformats.org/officeDocument/2006/relationships/hyperlink" Id="rId59" Target="https://doi.org/10.1158/0008-5472.CAN-22-0162" TargetMode="External" /></Relationships>
</file>

<file path=word/_rels/footnotes.xml.rels><?xml version="1.0" encoding="UTF-8"?><Relationships xmlns="http://schemas.openxmlformats.org/package/2006/relationships"><Relationship Type="http://schemas.openxmlformats.org/officeDocument/2006/relationships/hyperlink" Id="rId20" Target="../../Methods/mitostaining.xlsx" TargetMode="External" /><Relationship Type="http://schemas.openxmlformats.org/officeDocument/2006/relationships/hyperlink" Id="rId59" Target="https://doi.org/10.1158/0008-5472.CAN-22-016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406</Words>
  <Characters>2315</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Analysis of vGlut stainings for Marc</vt:lpstr>
    </vt:vector>
  </TitlesOfParts>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Mitochondria distribution along sections through neuronal soma</dc:title>
  <dc:creator>Dr. Jana Dahlmanns</dc:creator>
  <cp:keywords/>
  <dcterms:created xsi:type="dcterms:W3CDTF">2023-04-19T09:51:18Z</dcterms:created>
  <dcterms:modified xsi:type="dcterms:W3CDTF">2023-04-19T09:51:18Z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bibliography.bib</vt:lpwstr>
  </property>
  <property fmtid="{D5CDD505-2E9C-101B-9397-08002B2CF9AE}" pid="3" name="csl">
    <vt:lpwstr>elsevier-vancouver.csl</vt:lpwstr>
  </property>
  <property fmtid="{D5CDD505-2E9C-101B-9397-08002B2CF9AE}" pid="4" name="date">
    <vt:lpwstr>2023-04-19</vt:lpwstr>
  </property>
  <property fmtid="{D5CDD505-2E9C-101B-9397-08002B2CF9AE}" pid="5" name="extra_dependencies">
    <vt:lpwstr>float</vt:lpwstr>
  </property>
  <property fmtid="{D5CDD505-2E9C-101B-9397-08002B2CF9AE}" pid="6" name="fig_caption">
    <vt:lpwstr>True</vt:lpwstr>
  </property>
  <property fmtid="{D5CDD505-2E9C-101B-9397-08002B2CF9AE}" pid="7" name="header-includes">
    <vt:lpwstr/>
  </property>
  <property fmtid="{D5CDD505-2E9C-101B-9397-08002B2CF9AE}" pid="8" name="output">
    <vt:lpwstr/>
  </property>
</Properties>
</file>