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Override PartName="/word/media/rId37.png" ContentType="image/png"/>
  <Override PartName="/word/media/rId31.png" ContentType="image/png"/>
  <Override PartName="/word/media/rId3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2023-04-06</w:t>
      </w:r>
    </w:p>
    <w:bookmarkStart w:id="28" w:name="introduction"/>
    <w:p>
      <w:pPr>
        <w:pStyle w:val="berschrift2"/>
      </w:pPr>
      <w:r>
        <w:t xml:space="preserve">Introduction</w:t>
      </w:r>
    </w:p>
    <w:p>
      <w:pPr>
        <w:pStyle w:val="FirstParagraph"/>
      </w:pPr>
      <w:r>
        <w:t xml:space="preserve">[1]</w:t>
      </w:r>
    </w:p>
    <w:p>
      <w:pPr>
        <w:pStyle w:val="Textkrper"/>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15 and is divided into different experimental conditions as follows:</w:t>
      </w:r>
    </w:p>
    <w:tbl>
      <w:tblPr>
        <w:tblStyle w:val="Table"/>
        <w:tblW w:type="pct" w:w="2014"/>
        <w:tblLook w:firstRow="1" w:lastRow="0" w:firstColumn="0" w:lastColumn="0" w:noHBand="0" w:noVBand="0" w:val="0020"/>
      </w:tblPr>
      <w:tblGrid>
        <w:gridCol w:w="2750"/>
        <w:gridCol w:w="44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5</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The original paper with this method</w:t>
      </w:r>
      <w:r>
        <w:t xml:space="preserve"> </w:t>
      </w:r>
      <w:r>
        <w:t xml:space="preserve">[1]</w:t>
      </w:r>
      <w:r>
        <w:t xml:space="preserve">, the authors normalized fluorescence intensities on the maximum intensity pixel of the given image. In my option,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some.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52"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51"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CaptionedFigure"/>
      </w:pPr>
      <w:r>
        <w:drawing>
          <wp:inline>
            <wp:extent cx="5969000" cy="4178300"/>
            <wp:effectExtent b="0" l="0" r="0" t="0"/>
            <wp:docPr descr="Correlation of the different curves" title="" id="49" name="Picture"/>
            <a:graphic>
              <a:graphicData uri="http://schemas.openxmlformats.org/drawingml/2006/picture">
                <pic:pic>
                  <pic:nvPicPr>
                    <pic:cNvPr descr="results_report_mitochondria_alcohol_mitosections_files/figure-docx/comparison_of_curve_sections-1.png" id="50" name="Picture"/>
                    <pic:cNvPicPr>
                      <a:picLocks noChangeArrowheads="1" noChangeAspect="1"/>
                    </pic:cNvPicPr>
                  </pic:nvPicPr>
                  <pic:blipFill>
                    <a:blip r:embed="rId48"/>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Correlation of the different curves</w:t>
      </w:r>
    </w:p>
    <w:tbl>
      <w:tblPr>
        <w:tblStyle w:val="Table"/>
        <w:tblW w:type="pct" w:w="4236"/>
        <w:tblLook w:firstRow="1" w:lastRow="0" w:firstColumn="0" w:lastColumn="0" w:noHBand="0" w:noVBand="0" w:val="0020"/>
      </w:tblPr>
      <w:tblGrid>
        <w:gridCol w:w="1100"/>
        <w:gridCol w:w="3410"/>
        <w:gridCol w:w="1100"/>
        <w:gridCol w:w="110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14days (n=5)</w:t>
            </w:r>
          </w:p>
        </w:tc>
        <w:tc>
          <w:tcPr/>
          <w:p>
            <w:pPr>
              <w:pStyle w:val="Compact"/>
              <w:jc w:val="center"/>
            </w:pPr>
            <w:r>
              <w:t xml:space="preserve">0.5815</w:t>
            </w:r>
          </w:p>
        </w:tc>
        <w:tc>
          <w:tcPr/>
          <w:p>
            <w:pPr>
              <w:pStyle w:val="Compact"/>
              <w:jc w:val="center"/>
            </w:pPr>
            <w:r>
              <w:t xml:space="preserve">0.112</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14days (n=5)</w:t>
            </w:r>
          </w:p>
        </w:tc>
        <w:tc>
          <w:tcPr/>
          <w:p>
            <w:pPr>
              <w:pStyle w:val="Compact"/>
              <w:jc w:val="center"/>
            </w:pPr>
            <w:r>
              <w:t xml:space="preserve">0.6363</w:t>
            </w:r>
          </w:p>
        </w:tc>
        <w:tc>
          <w:tcPr/>
          <w:p>
            <w:pPr>
              <w:pStyle w:val="Compact"/>
              <w:jc w:val="center"/>
            </w:pPr>
            <w:r>
              <w:t xml:space="preserve">0.1068</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14days (n=5)</w:t>
            </w:r>
          </w:p>
        </w:tc>
        <w:tc>
          <w:tcPr/>
          <w:p>
            <w:pPr>
              <w:pStyle w:val="Compact"/>
              <w:jc w:val="center"/>
            </w:pPr>
            <w:r>
              <w:t xml:space="preserve">0.6464</w:t>
            </w:r>
          </w:p>
        </w:tc>
        <w:tc>
          <w:tcPr/>
          <w:p>
            <w:pPr>
              <w:pStyle w:val="Compact"/>
              <w:jc w:val="center"/>
            </w:pPr>
            <w:r>
              <w:t xml:space="preserve">0.1258</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14days (n=5)</w:t>
            </w:r>
          </w:p>
        </w:tc>
        <w:tc>
          <w:tcPr/>
          <w:p>
            <w:pPr>
              <w:pStyle w:val="Compact"/>
              <w:jc w:val="center"/>
            </w:pPr>
            <w:r>
              <w:t xml:space="preserve">0.6256</w:t>
            </w:r>
          </w:p>
        </w:tc>
        <w:tc>
          <w:tcPr/>
          <w:p>
            <w:pPr>
              <w:pStyle w:val="Compact"/>
              <w:jc w:val="center"/>
            </w:pPr>
            <w:r>
              <w:t xml:space="preserve">0.1254</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14days (n=5)</w:t>
            </w:r>
          </w:p>
        </w:tc>
        <w:tc>
          <w:tcPr/>
          <w:p>
            <w:pPr>
              <w:pStyle w:val="Compact"/>
              <w:jc w:val="center"/>
            </w:pPr>
            <w:r>
              <w:t xml:space="preserve">0.5461</w:t>
            </w:r>
          </w:p>
        </w:tc>
        <w:tc>
          <w:tcPr/>
          <w:p>
            <w:pPr>
              <w:pStyle w:val="Compact"/>
              <w:jc w:val="center"/>
            </w:pPr>
            <w:r>
              <w:t xml:space="preserve">0.1919</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14days (n=5)</w:t>
            </w:r>
          </w:p>
        </w:tc>
        <w:tc>
          <w:tcPr/>
          <w:p>
            <w:pPr>
              <w:pStyle w:val="Compact"/>
              <w:jc w:val="center"/>
            </w:pPr>
            <w:r>
              <w:t xml:space="preserve">0.4624</w:t>
            </w:r>
          </w:p>
        </w:tc>
        <w:tc>
          <w:tcPr/>
          <w:p>
            <w:pPr>
              <w:pStyle w:val="Compact"/>
              <w:jc w:val="center"/>
            </w:pPr>
            <w:r>
              <w:t xml:space="preserve">0.1765</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14days (n=5)</w:t>
            </w:r>
          </w:p>
        </w:tc>
        <w:tc>
          <w:tcPr/>
          <w:p>
            <w:pPr>
              <w:pStyle w:val="Compact"/>
              <w:jc w:val="center"/>
            </w:pPr>
            <w:r>
              <w:t xml:space="preserve">0.4713</w:t>
            </w:r>
          </w:p>
        </w:tc>
        <w:tc>
          <w:tcPr/>
          <w:p>
            <w:pPr>
              <w:pStyle w:val="Compact"/>
              <w:jc w:val="center"/>
            </w:pPr>
            <w:r>
              <w:t xml:space="preserve">0.1801</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14days (n=5)</w:t>
            </w:r>
          </w:p>
        </w:tc>
        <w:tc>
          <w:tcPr/>
          <w:p>
            <w:pPr>
              <w:pStyle w:val="Compact"/>
              <w:jc w:val="center"/>
            </w:pPr>
            <w:r>
              <w:t xml:space="preserve">0.3819</w:t>
            </w:r>
          </w:p>
        </w:tc>
        <w:tc>
          <w:tcPr/>
          <w:p>
            <w:pPr>
              <w:pStyle w:val="Compact"/>
              <w:jc w:val="center"/>
            </w:pPr>
            <w:r>
              <w:t xml:space="preserve">0.1656</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14days (n=5)</w:t>
            </w:r>
          </w:p>
        </w:tc>
        <w:tc>
          <w:tcPr/>
          <w:p>
            <w:pPr>
              <w:pStyle w:val="Compact"/>
              <w:jc w:val="center"/>
            </w:pPr>
            <w:r>
              <w:t xml:space="preserve">0.3226</w:t>
            </w:r>
          </w:p>
        </w:tc>
        <w:tc>
          <w:tcPr/>
          <w:p>
            <w:pPr>
              <w:pStyle w:val="Compact"/>
              <w:jc w:val="center"/>
            </w:pPr>
            <w:r>
              <w:t xml:space="preserve">0.1672</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14days (n=5)</w:t>
            </w:r>
          </w:p>
        </w:tc>
        <w:tc>
          <w:tcPr/>
          <w:p>
            <w:pPr>
              <w:pStyle w:val="Compact"/>
              <w:jc w:val="center"/>
            </w:pPr>
            <w:r>
              <w:t xml:space="preserve">0.1504</w:t>
            </w:r>
          </w:p>
        </w:tc>
        <w:tc>
          <w:tcPr/>
          <w:p>
            <w:pPr>
              <w:pStyle w:val="Compact"/>
              <w:jc w:val="center"/>
            </w:pPr>
            <w:r>
              <w:t xml:space="preserve">0.08223</w:t>
            </w:r>
          </w:p>
        </w:tc>
      </w:tr>
    </w:tbl>
    <w:bookmarkEnd w:id="51"/>
    <w:bookmarkEnd w:id="52"/>
    <w:bookmarkStart w:id="56" w:name="references"/>
    <w:p>
      <w:pPr>
        <w:pStyle w:val="berschrift2"/>
      </w:pPr>
      <w:r>
        <w:t xml:space="preserve">References</w:t>
      </w:r>
    </w:p>
    <w:bookmarkStart w:id="55" w:name="refs"/>
    <w:bookmarkStart w:id="54" w:name="X4175f2d6a880cff244f25bc9442830b9798b728"/>
    <w:p>
      <w:pPr>
        <w:pStyle w:val="Literaturverzeichnis"/>
      </w:pPr>
      <w:r>
        <w:t xml:space="preserve">[1]</w:t>
      </w:r>
      <w:r>
        <w:t xml:space="preserve"> </w:t>
      </w:r>
      <w:r>
        <w:t xml:space="preserve">	</w:t>
      </w:r>
      <w:r>
        <w:t xml:space="preserve">Cangkrama M, Liu H, Whipman J, Zubair M, Matsushita M, Di Filippo M, et al. A Protumorigenic mDia2-MIRO1 Axis Controls Mitochondrial Positioning and Function in Cancer-Associated Fibroblasts. Cancer Res 2022;82:3701–17.</w:t>
      </w:r>
      <w:r>
        <w:t xml:space="preserve"> </w:t>
      </w:r>
      <w:hyperlink r:id="rId53">
        <w:r>
          <w:rPr>
            <w:rStyle w:val="Hyperlink"/>
          </w:rPr>
          <w:t xml:space="preserve">https://doi.org/10.1158/0008-5472.CAN-22-0162</w:t>
        </w:r>
      </w:hyperlink>
      <w:r>
        <w:t xml:space="preserve">.</w:t>
      </w:r>
    </w:p>
    <w:bookmarkEnd w:id="54"/>
    <w:bookmarkEnd w:id="55"/>
    <w:bookmarkEnd w:id="56"/>
    <w:bookmarkStart w:id="57" w:name="methods-section-to-copy"/>
    <w:p>
      <w:pPr>
        <w:pStyle w:val="berschrift2"/>
      </w:pPr>
      <w:r>
        <w:t xml:space="preserve">Methods section to copy</w:t>
      </w:r>
    </w:p>
    <w:p>
      <w:pPr>
        <w:pStyle w:val="FirstParagraph"/>
      </w:pPr>
      <w:r>
        <w:t xml:space="preserve">TBA</w:t>
      </w:r>
    </w:p>
    <w:bookmarkEnd w:id="57"/>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3"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3"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2023-04-06T12:33:46Z</dcterms:created>
  <dcterms:modified xsi:type="dcterms:W3CDTF">2023-04-06T12:33:46Z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bibliography.json</vt:lpwstr>
  </property>
  <property fmtid="{D5CDD505-2E9C-101B-9397-08002B2CF9AE}" pid="3" name="csl">
    <vt:lpwstr>elsevier-vancouver.csl</vt:lpwstr>
  </property>
  <property fmtid="{D5CDD505-2E9C-101B-9397-08002B2CF9AE}" pid="4" name="date">
    <vt:lpwstr>2023-04-06</vt:lpwstr>
  </property>
  <property fmtid="{D5CDD505-2E9C-101B-9397-08002B2CF9AE}" pid="5" name="extra_dependencies">
    <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