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0.png" ContentType="image/png"/>
  <Override PartName="/word/media/rId33.png" ContentType="image/png"/>
  <Override PartName="/word/media/rId23.png" ContentType="image/png"/>
  <Override PartName="/word/media/rId2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of</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Untertitel"/>
      </w:pPr>
      <w:r>
        <w:t xml:space="preserve">Status</w:t>
      </w:r>
      <w:r>
        <w:t xml:space="preserve"> </w:t>
      </w:r>
      <w:r>
        <w:t xml:space="preserve">report</w:t>
      </w:r>
    </w:p>
    <w:p>
      <w:pPr>
        <w:pStyle w:val="Author"/>
      </w:pPr>
      <w:r>
        <w:t xml:space="preserve">Dr. Jana</w:t>
      </w:r>
      <w:r>
        <w:t xml:space="preserve"> </w:t>
      </w:r>
      <w:r>
        <w:t xml:space="preserve">Dahlmanns</w:t>
      </w:r>
    </w:p>
    <w:p>
      <w:pPr>
        <w:pStyle w:val="Datum"/>
      </w:pPr>
      <w:r>
        <w:t xml:space="preserve">2023-06-29</w:t>
      </w:r>
    </w:p>
    <w:bookmarkStart w:id="28" w:name="introduction"/>
    <w:p>
      <w:pPr>
        <w:pStyle w:val="berschrift2"/>
      </w:pPr>
      <w:r>
        <w:t xml:space="preserve">Introduction</w:t>
      </w:r>
    </w:p>
    <w:p>
      <w:pPr>
        <w:pStyle w:val="FirstParagraph"/>
      </w:pPr>
      <w:r>
        <w:t xml:space="preserve">We analyzed the distribution of mitochondria in the soma of neurons. We used dissociated neuronal cultures that were treated under different conditions prior to fixation, staining and imaging.</w:t>
      </w:r>
    </w:p>
    <w:bookmarkStart w:id="26"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3581400"/>
            <wp:effectExtent b="0" l="0" r="0" t="0"/>
            <wp:docPr descr="Thumbnails of all analyzed images" title="" id="21" name="Picture"/>
            <a:graphic>
              <a:graphicData uri="http://schemas.openxmlformats.org/drawingml/2006/picture">
                <pic:pic>
                  <pic:nvPicPr>
                    <pic:cNvPr descr="mitochondria_positioning_status_report_files/figure-docx/show_thumbnails-1.png" id="22" name="Picture"/>
                    <pic:cNvPicPr>
                      <a:picLocks noChangeArrowheads="1" noChangeAspect="1"/>
                    </pic:cNvPicPr>
                  </pic:nvPicPr>
                  <pic:blipFill>
                    <a:blip r:embed="rId20"/>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4" name="Picture"/>
            <a:graphic>
              <a:graphicData uri="http://schemas.openxmlformats.org/drawingml/2006/picture">
                <pic:pic>
                  <pic:nvPicPr>
                    <pic:cNvPr descr="mitochondria_positioning_status_report_files/figure-docx/show_original_image-1.png" id="25" name="Picture"/>
                    <pic:cNvPicPr>
                      <a:picLocks noChangeArrowheads="1" noChangeAspect="1"/>
                    </pic:cNvPicPr>
                  </pic:nvPicPr>
                  <pic:blipFill>
                    <a:blip r:embed="rId23"/>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6"/>
    <w:bookmarkStart w:id="27" w:name="sample-sizes"/>
    <w:p>
      <w:pPr>
        <w:pStyle w:val="berschrift3"/>
      </w:pPr>
      <w:r>
        <w:t xml:space="preserve">Sample sizes</w:t>
      </w:r>
    </w:p>
    <w:p>
      <w:pPr>
        <w:pStyle w:val="FirstParagraph"/>
      </w:pPr>
      <w:r>
        <w:t xml:space="preserve">The number of analyzed images is currently 17 and is divided into different experimental conditions as follows:</w:t>
      </w:r>
    </w:p>
    <w:tbl>
      <w:tblPr>
        <w:tblStyle w:val="Table"/>
        <w:tblW w:type="pct" w:w="1319"/>
        <w:tblLook w:firstRow="1" w:lastRow="0" w:firstColumn="0" w:lastColumn="0" w:noHBand="0" w:noVBand="0" w:val="0020"/>
      </w:tblPr>
      <w:tblGrid>
        <w:gridCol w:w="1650"/>
        <w:gridCol w:w="440"/>
      </w:tblGrid>
      <w:tr>
        <w:trPr>
          <w:tblHeader w:val="true"/>
        </w:trPr>
        <w:tc>
          <w:tcPr/>
          <w:p>
            <w:pPr>
              <w:pStyle w:val="Compact"/>
              <w:jc w:val="center"/>
            </w:pPr>
            <w:r>
              <w:t xml:space="preserve">condition</w:t>
            </w:r>
          </w:p>
        </w:tc>
        <w:tc>
          <w:tcPr/>
          <w:p>
            <w:pPr>
              <w:pStyle w:val="Compact"/>
              <w:jc w:val="center"/>
            </w:pPr>
            <w:r>
              <w:t xml:space="preserve">n</w:t>
            </w:r>
          </w:p>
        </w:tc>
      </w:tr>
      <w:tr>
        <w:tc>
          <w:tcPr/>
          <w:p>
            <w:pPr>
              <w:pStyle w:val="Compact"/>
              <w:jc w:val="center"/>
            </w:pPr>
            <w:r>
              <w:t xml:space="preserve">Activin A 2d</w:t>
            </w:r>
          </w:p>
        </w:tc>
        <w:tc>
          <w:tcPr/>
          <w:p>
            <w:pPr>
              <w:pStyle w:val="Compact"/>
              <w:jc w:val="center"/>
            </w:pPr>
            <w:r>
              <w:t xml:space="preserve">5</w:t>
            </w:r>
          </w:p>
        </w:tc>
      </w:tr>
      <w:tr>
        <w:tc>
          <w:tcPr/>
          <w:p>
            <w:pPr>
              <w:pStyle w:val="Compact"/>
              <w:jc w:val="center"/>
            </w:pPr>
            <w:r>
              <w:t xml:space="preserve">Activin A 4d</w:t>
            </w:r>
          </w:p>
        </w:tc>
        <w:tc>
          <w:tcPr/>
          <w:p>
            <w:pPr>
              <w:pStyle w:val="Compact"/>
              <w:jc w:val="center"/>
            </w:pPr>
            <w:r>
              <w:t xml:space="preserve">3</w:t>
            </w:r>
          </w:p>
        </w:tc>
      </w:tr>
      <w:tr>
        <w:tc>
          <w:tcPr/>
          <w:p>
            <w:pPr>
              <w:pStyle w:val="Compact"/>
              <w:jc w:val="center"/>
            </w:pPr>
            <w:r>
              <w:t xml:space="preserve">Activin A 7d</w:t>
            </w:r>
          </w:p>
        </w:tc>
        <w:tc>
          <w:tcPr/>
          <w:p>
            <w:pPr>
              <w:pStyle w:val="Compact"/>
              <w:jc w:val="center"/>
            </w:pPr>
            <w:r>
              <w:t xml:space="preserve">4</w:t>
            </w:r>
          </w:p>
        </w:tc>
      </w:tr>
      <w:tr>
        <w:tc>
          <w:tcPr/>
          <w:p>
            <w:pPr>
              <w:pStyle w:val="Compact"/>
              <w:jc w:val="center"/>
            </w:pPr>
            <w:r>
              <w:t xml:space="preserve">control</w:t>
            </w:r>
          </w:p>
        </w:tc>
        <w:tc>
          <w:tcPr/>
          <w:p>
            <w:pPr>
              <w:pStyle w:val="Compact"/>
              <w:jc w:val="center"/>
            </w:pPr>
            <w:r>
              <w:t xml:space="preserve">5</w:t>
            </w:r>
          </w:p>
        </w:tc>
      </w:tr>
    </w:tbl>
    <w:bookmarkEnd w:id="27"/>
    <w:bookmarkEnd w:id="28"/>
    <w:bookmarkStart w:id="41"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fluorescence intensity distribution along the connecting line as a marker for the distribution of mitochondria.</w:t>
      </w:r>
    </w:p>
    <w:bookmarkStart w:id="29" w:name="intensity-profiles"/>
    <w:p>
      <w:pPr>
        <w:pStyle w:val="berschrift3"/>
      </w:pPr>
      <w:r>
        <w:t xml:space="preserve">Intensity profiles</w:t>
      </w:r>
    </w:p>
    <w:p>
      <w:pPr>
        <w:pStyle w:val="FirstParagraph"/>
      </w:pPr>
      <w:r>
        <w:t xml:space="preserve">In the original paper with this method</w:t>
      </w:r>
      <w:r>
        <w:t xml:space="preserve"> </w:t>
      </w:r>
      <w:r>
        <w:t xml:space="preserve">[1]</w:t>
      </w:r>
      <w:r>
        <w:t xml:space="preserve">, the authors normalized fluorescence intensities on the maximum intensity pixel of the given image. In my opinion,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that effect single pixels. I therefore normalized the fluorescence intensity values to the average of the 3 highest values of each cell’s profiles - which is a method not as vulnerable to the described error sources.</w:t>
      </w:r>
    </w:p>
    <w:bookmarkEnd w:id="29"/>
    <w:bookmarkStart w:id="39" w:name="normalization"/>
    <w:p>
      <w:pPr>
        <w:pStyle w:val="berschrift3"/>
      </w:pPr>
      <w:r>
        <w:t xml:space="preserve">Normalization</w:t>
      </w:r>
    </w:p>
    <w:p>
      <w:pPr>
        <w:pStyle w:val="FirstParagraph"/>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soma.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profiles only.</w:t>
      </w:r>
    </w:p>
    <w:p>
      <w:pPr>
        <w:pStyle w:val="CaptionedFigure"/>
      </w:pPr>
      <w:r>
        <w:drawing>
          <wp:inline>
            <wp:extent cx="5969000" cy="3581400"/>
            <wp:effectExtent b="0" l="0" r="0" t="0"/>
            <wp:docPr descr="Normliazed intensity profiles along first sections through the soma" title="" id="31" name="Picture"/>
            <a:graphic>
              <a:graphicData uri="http://schemas.openxmlformats.org/drawingml/2006/picture">
                <pic:pic>
                  <pic:nvPicPr>
                    <pic:cNvPr descr="mitochondria_positioning_status_report_files/figure-docx/plot_line1-1.png" id="32" name="Picture"/>
                    <pic:cNvPicPr>
                      <a:picLocks noChangeArrowheads="1" noChangeAspect="1"/>
                    </pic:cNvPicPr>
                  </pic:nvPicPr>
                  <pic:blipFill>
                    <a:blip r:embed="rId30"/>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 Here is an overview of all thus far extracted sections through the soma:</w:t>
      </w:r>
    </w:p>
    <w:p>
      <w:pPr>
        <w:pStyle w:val="CaptionedFigure"/>
      </w:pPr>
      <w:r>
        <w:drawing>
          <wp:inline>
            <wp:extent cx="5969000" cy="7162800"/>
            <wp:effectExtent b="0" l="0" r="0" t="0"/>
            <wp:docPr descr="Overview of all normalized intensity profiles along sections through the soma" title="" id="34" name="Picture"/>
            <a:graphic>
              <a:graphicData uri="http://schemas.openxmlformats.org/drawingml/2006/picture">
                <pic:pic>
                  <pic:nvPicPr>
                    <pic:cNvPr descr="mitochondria_positioning_status_report_files/figure-docx/plot_lines_separately-1.png" id="35" name="Picture"/>
                    <pic:cNvPicPr>
                      <a:picLocks noChangeArrowheads="1" noChangeAspect="1"/>
                    </pic:cNvPicPr>
                  </pic:nvPicPr>
                  <pic:blipFill>
                    <a:blip r:embed="rId33"/>
                    <a:stretch>
                      <a:fillRect/>
                    </a:stretch>
                  </pic:blipFill>
                  <pic:spPr bwMode="auto">
                    <a:xfrm>
                      <a:off x="0" y="0"/>
                      <a:ext cx="5969000" cy="7162800"/>
                    </a:xfrm>
                    <a:prstGeom prst="rect">
                      <a:avLst/>
                    </a:prstGeom>
                    <a:noFill/>
                    <a:ln w="9525">
                      <a:noFill/>
                      <a:headEnd/>
                      <a:tailEnd/>
                    </a:ln>
                  </pic:spPr>
                </pic:pic>
              </a:graphicData>
            </a:graphic>
          </wp:inline>
        </w:drawing>
      </w:r>
    </w:p>
    <w:p>
      <w:pPr>
        <w:pStyle w:val="ImageCaption"/>
      </w:pPr>
      <w:r>
        <w:t xml:space="preserve">Overview of all normalized intensity profiles along sections through the soma</w:t>
      </w:r>
    </w:p>
    <w:p>
      <w:pPr>
        <w:pStyle w:val="Textkrper"/>
      </w:pPr>
      <w:r>
        <w:t xml:space="preserve">We can see, that some curves consist of very few data points, because the soma is only a thin edge around the nucleus in some regions. Other sections span across wider sections of soma. Overall there is no apparent difference between line 1 (sections across widest area of the soma) and lines 2 and 3 (sections across other parts of the soma).</w:t>
      </w:r>
    </w:p>
    <w:p>
      <w:pPr>
        <w:pStyle w:val="CaptionedFigure"/>
      </w:pPr>
      <w:r>
        <w:drawing>
          <wp:inline>
            <wp:extent cx="5969000" cy="3581400"/>
            <wp:effectExtent b="0" l="0" r="0" t="0"/>
            <wp:docPr descr="Normalized intensity profiles along sections through the soma - all three sections averaged" title="" id="37" name="Picture"/>
            <a:graphic>
              <a:graphicData uri="http://schemas.openxmlformats.org/drawingml/2006/picture">
                <pic:pic>
                  <pic:nvPicPr>
                    <pic:cNvPr descr="mitochondria_positioning_status_report_files/figure-docx/plot_all_lines-1.png" id="38" name="Picture"/>
                    <pic:cNvPicPr>
                      <a:picLocks noChangeArrowheads="1" noChangeAspect="1"/>
                    </pic:cNvPicPr>
                  </pic:nvPicPr>
                  <pic:blipFill>
                    <a:blip r:embed="rId36"/>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Normalized intensity profiles along sections through the soma - all three sections averaged</w:t>
      </w:r>
    </w:p>
    <w:p>
      <w:pPr>
        <w:pStyle w:val="Textkrper"/>
      </w:pPr>
      <w:r>
        <w:t xml:space="preserve">When comparing the curves of only the first (longest) sections with the averages of all three sections, we can see that the mitochondria distribution is about the same, but the distribution shape becomes more pronounced with more data, which makes sense. Hence, we’ll be using all three sections for the following analysis steps.</w:t>
      </w:r>
    </w:p>
    <w:bookmarkEnd w:id="39"/>
    <w:bookmarkStart w:id="40" w:name="statistical-comparison"/>
    <w:p>
      <w:pPr>
        <w:pStyle w:val="berschrift3"/>
      </w:pPr>
      <w:r>
        <w:t xml:space="preserve">Statistical comparison</w:t>
      </w:r>
    </w:p>
    <w:p>
      <w:pPr>
        <w:pStyle w:val="FirstParagraph"/>
      </w:pPr>
      <w:r>
        <w:t xml:space="preserve">To compare the different distributions, we divided them up into 10 sections (0-0.1 distance from the nucleus, 0.1-0.2, 0.2-0.3,…). Within each section, values are averaged and statistically compared through anova with Dunnett’s post-hoc corrections (used when comparing multiple treatment conditions to one control).</w:t>
      </w:r>
      <w:r>
        <w:t xml:space="preserve"> </w:t>
      </w:r>
      <w:r>
        <w:t xml:space="preserve">I then performed statistical comparison between the different treatment groups and controls for each of the 10 distance sections.</w:t>
      </w:r>
    </w:p>
    <w:bookmarkEnd w:id="40"/>
    <w:bookmarkEnd w:id="41"/>
    <w:bookmarkStart w:id="42" w:name="current-results"/>
    <w:p>
      <w:pPr>
        <w:pStyle w:val="berschrift2"/>
      </w:pPr>
      <w:r>
        <w:t xml:space="preserve">Current results</w:t>
      </w:r>
    </w:p>
    <w:bookmarkEnd w:id="42"/>
    <w:bookmarkStart w:id="46" w:name="references"/>
    <w:p>
      <w:pPr>
        <w:pStyle w:val="berschrift2"/>
      </w:pPr>
      <w:r>
        <w:t xml:space="preserve">References</w:t>
      </w:r>
    </w:p>
    <w:bookmarkStart w:id="45" w:name="refs"/>
    <w:bookmarkStart w:id="44" w:name="X4175f2d6a880cff244f25bc9442830b9798b728"/>
    <w:p>
      <w:pPr>
        <w:pStyle w:val="Literaturverzeichnis"/>
      </w:pPr>
      <w:r>
        <w:t xml:space="preserve">[1]</w:t>
      </w:r>
      <w:r>
        <w:t xml:space="preserve"> </w:t>
      </w:r>
      <w:r>
        <w:t xml:space="preserve">	</w:t>
      </w:r>
      <w:r>
        <w:t xml:space="preserve">Cangkrama M, Liu H, Whipman J, Zubair M, Matsushita M, Di Filippo M, et al. A</w:t>
      </w:r>
      <w:r>
        <w:t xml:space="preserve"> </w:t>
      </w:r>
      <w:r>
        <w:t xml:space="preserve">Protumorigenic mDia2-MIRO1 Axis Controls Mitochondrial Positioning</w:t>
      </w:r>
      <w:r>
        <w:t xml:space="preserve"> </w:t>
      </w:r>
      <w:r>
        <w:t xml:space="preserve">and</w:t>
      </w:r>
      <w:r>
        <w:t xml:space="preserve"> </w:t>
      </w:r>
      <w:r>
        <w:t xml:space="preserve">Function</w:t>
      </w:r>
      <w:r>
        <w:t xml:space="preserve"> </w:t>
      </w:r>
      <w:r>
        <w:t xml:space="preserve">in</w:t>
      </w:r>
      <w:r>
        <w:t xml:space="preserve"> </w:t>
      </w:r>
      <w:r>
        <w:t xml:space="preserve">Cancer-Associated Fibroblasts</w:t>
      </w:r>
      <w:r>
        <w:t xml:space="preserve">. Cancer Res 2022;82:3701–17.</w:t>
      </w:r>
      <w:r>
        <w:t xml:space="preserve"> </w:t>
      </w:r>
      <w:hyperlink r:id="rId43">
        <w:r>
          <w:rPr>
            <w:rStyle w:val="Hyperlink"/>
          </w:rPr>
          <w:t xml:space="preserve">https://doi.org/10.1158/0008-5472.CAN-22-0162</w:t>
        </w:r>
      </w:hyperlink>
      <w:r>
        <w:t xml:space="preserve">.</w:t>
      </w:r>
    </w:p>
    <w:bookmarkEnd w:id="44"/>
    <w:bookmarkEnd w:id="45"/>
    <w:bookmarkEnd w:id="46"/>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AvenirNext LT Pro Regular">
    <w:altName w:val="Calibri"/>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A99411"/>
    <w:multiLevelType w:val="multilevel"/>
    <w:tmpl w:val="425AC5C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16cid:durableId="48961354"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4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C545D"/>
    <w:rPr>
      <w:rFonts w:ascii="Avenir Next LT Pro" w:hAnsi="Avenir Next LT Pro"/>
    </w:rPr>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link w:val="berschrift2Zchn"/>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 w:customStyle="1" w:styleId="berschrift2Zchn" w:type="character">
    <w:name w:val="Überschrift 2 Zchn"/>
    <w:basedOn w:val="Absatz-Standardschriftart"/>
    <w:link w:val="berschrift2"/>
    <w:uiPriority w:val="9"/>
    <w:rsid w:val="00EA2BB5"/>
    <w:rPr>
      <w:rFonts w:ascii="AvenirNext LT Pro Regular" w:cstheme="majorBidi" w:eastAsiaTheme="majorEastAsia" w:hAnsi="AvenirNext LT Pro Regular"/>
      <w:b/>
      <w:bCs/>
      <w:sz w:val="3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7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3"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397</Words>
  <Characters>2504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Mitochondria distribution along sections through neuronal soma</dc:title>
  <dc:creator>Dr. Jana Dahlmanns</dc:creator>
  <cp:keywords/>
  <dcterms:created xsi:type="dcterms:W3CDTF">2023-06-29T09:07:58Z</dcterms:created>
  <dcterms:modified xsi:type="dcterms:W3CDTF">2023-06-29T09:07:58Z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elsevier-vancouver.csl</vt:lpwstr>
  </property>
  <property fmtid="{D5CDD505-2E9C-101B-9397-08002B2CF9AE}" pid="4" name="date">
    <vt:lpwstr>2023-06-29</vt:lpwstr>
  </property>
  <property fmtid="{D5CDD505-2E9C-101B-9397-08002B2CF9AE}" pid="5" name="extra_dependencies">
    <vt:lpwstr>float</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y fmtid="{D5CDD505-2E9C-101B-9397-08002B2CF9AE}" pid="9" name="subtitle">
    <vt:lpwstr>Status report</vt:lpwstr>
  </property>
</Properties>
</file>