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45.png" ContentType="image/png"/>
  <Override PartName="/word/media/rId66.png" ContentType="image/png"/>
  <Override PartName="/word/media/rId52.png" ContentType="image/png"/>
  <Override PartName="/word/media/rId56.png" ContentType="image/png"/>
  <Override PartName="/word/media/rId42.png" ContentType="image/png"/>
  <Override PartName="/word/media/rId63.png" ContentType="image/png"/>
  <Override PartName="/word/media/rId49.png" ContentType="image/png"/>
  <Override PartName="/word/media/rId84.png" ContentType="image/png"/>
  <Override PartName="/word/media/rId70.png" ContentType="image/png"/>
  <Override PartName="/word/media/rId91.png" ContentType="image/png"/>
  <Override PartName="/word/media/rId77.png" ContentType="image/png"/>
  <Override PartName="/word/media/rId87.png" ContentType="image/png"/>
  <Override PartName="/word/media/rId73.png" ContentType="image/png"/>
  <Override PartName="/word/media/rId94.png" ContentType="image/png"/>
  <Override PartName="/word/media/rId80.png" ContentType="image/png"/>
  <Override PartName="/word/media/rId36.png" ContentType="image/png"/>
  <Override PartName="/word/media/rId30.png" ContentType="image/png"/>
  <Override PartName="/word/media/rId33.png" ContentType="image/png"/>
  <Override PartName="/word/media/rId23.png" ContentType="image/png"/>
  <Override PartName="/word/media/rId2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of</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Untertitel"/>
      </w:pPr>
      <w:r>
        <w:t xml:space="preserve">Status</w:t>
      </w:r>
      <w:r>
        <w:t xml:space="preserve"> </w:t>
      </w:r>
      <w:r>
        <w:t xml:space="preserve">report</w:t>
      </w:r>
    </w:p>
    <w:p>
      <w:pPr>
        <w:pStyle w:val="Author"/>
      </w:pPr>
      <w:r>
        <w:t xml:space="preserve">Dr. Jana</w:t>
      </w:r>
      <w:r>
        <w:t xml:space="preserve"> </w:t>
      </w:r>
      <w:r>
        <w:t xml:space="preserve">Dahlmanns</w:t>
      </w:r>
    </w:p>
    <w:p>
      <w:pPr>
        <w:pStyle w:val="Datum"/>
      </w:pPr>
      <w:r>
        <w:t xml:space="preserve">2023-05-24</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w:t>
      </w:r>
    </w:p>
    <w:bookmarkStart w:id="26"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3581400"/>
            <wp:effectExtent b="0" l="0" r="0" t="0"/>
            <wp:docPr descr="Thumbnails of all analyzed images" title="" id="21" name="Picture"/>
            <a:graphic>
              <a:graphicData uri="http://schemas.openxmlformats.org/drawingml/2006/picture">
                <pic:pic>
                  <pic:nvPicPr>
                    <pic:cNvPr descr="mitochondria_alcohol_status_report_files/figure-docx/show_thumbnails-1.png" id="22" name="Picture"/>
                    <pic:cNvPicPr>
                      <a:picLocks noChangeArrowheads="1" noChangeAspect="1"/>
                    </pic:cNvPicPr>
                  </pic:nvPicPr>
                  <pic:blipFill>
                    <a:blip r:embed="rId2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4" name="Picture"/>
            <a:graphic>
              <a:graphicData uri="http://schemas.openxmlformats.org/drawingml/2006/picture">
                <pic:pic>
                  <pic:nvPicPr>
                    <pic:cNvPr descr="mitochondria_alcohol_status_report_files/figure-docx/show_original_image-1.png" id="25" name="Picture"/>
                    <pic:cNvPicPr>
                      <a:picLocks noChangeArrowheads="1" noChangeAspect="1"/>
                    </pic:cNvPicPr>
                  </pic:nvPicPr>
                  <pic:blipFill>
                    <a:blip r:embed="rId23"/>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6"/>
    <w:bookmarkStart w:id="27" w:name="sample-sizes"/>
    <w:p>
      <w:pPr>
        <w:pStyle w:val="berschrift3"/>
      </w:pPr>
      <w:r>
        <w:t xml:space="preserve">Sample sizes</w:t>
      </w:r>
    </w:p>
    <w:p>
      <w:pPr>
        <w:pStyle w:val="FirstParagraph"/>
      </w:pPr>
      <w:r>
        <w:t xml:space="preserve">The number of analyzed images is currently 109 and is divided into different experimental conditions as follows:</w:t>
      </w:r>
    </w:p>
    <w:tbl>
      <w:tblPr>
        <w:tblStyle w:val="Table"/>
        <w:tblW w:type="pct" w:w="2153"/>
        <w:tblLook w:firstRow="1" w:lastRow="0" w:firstColumn="0" w:lastColumn="0" w:noHBand="0" w:noVBand="0" w:val="0020"/>
      </w:tblPr>
      <w:tblGrid>
        <w:gridCol w:w="2860"/>
        <w:gridCol w:w="55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50ng/ml 10d</w:t>
            </w:r>
          </w:p>
        </w:tc>
        <w:tc>
          <w:tcPr/>
          <w:p>
            <w:pPr>
              <w:pStyle w:val="Compact"/>
              <w:jc w:val="center"/>
            </w:pPr>
            <w:r>
              <w:t xml:space="preserve">6</w:t>
            </w:r>
          </w:p>
        </w:tc>
      </w:tr>
      <w:tr>
        <w:tc>
          <w:tcPr/>
          <w:p>
            <w:pPr>
              <w:pStyle w:val="Compact"/>
              <w:jc w:val="center"/>
            </w:pPr>
            <w:r>
              <w:t xml:space="preserve">Activin 50ng/ml 14days</w:t>
            </w:r>
          </w:p>
        </w:tc>
        <w:tc>
          <w:tcPr/>
          <w:p>
            <w:pPr>
              <w:pStyle w:val="Compact"/>
              <w:jc w:val="center"/>
            </w:pPr>
            <w:r>
              <w:t xml:space="preserve">5</w:t>
            </w:r>
          </w:p>
        </w:tc>
      </w:tr>
      <w:tr>
        <w:tc>
          <w:tcPr/>
          <w:p>
            <w:pPr>
              <w:pStyle w:val="Compact"/>
              <w:jc w:val="center"/>
            </w:pPr>
            <w:r>
              <w:t xml:space="preserve">Activin 50ng/ml 2days</w:t>
            </w:r>
          </w:p>
        </w:tc>
        <w:tc>
          <w:tcPr/>
          <w:p>
            <w:pPr>
              <w:pStyle w:val="Compact"/>
              <w:jc w:val="center"/>
            </w:pPr>
            <w:r>
              <w:t xml:space="preserve">5</w:t>
            </w:r>
          </w:p>
        </w:tc>
      </w:tr>
      <w:tr>
        <w:tc>
          <w:tcPr/>
          <w:p>
            <w:pPr>
              <w:pStyle w:val="Compact"/>
              <w:jc w:val="center"/>
            </w:pPr>
            <w:r>
              <w:t xml:space="preserve">Activin 50ng/ml 4d</w:t>
            </w:r>
          </w:p>
        </w:tc>
        <w:tc>
          <w:tcPr/>
          <w:p>
            <w:pPr>
              <w:pStyle w:val="Compact"/>
              <w:jc w:val="center"/>
            </w:pPr>
            <w:r>
              <w:t xml:space="preserve">12</w:t>
            </w:r>
          </w:p>
        </w:tc>
      </w:tr>
      <w:tr>
        <w:tc>
          <w:tcPr/>
          <w:p>
            <w:pPr>
              <w:pStyle w:val="Compact"/>
              <w:jc w:val="center"/>
            </w:pPr>
            <w:r>
              <w:t xml:space="preserve">Control 10d</w:t>
            </w:r>
          </w:p>
        </w:tc>
        <w:tc>
          <w:tcPr/>
          <w:p>
            <w:pPr>
              <w:pStyle w:val="Compact"/>
              <w:jc w:val="center"/>
            </w:pPr>
            <w:r>
              <w:t xml:space="preserve">11</w:t>
            </w:r>
          </w:p>
        </w:tc>
      </w:tr>
      <w:tr>
        <w:tc>
          <w:tcPr/>
          <w:p>
            <w:pPr>
              <w:pStyle w:val="Compact"/>
              <w:jc w:val="center"/>
            </w:pPr>
            <w:r>
              <w:t xml:space="preserve">Control 14days</w:t>
            </w:r>
          </w:p>
        </w:tc>
        <w:tc>
          <w:tcPr/>
          <w:p>
            <w:pPr>
              <w:pStyle w:val="Compact"/>
              <w:jc w:val="center"/>
            </w:pPr>
            <w:r>
              <w:t xml:space="preserve">9</w:t>
            </w:r>
          </w:p>
        </w:tc>
      </w:tr>
      <w:tr>
        <w:tc>
          <w:tcPr/>
          <w:p>
            <w:pPr>
              <w:pStyle w:val="Compact"/>
              <w:jc w:val="center"/>
            </w:pPr>
            <w:r>
              <w:t xml:space="preserve">Control 7days</w:t>
            </w:r>
          </w:p>
        </w:tc>
        <w:tc>
          <w:tcPr/>
          <w:p>
            <w:pPr>
              <w:pStyle w:val="Compact"/>
              <w:jc w:val="center"/>
            </w:pPr>
            <w:r>
              <w:t xml:space="preserve">10</w:t>
            </w:r>
          </w:p>
        </w:tc>
      </w:tr>
      <w:tr>
        <w:tc>
          <w:tcPr/>
          <w:p>
            <w:pPr>
              <w:pStyle w:val="Compact"/>
              <w:jc w:val="center"/>
            </w:pPr>
            <w:r>
              <w:t xml:space="preserve">Ctrl 4d</w:t>
            </w:r>
          </w:p>
        </w:tc>
        <w:tc>
          <w:tcPr/>
          <w:p>
            <w:pPr>
              <w:pStyle w:val="Compact"/>
              <w:jc w:val="center"/>
            </w:pPr>
            <w:r>
              <w:t xml:space="preserve">11</w:t>
            </w:r>
          </w:p>
        </w:tc>
      </w:tr>
      <w:tr>
        <w:tc>
          <w:tcPr/>
          <w:p>
            <w:pPr>
              <w:pStyle w:val="Compact"/>
              <w:jc w:val="center"/>
            </w:pPr>
            <w:r>
              <w:t xml:space="preserve">Ctrl 5min</w:t>
            </w:r>
          </w:p>
        </w:tc>
        <w:tc>
          <w:tcPr/>
          <w:p>
            <w:pPr>
              <w:pStyle w:val="Compact"/>
              <w:jc w:val="center"/>
            </w:pPr>
            <w:r>
              <w:t xml:space="preserve">1</w:t>
            </w:r>
          </w:p>
        </w:tc>
      </w:tr>
      <w:tr>
        <w:tc>
          <w:tcPr/>
          <w:p>
            <w:pPr>
              <w:pStyle w:val="Compact"/>
              <w:jc w:val="center"/>
            </w:pPr>
            <w:r>
              <w:t xml:space="preserve">Ethanol 30mM 5min</w:t>
            </w:r>
          </w:p>
        </w:tc>
        <w:tc>
          <w:tcPr/>
          <w:p>
            <w:pPr>
              <w:pStyle w:val="Compact"/>
              <w:jc w:val="center"/>
            </w:pPr>
            <w:r>
              <w:t xml:space="preserve">7</w:t>
            </w:r>
          </w:p>
        </w:tc>
      </w:tr>
      <w:tr>
        <w:tc>
          <w:tcPr/>
          <w:p>
            <w:pPr>
              <w:pStyle w:val="Compact"/>
              <w:jc w:val="center"/>
            </w:pPr>
            <w:r>
              <w:t xml:space="preserve">Follistatin 50ng/ml 10d</w:t>
            </w:r>
          </w:p>
        </w:tc>
        <w:tc>
          <w:tcPr/>
          <w:p>
            <w:pPr>
              <w:pStyle w:val="Compact"/>
              <w:jc w:val="center"/>
            </w:pPr>
            <w:r>
              <w:t xml:space="preserve">5</w:t>
            </w:r>
          </w:p>
        </w:tc>
      </w:tr>
      <w:tr>
        <w:tc>
          <w:tcPr/>
          <w:p>
            <w:pPr>
              <w:pStyle w:val="Compact"/>
              <w:jc w:val="center"/>
            </w:pPr>
            <w:r>
              <w:t xml:space="preserve">Follistatin 50ng/ml 14d</w:t>
            </w:r>
          </w:p>
        </w:tc>
        <w:tc>
          <w:tcPr/>
          <w:p>
            <w:pPr>
              <w:pStyle w:val="Compact"/>
              <w:jc w:val="center"/>
            </w:pPr>
            <w:r>
              <w:t xml:space="preserve">5</w:t>
            </w:r>
          </w:p>
        </w:tc>
      </w:tr>
      <w:tr>
        <w:tc>
          <w:tcPr/>
          <w:p>
            <w:pPr>
              <w:pStyle w:val="Compact"/>
              <w:jc w:val="center"/>
            </w:pPr>
            <w:r>
              <w:t xml:space="preserve">Follistatin 50ng/ml 7d</w:t>
            </w:r>
          </w:p>
        </w:tc>
        <w:tc>
          <w:tcPr/>
          <w:p>
            <w:pPr>
              <w:pStyle w:val="Compact"/>
              <w:jc w:val="center"/>
            </w:pPr>
            <w:r>
              <w:t xml:space="preserve">11</w:t>
            </w:r>
          </w:p>
        </w:tc>
      </w:tr>
      <w:tr>
        <w:tc>
          <w:tcPr/>
          <w:p>
            <w:pPr>
              <w:pStyle w:val="Compact"/>
              <w:jc w:val="center"/>
            </w:pPr>
            <w:r>
              <w:t xml:space="preserve">SMIFH2 10µM 14d</w:t>
            </w:r>
          </w:p>
        </w:tc>
        <w:tc>
          <w:tcPr/>
          <w:p>
            <w:pPr>
              <w:pStyle w:val="Compact"/>
              <w:jc w:val="center"/>
            </w:pPr>
            <w:r>
              <w:t xml:space="preserve">5</w:t>
            </w:r>
          </w:p>
        </w:tc>
      </w:tr>
      <w:tr>
        <w:tc>
          <w:tcPr/>
          <w:p>
            <w:pPr>
              <w:pStyle w:val="Compact"/>
              <w:jc w:val="center"/>
            </w:pPr>
            <w:r>
              <w:t xml:space="preserve">SMIFH2 10µM 4d</w:t>
            </w:r>
          </w:p>
        </w:tc>
        <w:tc>
          <w:tcPr/>
          <w:p>
            <w:pPr>
              <w:pStyle w:val="Compact"/>
              <w:jc w:val="center"/>
            </w:pPr>
            <w:r>
              <w:t xml:space="preserve">2</w:t>
            </w:r>
          </w:p>
        </w:tc>
      </w:tr>
      <w:tr>
        <w:tc>
          <w:tcPr/>
          <w:p>
            <w:pPr>
              <w:pStyle w:val="Compact"/>
              <w:jc w:val="center"/>
            </w:pPr>
            <w:r>
              <w:t xml:space="preserve">SMIFH2 10µm 10d</w:t>
            </w:r>
          </w:p>
        </w:tc>
        <w:tc>
          <w:tcPr/>
          <w:p>
            <w:pPr>
              <w:pStyle w:val="Compact"/>
              <w:jc w:val="center"/>
            </w:pPr>
            <w:r>
              <w:t xml:space="preserve">4</w:t>
            </w:r>
          </w:p>
        </w:tc>
      </w:tr>
    </w:tbl>
    <w:bookmarkEnd w:id="27"/>
    <w:bookmarkEnd w:id="28"/>
    <w:bookmarkStart w:id="41"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fluorescence intensity distribution along the connecting line as a marker for the distribution of mitochondria.</w:t>
      </w:r>
    </w:p>
    <w:bookmarkStart w:id="29" w:name="intensity-profiles"/>
    <w:p>
      <w:pPr>
        <w:pStyle w:val="berschrift3"/>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that effect single pixels. I therefore normalized the fluorescence intensity values to the average of the 3 highest values of each cell’s profiles - which is a method not as vulnerable to the described error sources.</w:t>
      </w:r>
    </w:p>
    <w:bookmarkEnd w:id="29"/>
    <w:bookmarkStart w:id="39" w:name="normalization"/>
    <w:p>
      <w:pPr>
        <w:pStyle w:val="berschrift3"/>
      </w:pPr>
      <w:r>
        <w:t xml:space="preserve">Normalization</w:t>
      </w:r>
    </w:p>
    <w:p>
      <w:pPr>
        <w:pStyle w:val="FirstParagraph"/>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3581400"/>
            <wp:effectExtent b="0" l="0" r="0" t="0"/>
            <wp:docPr descr="Normliazed intensity profiles along first sections through the soma" title="" id="31" name="Picture"/>
            <a:graphic>
              <a:graphicData uri="http://schemas.openxmlformats.org/drawingml/2006/picture">
                <pic:pic>
                  <pic:nvPicPr>
                    <pic:cNvPr descr="mitochondria_alcohol_status_report_files/figure-docx/plot_line1-1.png" id="32" name="Picture"/>
                    <pic:cNvPicPr>
                      <a:picLocks noChangeArrowheads="1" noChangeAspect="1"/>
                    </pic:cNvPicPr>
                  </pic:nvPicPr>
                  <pic:blipFill>
                    <a:blip r:embed="rId30"/>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 Here is an overview of all thus far extracted sections through the soma:</w:t>
      </w:r>
    </w:p>
    <w:p>
      <w:pPr>
        <w:pStyle w:val="CaptionedFigure"/>
      </w:pPr>
      <w:r>
        <w:drawing>
          <wp:inline>
            <wp:extent cx="5969000" cy="7162800"/>
            <wp:effectExtent b="0" l="0" r="0" t="0"/>
            <wp:docPr descr="Overview of all normalized intensity profiles along sections through the soma" title="" id="34" name="Picture"/>
            <a:graphic>
              <a:graphicData uri="http://schemas.openxmlformats.org/drawingml/2006/picture">
                <pic:pic>
                  <pic:nvPicPr>
                    <pic:cNvPr descr="mitochondria_alcohol_status_report_files/figure-docx/plot_lines_separately-1.png" id="35" name="Picture"/>
                    <pic:cNvPicPr>
                      <a:picLocks noChangeArrowheads="1" noChangeAspect="1"/>
                    </pic:cNvPicPr>
                  </pic:nvPicPr>
                  <pic:blipFill>
                    <a:blip r:embed="rId33"/>
                    <a:stretch>
                      <a:fillRect/>
                    </a:stretch>
                  </pic:blipFill>
                  <pic:spPr bwMode="auto">
                    <a:xfrm>
                      <a:off x="0" y="0"/>
                      <a:ext cx="5969000" cy="7162800"/>
                    </a:xfrm>
                    <a:prstGeom prst="rect">
                      <a:avLst/>
                    </a:prstGeom>
                    <a:noFill/>
                    <a:ln w="9525">
                      <a:noFill/>
                      <a:headEnd/>
                      <a:tailEnd/>
                    </a:ln>
                  </pic:spPr>
                </pic:pic>
              </a:graphicData>
            </a:graphic>
          </wp:inline>
        </w:drawing>
      </w:r>
    </w:p>
    <w:p>
      <w:pPr>
        <w:pStyle w:val="ImageCaption"/>
      </w:pPr>
      <w:r>
        <w:t xml:space="preserve">Overview of all normalized intensity profiles along sections through the soma</w:t>
      </w:r>
    </w:p>
    <w:p>
      <w:pPr>
        <w:pStyle w:val="Textkrper"/>
      </w:pPr>
      <w:r>
        <w:t xml:space="preserve">We can see, that some curves consist of very few data points, because the soma is only a thin edge around the nucleus in some regions. Other sections span across wider sections of soma. Overall there is no apparent difference between line 1 (sections across widest area of the soma) and lines 2 and 3 (sections across other parts of the soma).</w:t>
      </w:r>
    </w:p>
    <w:p>
      <w:pPr>
        <w:pStyle w:val="CaptionedFigure"/>
      </w:pPr>
      <w:r>
        <w:drawing>
          <wp:inline>
            <wp:extent cx="5969000" cy="3581400"/>
            <wp:effectExtent b="0" l="0" r="0" t="0"/>
            <wp:docPr descr="Normalized intensity profiles along sections through the soma - all three sections averaged" title="" id="37" name="Picture"/>
            <a:graphic>
              <a:graphicData uri="http://schemas.openxmlformats.org/drawingml/2006/picture">
                <pic:pic>
                  <pic:nvPicPr>
                    <pic:cNvPr descr="mitochondria_alcohol_status_report_files/figure-docx/plot_all_lines-1.png" id="38" name="Picture"/>
                    <pic:cNvPicPr>
                      <a:picLocks noChangeArrowheads="1" noChangeAspect="1"/>
                    </pic:cNvPicPr>
                  </pic:nvPicPr>
                  <pic:blipFill>
                    <a:blip r:embed="rId36"/>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r>
        <w:t xml:space="preserve">Normalized intensity profiles along sections through the soma - all three sections averaged</w:t>
      </w:r>
    </w:p>
    <w:p>
      <w:pPr>
        <w:pStyle w:val="Textkrper"/>
      </w:pPr>
      <w:r>
        <w:t xml:space="preserve">When comparing the curves of only the first (longest) sections with the averages of all three sections, we can see that the mitochondria distribution is about the same, but the distribution shape becomes more pronounced with more data, which makes sense. Hence, we’ll be using all three sections for the following analysis steps.</w:t>
      </w:r>
    </w:p>
    <w:bookmarkEnd w:id="39"/>
    <w:bookmarkStart w:id="40" w:name="statistical-comparison"/>
    <w:p>
      <w:pPr>
        <w:pStyle w:val="berschrift3"/>
      </w:pPr>
      <w:r>
        <w:t xml:space="preserve">Statistical comparison</w:t>
      </w:r>
    </w:p>
    <w:p>
      <w:pPr>
        <w:pStyle w:val="FirstParagraph"/>
      </w:pPr>
      <w:r>
        <w:t xml:space="preserve">To compare the different distributions, we divided them up into 10 sections (0-0.1 distance from the nucleus, 0.1-0.2, 0.2-0.3,…). Within each section, values are averaged and statistically compared through anova with Dunnett’s post-hoc corrections (used when comparing multiple treatment conditions to one control).</w:t>
      </w:r>
      <w:r>
        <w:t xml:space="preserve"> </w:t>
      </w:r>
      <w:r>
        <w:t xml:space="preserve">I then performed statistical comparison between the different treatment groups and controls for each of the 10 distance sections.</w:t>
      </w:r>
    </w:p>
    <w:bookmarkEnd w:id="40"/>
    <w:bookmarkEnd w:id="41"/>
    <w:bookmarkStart w:id="98" w:name="current-results"/>
    <w:p>
      <w:pPr>
        <w:pStyle w:val="berschrift2"/>
      </w:pPr>
      <w:r>
        <w:t xml:space="preserve">Current results</w:t>
      </w:r>
    </w:p>
    <w:bookmarkStart w:id="48" w:name="X58f9943709f66ae693e655b336e2a06c0f86bc7"/>
    <w:p>
      <w:pPr>
        <w:pStyle w:val="berschrift3"/>
      </w:pPr>
      <w:r>
        <w:t xml:space="preserve">Reduced somatic actin density in cultures treated with Activin A for 2 days and for 14 days, but not in between at 4 days and 10 days</w:t>
      </w:r>
    </w:p>
    <w:p>
      <w:pPr>
        <w:pStyle w:val="CaptionedFigure"/>
      </w:pPr>
      <w:r>
        <w:drawing>
          <wp:inline>
            <wp:extent cx="5969000" cy="7022352"/>
            <wp:effectExtent b="0" l="0" r="0" t="0"/>
            <wp:docPr descr="Statistical comparison of actin density in Activin A treated cultures" title="" id="43" name="Picture"/>
            <a:graphic>
              <a:graphicData uri="http://schemas.openxmlformats.org/drawingml/2006/picture">
                <pic:pic>
                  <pic:nvPicPr>
                    <pic:cNvPr descr="mitochondria_alcohol_status_report_files/figure-docx/comparison_actin_under_activin-1.png" id="44" name="Picture"/>
                    <pic:cNvPicPr>
                      <a:picLocks noChangeArrowheads="1" noChangeAspect="1"/>
                    </pic:cNvPicPr>
                  </pic:nvPicPr>
                  <pic:blipFill>
                    <a:blip r:embed="rId42"/>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Activin A treated cultures</w:t>
      </w:r>
    </w:p>
    <w:p>
      <w:pPr>
        <w:pStyle w:val="CaptionedFigure"/>
      </w:pPr>
      <w:r>
        <w:drawing>
          <wp:inline>
            <wp:extent cx="5969000" cy="4178300"/>
            <wp:effectExtent b="0" l="0" r="0" t="0"/>
            <wp:docPr descr="Actin density in the soma of Activin A treated cultures" title="" id="46" name="Picture"/>
            <a:graphic>
              <a:graphicData uri="http://schemas.openxmlformats.org/drawingml/2006/picture">
                <pic:pic>
                  <pic:nvPicPr>
                    <pic:cNvPr descr="mitochondria_alcohol_status_report_files/figure-docx/actin_in_activin-1.png" id="47" name="Picture"/>
                    <pic:cNvPicPr>
                      <a:picLocks noChangeArrowheads="1" noChangeAspect="1"/>
                    </pic:cNvPicPr>
                  </pic:nvPicPr>
                  <pic:blipFill>
                    <a:blip r:embed="rId45"/>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Activin A treated cultures</w:t>
      </w:r>
    </w:p>
    <w:p>
      <w:pPr>
        <w:pStyle w:val="Textkrper"/>
      </w:pPr>
      <w:r>
        <w:t xml:space="preserve">Cultures treated with Activin A for 2 days contain a reduced somatic actin density. This effect recedes to no changes after 4 days and 10 days of treatment and reappears after 14 days.</w:t>
      </w:r>
    </w:p>
    <w:bookmarkEnd w:id="48"/>
    <w:bookmarkStart w:id="55" w:name="Xdcc0b50835011dc7051615fd3c5cb7a52061c43"/>
    <w:p>
      <w:pPr>
        <w:pStyle w:val="berschrift3"/>
      </w:pPr>
      <w:r>
        <w:t xml:space="preserve">No relevant effect of follistatin on actin density</w:t>
      </w:r>
    </w:p>
    <w:p>
      <w:pPr>
        <w:pStyle w:val="CaptionedFigure"/>
      </w:pPr>
      <w:r>
        <w:drawing>
          <wp:inline>
            <wp:extent cx="5969000" cy="7022352"/>
            <wp:effectExtent b="0" l="0" r="0" t="0"/>
            <wp:docPr descr="Statistical comparison of actin density in follistatin treated cultures" title="" id="50" name="Picture"/>
            <a:graphic>
              <a:graphicData uri="http://schemas.openxmlformats.org/drawingml/2006/picture">
                <pic:pic>
                  <pic:nvPicPr>
                    <pic:cNvPr descr="mitochondria_alcohol_status_report_files/figure-docx/comparison_actin_under_follistatin-1.png" id="51" name="Picture"/>
                    <pic:cNvPicPr>
                      <a:picLocks noChangeArrowheads="1" noChangeAspect="1"/>
                    </pic:cNvPicPr>
                  </pic:nvPicPr>
                  <pic:blipFill>
                    <a:blip r:embed="rId49"/>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follistatin treated cultures</w:t>
      </w:r>
    </w:p>
    <w:p>
      <w:pPr>
        <w:pStyle w:val="CaptionedFigure"/>
      </w:pPr>
      <w:r>
        <w:drawing>
          <wp:inline>
            <wp:extent cx="5969000" cy="4178300"/>
            <wp:effectExtent b="0" l="0" r="0" t="0"/>
            <wp:docPr descr="Actin density in the soma of follistatin treated cultures" title="" id="53" name="Picture"/>
            <a:graphic>
              <a:graphicData uri="http://schemas.openxmlformats.org/drawingml/2006/picture">
                <pic:pic>
                  <pic:nvPicPr>
                    <pic:cNvPr descr="mitochondria_alcohol_status_report_files/figure-docx/actin_in_follistatin-1.png" id="54" name="Picture"/>
                    <pic:cNvPicPr>
                      <a:picLocks noChangeArrowheads="1" noChangeAspect="1"/>
                    </pic:cNvPicPr>
                  </pic:nvPicPr>
                  <pic:blipFill>
                    <a:blip r:embed="rId52"/>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follistatin treated cultures</w:t>
      </w:r>
    </w:p>
    <w:p>
      <w:pPr>
        <w:pStyle w:val="Textkrper"/>
      </w:pPr>
      <w:r>
        <w:t xml:space="preserve">Although statistically significant, effect sizes are minimal and thus, cultures treated with follistatin up to 14 days show no noteworthy effects of the treatment on somatic actin density.</w:t>
      </w:r>
    </w:p>
    <w:bookmarkEnd w:id="55"/>
    <w:bookmarkStart w:id="62" w:name="Xe50f6a54b942b943f33e685b1f768689b30252f"/>
    <w:p>
      <w:pPr>
        <w:pStyle w:val="berschrift3"/>
      </w:pPr>
      <w:r>
        <w:t xml:space="preserve">Inconclusive results of actin density in SMIFH2 treated cultures</w:t>
      </w:r>
    </w:p>
    <w:p>
      <w:pPr>
        <w:pStyle w:val="CaptionedFigure"/>
      </w:pPr>
      <w:r>
        <w:drawing>
          <wp:inline>
            <wp:extent cx="5969000" cy="7022352"/>
            <wp:effectExtent b="0" l="0" r="0" t="0"/>
            <wp:docPr descr="Statistical comparison of actin density in SMIFH2 treated cultures" title="" id="57" name="Picture"/>
            <a:graphic>
              <a:graphicData uri="http://schemas.openxmlformats.org/drawingml/2006/picture">
                <pic:pic>
                  <pic:nvPicPr>
                    <pic:cNvPr descr="mitochondria_alcohol_status_report_files/figure-docx/comparison_actin_under_SMIFH2-1.png" id="58" name="Picture"/>
                    <pic:cNvPicPr>
                      <a:picLocks noChangeArrowheads="1" noChangeAspect="1"/>
                    </pic:cNvPicPr>
                  </pic:nvPicPr>
                  <pic:blipFill>
                    <a:blip r:embed="rId56"/>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SMIFH2 treated cultures</w:t>
      </w:r>
    </w:p>
    <w:p>
      <w:pPr>
        <w:pStyle w:val="CaptionedFigure"/>
      </w:pPr>
      <w:r>
        <w:drawing>
          <wp:inline>
            <wp:extent cx="5969000" cy="4178300"/>
            <wp:effectExtent b="0" l="0" r="0" t="0"/>
            <wp:docPr descr="Actin density in the soma of SMIFH2 treated cultures" title="" id="60" name="Picture"/>
            <a:graphic>
              <a:graphicData uri="http://schemas.openxmlformats.org/drawingml/2006/picture">
                <pic:pic>
                  <pic:nvPicPr>
                    <pic:cNvPr descr="mitochondria_alcohol_status_report_files/figure-docx/actin_in_SMIFH2-1.png" id="61" name="Picture"/>
                    <pic:cNvPicPr>
                      <a:picLocks noChangeArrowheads="1" noChangeAspect="1"/>
                    </pic:cNvPicPr>
                  </pic:nvPicPr>
                  <pic:blipFill>
                    <a:blip r:embed="rId59"/>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SMIFH2 treated cultures</w:t>
      </w:r>
    </w:p>
    <w:p>
      <w:pPr>
        <w:pStyle w:val="Textkrper"/>
      </w:pPr>
      <w:r>
        <w:t xml:space="preserve">As the sample size for SMIFH2 treated cultures is very low, the results here seem inconclusive. As SMIFH2 inhibits actin polymerization (Phalloidin Red only binds to polymerized actin), a decrease of actin density is expected but not apparent in the data.</w:t>
      </w:r>
    </w:p>
    <w:bookmarkEnd w:id="62"/>
    <w:bookmarkStart w:id="69" w:name="X5e9eb44fd81fbb9d6aa399327fbc04690067860"/>
    <w:p>
      <w:pPr>
        <w:pStyle w:val="berschrift3"/>
      </w:pPr>
      <w:r>
        <w:t xml:space="preserve">No relevant effect of Ethanol treatment (5min, 30mM) on somatic actin density</w:t>
      </w:r>
    </w:p>
    <w:p>
      <w:pPr>
        <w:pStyle w:val="CaptionedFigure"/>
      </w:pPr>
      <w:r>
        <w:drawing>
          <wp:inline>
            <wp:extent cx="5969000" cy="7022352"/>
            <wp:effectExtent b="0" l="0" r="0" t="0"/>
            <wp:docPr descr="Statistical comparison of actin density in ethanol treated cultures" title="" id="64" name="Picture"/>
            <a:graphic>
              <a:graphicData uri="http://schemas.openxmlformats.org/drawingml/2006/picture">
                <pic:pic>
                  <pic:nvPicPr>
                    <pic:cNvPr descr="mitochondria_alcohol_status_report_files/figure-docx/comparison_actin_under_ethanol-1.png" id="65" name="Picture"/>
                    <pic:cNvPicPr>
                      <a:picLocks noChangeArrowheads="1" noChangeAspect="1"/>
                    </pic:cNvPicPr>
                  </pic:nvPicPr>
                  <pic:blipFill>
                    <a:blip r:embed="rId63"/>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actin density in ethanol treated cultures</w:t>
      </w:r>
    </w:p>
    <w:p>
      <w:pPr>
        <w:pStyle w:val="CaptionedFigure"/>
      </w:pPr>
      <w:r>
        <w:drawing>
          <wp:inline>
            <wp:extent cx="5969000" cy="4178300"/>
            <wp:effectExtent b="0" l="0" r="0" t="0"/>
            <wp:docPr descr="Actin density in the soma of ethanol treated cultures" title="" id="67" name="Picture"/>
            <a:graphic>
              <a:graphicData uri="http://schemas.openxmlformats.org/drawingml/2006/picture">
                <pic:pic>
                  <pic:nvPicPr>
                    <pic:cNvPr descr="mitochondria_alcohol_status_report_files/figure-docx/actin_in_ethanol-1.png" id="68" name="Picture"/>
                    <pic:cNvPicPr>
                      <a:picLocks noChangeArrowheads="1" noChangeAspect="1"/>
                    </pic:cNvPicPr>
                  </pic:nvPicPr>
                  <pic:blipFill>
                    <a:blip r:embed="rId66"/>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Actin density in the soma of ethanol treated cultures</w:t>
      </w:r>
    </w:p>
    <w:p>
      <w:pPr>
        <w:pStyle w:val="Textkrper"/>
      </w:pPr>
      <w:r>
        <w:t xml:space="preserve">Although statistically significant, the effect sizes are marginal and thus, 5min Ethanol treatment (30mM) has no relevant effect on somatic actin density.</w:t>
      </w:r>
    </w:p>
    <w:bookmarkEnd w:id="69"/>
    <w:bookmarkStart w:id="76" w:name="X5154b24c9de155c97902dacf40110dfc1163ac8"/>
    <w:p>
      <w:pPr>
        <w:pStyle w:val="berschrift3"/>
      </w:pPr>
      <w:r>
        <w:t xml:space="preserve">Activin A might shift somatic mitochondria distribution towards the nucleus</w:t>
      </w:r>
    </w:p>
    <w:p>
      <w:pPr>
        <w:pStyle w:val="CaptionedFigure"/>
      </w:pPr>
      <w:r>
        <w:drawing>
          <wp:inline>
            <wp:extent cx="5969000" cy="7022352"/>
            <wp:effectExtent b="0" l="0" r="0" t="0"/>
            <wp:docPr descr="Statistical comparison of mitochondria distribution in Activin A treated cultures" title="" id="71" name="Picture"/>
            <a:graphic>
              <a:graphicData uri="http://schemas.openxmlformats.org/drawingml/2006/picture">
                <pic:pic>
                  <pic:nvPicPr>
                    <pic:cNvPr descr="mitochondria_alcohol_status_report_files/figure-docx/comparison_mitochondria_under_activin-1.png" id="72" name="Picture"/>
                    <pic:cNvPicPr>
                      <a:picLocks noChangeArrowheads="1" noChangeAspect="1"/>
                    </pic:cNvPicPr>
                  </pic:nvPicPr>
                  <pic:blipFill>
                    <a:blip r:embed="rId70"/>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mitochondria distribution in Activin A treated cultures</w:t>
      </w:r>
    </w:p>
    <w:p>
      <w:pPr>
        <w:pStyle w:val="CaptionedFigure"/>
      </w:pPr>
      <w:r>
        <w:drawing>
          <wp:inline>
            <wp:extent cx="5969000" cy="4178300"/>
            <wp:effectExtent b="0" l="0" r="0" t="0"/>
            <wp:docPr descr="Mitochondria population in the soma of Activin A treated cultures" title="" id="74" name="Picture"/>
            <a:graphic>
              <a:graphicData uri="http://schemas.openxmlformats.org/drawingml/2006/picture">
                <pic:pic>
                  <pic:nvPicPr>
                    <pic:cNvPr descr="mitochondria_alcohol_status_report_files/figure-docx/mitochondria_in_activin-1.png" id="75" name="Picture"/>
                    <pic:cNvPicPr>
                      <a:picLocks noChangeArrowheads="1" noChangeAspect="1"/>
                    </pic:cNvPicPr>
                  </pic:nvPicPr>
                  <pic:blipFill>
                    <a:blip r:embed="rId73"/>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Mitochondria population in the soma of Activin A treated cultures</w:t>
      </w:r>
    </w:p>
    <w:p>
      <w:pPr>
        <w:pStyle w:val="Textkrper"/>
      </w:pPr>
      <w:r>
        <w:t xml:space="preserve">As the actin filaments, somatic mitochondria population is affected by Activin A treatment after 2 days and 14 days, but not after 4days and 10 days. The somatic mitochondria population seems to be pulled closer to the nucleus after Activin A treatment - the mitochondria density is increased near the nucleus (sections 1-3) and decreased in the distal sections (sections 8-10). These results might arise from increased mitochondria formation near the nucleus and/ or abandoned mitochondria maintenance and dissolution in the distal soma.</w:t>
      </w:r>
    </w:p>
    <w:bookmarkEnd w:id="76"/>
    <w:bookmarkStart w:id="83" w:name="effect-of-follistatin-on-mitochondria"/>
    <w:p>
      <w:pPr>
        <w:pStyle w:val="berschrift3"/>
      </w:pPr>
      <w:r>
        <w:t xml:space="preserve">Effect of follistatin on mitochondria</w:t>
      </w:r>
    </w:p>
    <w:p>
      <w:pPr>
        <w:pStyle w:val="CaptionedFigure"/>
      </w:pPr>
      <w:r>
        <w:drawing>
          <wp:inline>
            <wp:extent cx="5969000" cy="7022352"/>
            <wp:effectExtent b="0" l="0" r="0" t="0"/>
            <wp:docPr descr="Statistical comparison of mitochondria distribution in follistatin treated cultures" title="" id="78" name="Picture"/>
            <a:graphic>
              <a:graphicData uri="http://schemas.openxmlformats.org/drawingml/2006/picture">
                <pic:pic>
                  <pic:nvPicPr>
                    <pic:cNvPr descr="mitochondria_alcohol_status_report_files/figure-docx/comparison_mitochondria_under_follistatin-1.png" id="79" name="Picture"/>
                    <pic:cNvPicPr>
                      <a:picLocks noChangeArrowheads="1" noChangeAspect="1"/>
                    </pic:cNvPicPr>
                  </pic:nvPicPr>
                  <pic:blipFill>
                    <a:blip r:embed="rId77"/>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mitochondria distribution in follistatin treated cultures</w:t>
      </w:r>
    </w:p>
    <w:p>
      <w:pPr>
        <w:pStyle w:val="CaptionedFigure"/>
      </w:pPr>
      <w:r>
        <w:drawing>
          <wp:inline>
            <wp:extent cx="5969000" cy="4178300"/>
            <wp:effectExtent b="0" l="0" r="0" t="0"/>
            <wp:docPr descr="Mitochondria population in the soma of follistatin treated cultures" title="" id="81" name="Picture"/>
            <a:graphic>
              <a:graphicData uri="http://schemas.openxmlformats.org/drawingml/2006/picture">
                <pic:pic>
                  <pic:nvPicPr>
                    <pic:cNvPr descr="mitochondria_alcohol_status_report_files/figure-docx/mitochondria_in_follistatin-1.png" id="82" name="Picture"/>
                    <pic:cNvPicPr>
                      <a:picLocks noChangeArrowheads="1" noChangeAspect="1"/>
                    </pic:cNvPicPr>
                  </pic:nvPicPr>
                  <pic:blipFill>
                    <a:blip r:embed="rId80"/>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Mitochondria population in the soma of follistatin treated cultures</w:t>
      </w:r>
    </w:p>
    <w:p>
      <w:pPr>
        <w:pStyle w:val="Textkrper"/>
      </w:pPr>
      <w:r>
        <w:t xml:space="preserve">The somatic mitochondria population is increased after treatment with follistatin for 7, 10 and 14 days.</w:t>
      </w:r>
    </w:p>
    <w:bookmarkEnd w:id="83"/>
    <w:bookmarkStart w:id="90" w:name="effect-of-smifh2-on-mitochondria"/>
    <w:p>
      <w:pPr>
        <w:pStyle w:val="berschrift3"/>
      </w:pPr>
      <w:r>
        <w:t xml:space="preserve">Effect of SMIFH2 on mitochondria</w:t>
      </w:r>
    </w:p>
    <w:p>
      <w:pPr>
        <w:pStyle w:val="CaptionedFigure"/>
      </w:pPr>
      <w:r>
        <w:drawing>
          <wp:inline>
            <wp:extent cx="5969000" cy="7022352"/>
            <wp:effectExtent b="0" l="0" r="0" t="0"/>
            <wp:docPr descr="Statistical comparison of mitochondria distribution in SMIFH2 treated cultures" title="" id="85" name="Picture"/>
            <a:graphic>
              <a:graphicData uri="http://schemas.openxmlformats.org/drawingml/2006/picture">
                <pic:pic>
                  <pic:nvPicPr>
                    <pic:cNvPr descr="mitochondria_alcohol_status_report_files/figure-docx/comparison_mitochondria_under_SMIFH2-1.png" id="86" name="Picture"/>
                    <pic:cNvPicPr>
                      <a:picLocks noChangeArrowheads="1" noChangeAspect="1"/>
                    </pic:cNvPicPr>
                  </pic:nvPicPr>
                  <pic:blipFill>
                    <a:blip r:embed="rId84"/>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mitochondria distribution in SMIFH2 treated cultures</w:t>
      </w:r>
    </w:p>
    <w:p>
      <w:pPr>
        <w:pStyle w:val="CaptionedFigure"/>
      </w:pPr>
      <w:r>
        <w:drawing>
          <wp:inline>
            <wp:extent cx="5969000" cy="4178300"/>
            <wp:effectExtent b="0" l="0" r="0" t="0"/>
            <wp:docPr descr="Mitochondria population in the soma of SMIFH2 treated cultures" title="" id="88" name="Picture"/>
            <a:graphic>
              <a:graphicData uri="http://schemas.openxmlformats.org/drawingml/2006/picture">
                <pic:pic>
                  <pic:nvPicPr>
                    <pic:cNvPr descr="mitochondria_alcohol_status_report_files/figure-docx/mitochondria_in_SMIFH2-1.png" id="89" name="Picture"/>
                    <pic:cNvPicPr>
                      <a:picLocks noChangeArrowheads="1" noChangeAspect="1"/>
                    </pic:cNvPicPr>
                  </pic:nvPicPr>
                  <pic:blipFill>
                    <a:blip r:embed="rId87"/>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Mitochondria population in the soma of SMIFH2 treated cultures</w:t>
      </w:r>
    </w:p>
    <w:p>
      <w:pPr>
        <w:pStyle w:val="Textkrper"/>
      </w:pPr>
      <w:r>
        <w:t xml:space="preserve">Although the sample size is still low, it seems that in the long-term, after 14 days of treatment with SMIFH2, the mitochondria density in the neuronal soma is increased. This might be due to a reduced export into neurites.</w:t>
      </w:r>
    </w:p>
    <w:bookmarkEnd w:id="90"/>
    <w:bookmarkStart w:id="97" w:name="effect-of-ethanol-on-mitochondria"/>
    <w:p>
      <w:pPr>
        <w:pStyle w:val="berschrift3"/>
      </w:pPr>
      <w:r>
        <w:t xml:space="preserve">Effect of ethanol on mitochondria</w:t>
      </w:r>
    </w:p>
    <w:p>
      <w:pPr>
        <w:pStyle w:val="CaptionedFigure"/>
      </w:pPr>
      <w:r>
        <w:drawing>
          <wp:inline>
            <wp:extent cx="5969000" cy="7022352"/>
            <wp:effectExtent b="0" l="0" r="0" t="0"/>
            <wp:docPr descr="Statistical comparison of mitochondria distribution in ethanol treated cultures" title="" id="92" name="Picture"/>
            <a:graphic>
              <a:graphicData uri="http://schemas.openxmlformats.org/drawingml/2006/picture">
                <pic:pic>
                  <pic:nvPicPr>
                    <pic:cNvPr descr="mitochondria_alcohol_status_report_files/figure-docx/comparison_mitochondria_under_ethanol-1.png" id="93" name="Picture"/>
                    <pic:cNvPicPr>
                      <a:picLocks noChangeArrowheads="1" noChangeAspect="1"/>
                    </pic:cNvPicPr>
                  </pic:nvPicPr>
                  <pic:blipFill>
                    <a:blip r:embed="rId91"/>
                    <a:stretch>
                      <a:fillRect/>
                    </a:stretch>
                  </pic:blipFill>
                  <pic:spPr bwMode="auto">
                    <a:xfrm>
                      <a:off x="0" y="0"/>
                      <a:ext cx="5969000" cy="7022352"/>
                    </a:xfrm>
                    <a:prstGeom prst="rect">
                      <a:avLst/>
                    </a:prstGeom>
                    <a:noFill/>
                    <a:ln w="9525">
                      <a:noFill/>
                      <a:headEnd/>
                      <a:tailEnd/>
                    </a:ln>
                  </pic:spPr>
                </pic:pic>
              </a:graphicData>
            </a:graphic>
          </wp:inline>
        </w:drawing>
      </w:r>
    </w:p>
    <w:p>
      <w:pPr>
        <w:pStyle w:val="ImageCaption"/>
      </w:pPr>
      <w:r>
        <w:t xml:space="preserve">Statistical comparison of mitochondria distribution in ethanol treated cultures</w:t>
      </w:r>
    </w:p>
    <w:p>
      <w:pPr>
        <w:pStyle w:val="CaptionedFigure"/>
      </w:pPr>
      <w:r>
        <w:drawing>
          <wp:inline>
            <wp:extent cx="5969000" cy="4178300"/>
            <wp:effectExtent b="0" l="0" r="0" t="0"/>
            <wp:docPr descr="Mitochondria population in the soma of ethanol treated cultures" title="" id="95" name="Picture"/>
            <a:graphic>
              <a:graphicData uri="http://schemas.openxmlformats.org/drawingml/2006/picture">
                <pic:pic>
                  <pic:nvPicPr>
                    <pic:cNvPr descr="mitochondria_alcohol_status_report_files/figure-docx/mitochondria_in_ethanol-1.png" id="96" name="Picture"/>
                    <pic:cNvPicPr>
                      <a:picLocks noChangeArrowheads="1" noChangeAspect="1"/>
                    </pic:cNvPicPr>
                  </pic:nvPicPr>
                  <pic:blipFill>
                    <a:blip r:embed="rId94"/>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Mitochondria population in the soma of ethanol treated cultures</w:t>
      </w:r>
    </w:p>
    <w:p>
      <w:pPr>
        <w:pStyle w:val="Textkrper"/>
      </w:pPr>
      <w:r>
        <w:t xml:space="preserve">Ethanol might lead to a distal reducing of somatic mitochondria density. More experiments are required.</w:t>
      </w:r>
    </w:p>
    <w:bookmarkEnd w:id="97"/>
    <w:bookmarkEnd w:id="98"/>
    <w:bookmarkStart w:id="102" w:name="references"/>
    <w:p>
      <w:pPr>
        <w:pStyle w:val="berschrift2"/>
      </w:pPr>
      <w:r>
        <w:t xml:space="preserve">References</w:t>
      </w:r>
    </w:p>
    <w:bookmarkStart w:id="101" w:name="refs"/>
    <w:bookmarkStart w:id="100"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99">
        <w:r>
          <w:rPr>
            <w:rStyle w:val="Hyperlink"/>
          </w:rPr>
          <w:t xml:space="preserve">https://doi.org/10.1158/0008-5472.CAN-22-0162</w:t>
        </w:r>
      </w:hyperlink>
      <w:r>
        <w:t xml:space="preserve">.</w:t>
      </w:r>
    </w:p>
    <w:bookmarkEnd w:id="100"/>
    <w:bookmarkEnd w:id="101"/>
    <w:bookmarkEnd w:id="102"/>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A99411"/>
    <w:multiLevelType w:val="multilevel"/>
    <w:tmpl w:val="425AC5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16cid:durableId="48961354"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C545D"/>
    <w:rPr>
      <w:rFonts w:ascii="Avenir Next LT Pro" w:hAnsi="Avenir Next LT Pro"/>
    </w:r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link w:val="berschrift2Zchn"/>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 w:customStyle="1" w:styleId="berschrift2Zchn" w:type="character">
    <w:name w:val="Überschrift 2 Zchn"/>
    <w:basedOn w:val="Absatz-Standardschriftart"/>
    <w:link w:val="berschrift2"/>
    <w:uiPriority w:val="9"/>
    <w:rsid w:val="00EA2BB5"/>
    <w:rPr>
      <w:rFonts w:ascii="AvenirNext LT Pro Regular" w:cstheme="majorBidi" w:eastAsiaTheme="majorEastAsia" w:hAnsi="AvenirNext LT Pro Regula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2" Target="media/rId42.png" /><Relationship Type="http://schemas.openxmlformats.org/officeDocument/2006/relationships/image" Id="rId63" Target="media/rId63.png" /><Relationship Type="http://schemas.openxmlformats.org/officeDocument/2006/relationships/image" Id="rId49" Target="media/rId49.png" /><Relationship Type="http://schemas.openxmlformats.org/officeDocument/2006/relationships/image" Id="rId84" Target="media/rId84.png" /><Relationship Type="http://schemas.openxmlformats.org/officeDocument/2006/relationships/image" Id="rId70" Target="media/rId70.png" /><Relationship Type="http://schemas.openxmlformats.org/officeDocument/2006/relationships/image" Id="rId91" Target="media/rId91.png" /><Relationship Type="http://schemas.openxmlformats.org/officeDocument/2006/relationships/image" Id="rId77" Target="media/rId77.png" /><Relationship Type="http://schemas.openxmlformats.org/officeDocument/2006/relationships/image" Id="rId87" Target="media/rId87.png" /><Relationship Type="http://schemas.openxmlformats.org/officeDocument/2006/relationships/image" Id="rId73" Target="media/rId73.png" /><Relationship Type="http://schemas.openxmlformats.org/officeDocument/2006/relationships/image" Id="rId94" Target="media/rId94.png" /><Relationship Type="http://schemas.openxmlformats.org/officeDocument/2006/relationships/image" Id="rId80" Target="media/rId80.png" /><Relationship Type="http://schemas.openxmlformats.org/officeDocument/2006/relationships/image" Id="rId36" Target="media/rId3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99"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Words>
  <Characters>2504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Mitochondria distribution along sections through neuronal soma</dc:title>
  <dc:creator>Dr. Jana Dahlmanns</dc:creator>
  <cp:keywords/>
  <dcterms:created xsi:type="dcterms:W3CDTF">2023-05-24T09:57:57Z</dcterms:created>
  <dcterms:modified xsi:type="dcterms:W3CDTF">2023-05-24T09:57:57Z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2023-05-24</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y fmtid="{D5CDD505-2E9C-101B-9397-08002B2CF9AE}" pid="9" name="subtitle">
    <vt:lpwstr>Status report</vt:lpwstr>
  </property>
</Properties>
</file>