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
      </w:pPr>
      <w:r>
        <w:rPr>
          <w:rFonts w:ascii="Calibri" w:cs="Calibri" w:eastAsia="Calibri" w:hAnsi="Calibri"/>
          <w:b/>
          <w:bCs/>
          <w:color w:val="1F3864"/>
          <w:sz w:val="40"/>
          <w:szCs w:val="40"/>
        </w:rPr>
        <w:t xml:space="preserve">JAY MALCAMPO</w:t>
      </w:r>
    </w:p>
    <w:p>
      <w:pPr>
        <w:pBdr>
          <w:bottom w:val="single" w:color="1F3864" w:sz="6" w:space="6"/>
        </w:pBdr>
        <w:spacing w:after="120"/>
      </w:pPr>
      <w:r>
        <w:rPr>
          <w:rFonts w:ascii="Calibri" w:cs="Calibri" w:eastAsia="Calibri" w:hAnsi="Calibri"/>
          <w:color w:val="595959"/>
          <w:sz w:val="19"/>
          <w:szCs w:val="19"/>
        </w:rPr>
        <w:t xml:space="preserve">3/33 Inverway Circuit, Farrar NT 0830  |  +61 455 531 592  |  jw_malcampo@yahoo.com</w:t>
      </w:r>
    </w:p>
    <w:p>
      <w:pPr>
        <w:pBdr>
          <w:bottom w:val="single" w:color="BFBFBF" w:sz="4" w:space="2"/>
        </w:pBdr>
        <w:spacing w:after="50" w:before="100"/>
      </w:pPr>
      <w:r>
        <w:rPr>
          <w:rFonts w:ascii="Calibri" w:cs="Calibri" w:eastAsia="Calibri" w:hAnsi="Calibri"/>
          <w:b/>
          <w:bCs/>
          <w:color w:val="1F3864"/>
          <w:sz w:val="22"/>
          <w:szCs w:val="22"/>
        </w:rPr>
        <w:t xml:space="preserve">PROFESSIONAL SUMMARY</w:t>
      </w:r>
    </w:p>
    <w:p>
      <w:pPr>
        <w:spacing w:after="100"/>
      </w:pPr>
      <w:r>
        <w:rPr>
          <w:rFonts w:ascii="Calibri" w:cs="Calibri" w:eastAsia="Calibri" w:hAnsi="Calibri"/>
          <w:sz w:val="20"/>
          <w:szCs w:val="20"/>
        </w:rPr>
        <w:t xml:space="preserve">Business Analyst with a strong foundation in safety, compliance, and process governance, built through experience as a SHEQ Advisor in bulk liquid terminal operations and as a Deck Officer within highly regulated maritime environments. Skilled in facilitating stakeholder workshops, conducting gap analyses and risk assessments (including HAZOPs), and translating complex operational and regulatory requirements into clear process documentation and action plans. Currently completing a Master of Information Technology at Charles Darwin University and seeking a Business Analyst role to apply this structured, analytical approach. Well suited to supporting Safe Transport Victoria's mission as an intelligence-led, community-focused safety regulator.</w:t>
      </w:r>
    </w:p>
    <w:p>
      <w:pPr>
        <w:pBdr>
          <w:bottom w:val="single" w:color="BFBFBF" w:sz="4" w:space="2"/>
        </w:pBdr>
        <w:spacing w:after="50" w:before="100"/>
      </w:pPr>
      <w:r>
        <w:rPr>
          <w:rFonts w:ascii="Calibri" w:cs="Calibri" w:eastAsia="Calibri" w:hAnsi="Calibri"/>
          <w:b/>
          <w:bCs/>
          <w:color w:val="1F3864"/>
          <w:sz w:val="22"/>
          <w:szCs w:val="22"/>
        </w:rPr>
        <w:t xml:space="preserve">KEY SKILLS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4700"/>
        <w:gridCol w:w="4700"/>
      </w:tblGrid>
      <w:tr>
        <w:tc>
          <w:tcPr>
            <w:tcW w:type="dxa" w:w="4700"/>
            <w:tcBorders>
              <w:top w:val="none" w:color="FFFFFF" w:sz="0"/>
              <w:left w:val="none" w:color="FFFFFF" w:sz="0"/>
              <w:bottom w:val="none" w:color="FFFFFF" w:sz="0"/>
              <w:right w:val="none" w:color="FFFFFF" w:sz="0"/>
            </w:tcBorders>
            <w:tcMar>
              <w:top w:type="dxa" w:w="20"/>
              <w:left w:type="dxa" w:w="0"/>
              <w:bottom w:type="dxa" w:w="20"/>
              <w:right w:type="dxa" w:w="200"/>
            </w:tcMar>
          </w:tcPr>
          <w:p>
            <w:pPr>
              <w:pStyle w:val="ListParagraph"/>
              <w:numPr>
                <w:ilvl w:val="0"/>
                <w:numId w:val="2"/>
              </w:numPr>
            </w:pPr>
            <w:r>
              <w:rPr>
                <w:rFonts w:ascii="Calibri" w:cs="Calibri" w:eastAsia="Calibri" w:hAnsi="Calibri"/>
                <w:sz w:val="20"/>
                <w:szCs w:val="20"/>
              </w:rPr>
              <w:t xml:space="preserve">Gap analysis &amp; current/future-state process review</w:t>
            </w:r>
          </w:p>
        </w:tc>
        <w:tc>
          <w:tcPr>
            <w:tcW w:type="dxa" w:w="4700"/>
            <w:tcBorders>
              <w:top w:val="none" w:color="FFFFFF" w:sz="0"/>
              <w:left w:val="none" w:color="FFFFFF" w:sz="0"/>
              <w:bottom w:val="none" w:color="FFFFFF" w:sz="0"/>
              <w:right w:val="none" w:color="FFFFFF" w:sz="0"/>
            </w:tcBorders>
            <w:tcMar>
              <w:top w:type="dxa" w:w="20"/>
              <w:left w:type="dxa" w:w="200"/>
              <w:bottom w:type="dxa" w:w="20"/>
              <w:right w:type="dxa" w:w="0"/>
            </w:tcMar>
          </w:tcPr>
          <w:p>
            <w:pPr>
              <w:pStyle w:val="ListParagraph"/>
              <w:numPr>
                <w:ilvl w:val="0"/>
                <w:numId w:val="2"/>
              </w:numPr>
            </w:pPr>
            <w:r>
              <w:rPr>
                <w:rFonts w:ascii="Calibri" w:cs="Calibri" w:eastAsia="Calibri" w:hAnsi="Calibri"/>
                <w:sz w:val="20"/>
                <w:szCs w:val="20"/>
              </w:rPr>
              <w:t xml:space="preserve">Stakeholder workshops &amp; facilitation</w:t>
            </w:r>
          </w:p>
        </w:tc>
      </w:tr>
      <w:tr>
        <w:tc>
          <w:tcPr>
            <w:tcW w:type="dxa" w:w="4700"/>
            <w:tcBorders>
              <w:top w:val="none" w:color="FFFFFF" w:sz="0"/>
              <w:left w:val="none" w:color="FFFFFF" w:sz="0"/>
              <w:bottom w:val="none" w:color="FFFFFF" w:sz="0"/>
              <w:right w:val="none" w:color="FFFFFF" w:sz="0"/>
            </w:tcBorders>
            <w:tcMar>
              <w:top w:type="dxa" w:w="20"/>
              <w:left w:type="dxa" w:w="0"/>
              <w:bottom w:type="dxa" w:w="20"/>
              <w:right w:type="dxa" w:w="200"/>
            </w:tcMar>
          </w:tcPr>
          <w:p>
            <w:pPr>
              <w:pStyle w:val="ListParagraph"/>
              <w:numPr>
                <w:ilvl w:val="0"/>
                <w:numId w:val="2"/>
              </w:numPr>
            </w:pPr>
            <w:r>
              <w:rPr>
                <w:rFonts w:ascii="Calibri" w:cs="Calibri" w:eastAsia="Calibri" w:hAnsi="Calibri"/>
                <w:sz w:val="20"/>
                <w:szCs w:val="20"/>
              </w:rPr>
              <w:t xml:space="preserve">Requirements documentation &amp; process mapping</w:t>
            </w:r>
          </w:p>
        </w:tc>
        <w:tc>
          <w:tcPr>
            <w:tcW w:type="dxa" w:w="4700"/>
            <w:tcBorders>
              <w:top w:val="none" w:color="FFFFFF" w:sz="0"/>
              <w:left w:val="none" w:color="FFFFFF" w:sz="0"/>
              <w:bottom w:val="none" w:color="FFFFFF" w:sz="0"/>
              <w:right w:val="none" w:color="FFFFFF" w:sz="0"/>
            </w:tcBorders>
            <w:tcMar>
              <w:top w:type="dxa" w:w="20"/>
              <w:left w:type="dxa" w:w="200"/>
              <w:bottom w:type="dxa" w:w="20"/>
              <w:right w:type="dxa" w:w="0"/>
            </w:tcMar>
          </w:tcPr>
          <w:p>
            <w:pPr>
              <w:pStyle w:val="ListParagraph"/>
              <w:numPr>
                <w:ilvl w:val="0"/>
                <w:numId w:val="2"/>
              </w:numPr>
            </w:pPr>
            <w:r>
              <w:rPr>
                <w:rFonts w:ascii="Calibri" w:cs="Calibri" w:eastAsia="Calibri" w:hAnsi="Calibri"/>
                <w:sz w:val="20"/>
                <w:szCs w:val="20"/>
              </w:rPr>
              <w:t xml:space="preserve">Risk assessment &amp; HAZOP facilitation</w:t>
            </w:r>
          </w:p>
        </w:tc>
      </w:tr>
      <w:tr>
        <w:tc>
          <w:tcPr>
            <w:tcW w:type="dxa" w:w="4700"/>
            <w:tcBorders>
              <w:top w:val="none" w:color="FFFFFF" w:sz="0"/>
              <w:left w:val="none" w:color="FFFFFF" w:sz="0"/>
              <w:bottom w:val="none" w:color="FFFFFF" w:sz="0"/>
              <w:right w:val="none" w:color="FFFFFF" w:sz="0"/>
            </w:tcBorders>
            <w:tcMar>
              <w:top w:type="dxa" w:w="20"/>
              <w:left w:type="dxa" w:w="0"/>
              <w:bottom w:type="dxa" w:w="20"/>
              <w:right w:type="dxa" w:w="200"/>
            </w:tcMar>
          </w:tcPr>
          <w:p>
            <w:pPr>
              <w:pStyle w:val="ListParagraph"/>
              <w:numPr>
                <w:ilvl w:val="0"/>
                <w:numId w:val="2"/>
              </w:numPr>
            </w:pPr>
            <w:r>
              <w:rPr>
                <w:rFonts w:ascii="Calibri" w:cs="Calibri" w:eastAsia="Calibri" w:hAnsi="Calibri"/>
                <w:sz w:val="20"/>
                <w:szCs w:val="20"/>
              </w:rPr>
              <w:t xml:space="preserve">Incident investigation &amp; root-cause analysis</w:t>
            </w:r>
          </w:p>
        </w:tc>
        <w:tc>
          <w:tcPr>
            <w:tcW w:type="dxa" w:w="4700"/>
            <w:tcBorders>
              <w:top w:val="none" w:color="FFFFFF" w:sz="0"/>
              <w:left w:val="none" w:color="FFFFFF" w:sz="0"/>
              <w:bottom w:val="none" w:color="FFFFFF" w:sz="0"/>
              <w:right w:val="none" w:color="FFFFFF" w:sz="0"/>
            </w:tcBorders>
            <w:tcMar>
              <w:top w:type="dxa" w:w="20"/>
              <w:left w:type="dxa" w:w="200"/>
              <w:bottom w:type="dxa" w:w="20"/>
              <w:right w:type="dxa" w:w="0"/>
            </w:tcMar>
          </w:tcPr>
          <w:p>
            <w:pPr>
              <w:pStyle w:val="ListParagraph"/>
              <w:numPr>
                <w:ilvl w:val="0"/>
                <w:numId w:val="2"/>
              </w:numPr>
            </w:pPr>
            <w:r>
              <w:rPr>
                <w:rFonts w:ascii="Calibri" w:cs="Calibri" w:eastAsia="Calibri" w:hAnsi="Calibri"/>
                <w:sz w:val="20"/>
                <w:szCs w:val="20"/>
              </w:rPr>
              <w:t xml:space="preserve">Compliance &amp; regulatory documentation</w:t>
            </w:r>
          </w:p>
        </w:tc>
      </w:tr>
      <w:tr>
        <w:tc>
          <w:tcPr>
            <w:tcW w:type="dxa" w:w="4700"/>
            <w:tcBorders>
              <w:top w:val="none" w:color="FFFFFF" w:sz="0"/>
              <w:left w:val="none" w:color="FFFFFF" w:sz="0"/>
              <w:bottom w:val="none" w:color="FFFFFF" w:sz="0"/>
              <w:right w:val="none" w:color="FFFFFF" w:sz="0"/>
            </w:tcBorders>
            <w:tcMar>
              <w:top w:type="dxa" w:w="20"/>
              <w:left w:type="dxa" w:w="0"/>
              <w:bottom w:type="dxa" w:w="20"/>
              <w:right w:type="dxa" w:w="200"/>
            </w:tcMar>
          </w:tcPr>
          <w:p>
            <w:pPr>
              <w:pStyle w:val="ListParagraph"/>
              <w:numPr>
                <w:ilvl w:val="0"/>
                <w:numId w:val="2"/>
              </w:numPr>
            </w:pPr>
            <w:r>
              <w:rPr>
                <w:rFonts w:ascii="Calibri" w:cs="Calibri" w:eastAsia="Calibri" w:hAnsi="Calibri"/>
                <w:sz w:val="20"/>
                <w:szCs w:val="20"/>
              </w:rPr>
              <w:t xml:space="preserve">Audit planning &amp; coordination</w:t>
            </w:r>
          </w:p>
        </w:tc>
        <w:tc>
          <w:tcPr>
            <w:tcW w:type="dxa" w:w="4700"/>
            <w:tcBorders>
              <w:top w:val="none" w:color="FFFFFF" w:sz="0"/>
              <w:left w:val="none" w:color="FFFFFF" w:sz="0"/>
              <w:bottom w:val="none" w:color="FFFFFF" w:sz="0"/>
              <w:right w:val="none" w:color="FFFFFF" w:sz="0"/>
            </w:tcBorders>
            <w:tcMar>
              <w:top w:type="dxa" w:w="20"/>
              <w:left w:type="dxa" w:w="200"/>
              <w:bottom w:type="dxa" w:w="20"/>
              <w:right w:type="dxa" w:w="0"/>
            </w:tcMar>
          </w:tcPr>
          <w:p>
            <w:pPr>
              <w:pStyle w:val="ListParagraph"/>
              <w:numPr>
                <w:ilvl w:val="0"/>
                <w:numId w:val="2"/>
              </w:numPr>
            </w:pPr>
            <w:r>
              <w:rPr>
                <w:rFonts w:ascii="Calibri" w:cs="Calibri" w:eastAsia="Calibri" w:hAnsi="Calibri"/>
                <w:sz w:val="20"/>
                <w:szCs w:val="20"/>
              </w:rPr>
              <w:t xml:space="preserve">Training design &amp; delivery</w:t>
            </w:r>
          </w:p>
        </w:tc>
      </w:tr>
      <w:tr>
        <w:tc>
          <w:tcPr>
            <w:tcW w:type="dxa" w:w="4700"/>
            <w:tcBorders>
              <w:top w:val="none" w:color="FFFFFF" w:sz="0"/>
              <w:left w:val="none" w:color="FFFFFF" w:sz="0"/>
              <w:bottom w:val="none" w:color="FFFFFF" w:sz="0"/>
              <w:right w:val="none" w:color="FFFFFF" w:sz="0"/>
            </w:tcBorders>
            <w:tcMar>
              <w:top w:type="dxa" w:w="20"/>
              <w:left w:type="dxa" w:w="0"/>
              <w:bottom w:type="dxa" w:w="20"/>
              <w:right w:type="dxa" w:w="200"/>
            </w:tcMar>
          </w:tcPr>
          <w:p>
            <w:pPr>
              <w:pStyle w:val="ListParagraph"/>
              <w:numPr>
                <w:ilvl w:val="0"/>
                <w:numId w:val="2"/>
              </w:numPr>
            </w:pPr>
            <w:r>
              <w:rPr>
                <w:rFonts w:ascii="Calibri" w:cs="Calibri" w:eastAsia="Calibri" w:hAnsi="Calibri"/>
                <w:sz w:val="20"/>
                <w:szCs w:val="20"/>
              </w:rPr>
              <w:t xml:space="preserve">Cross-functional stakeholder engagement</w:t>
            </w:r>
          </w:p>
        </w:tc>
        <w:tc>
          <w:tcPr>
            <w:tcW w:type="dxa" w:w="4700"/>
            <w:tcBorders>
              <w:top w:val="none" w:color="FFFFFF" w:sz="0"/>
              <w:left w:val="none" w:color="FFFFFF" w:sz="0"/>
              <w:bottom w:val="none" w:color="FFFFFF" w:sz="0"/>
              <w:right w:val="none" w:color="FFFFFF" w:sz="0"/>
            </w:tcBorders>
            <w:tcMar>
              <w:top w:type="dxa" w:w="20"/>
              <w:left w:type="dxa" w:w="200"/>
              <w:bottom w:type="dxa" w:w="20"/>
              <w:right w:type="dxa" w:w="0"/>
            </w:tcMar>
          </w:tcPr>
          <w:p>
            <w:pPr>
              <w:pStyle w:val="ListParagraph"/>
              <w:numPr>
                <w:ilvl w:val="0"/>
                <w:numId w:val="2"/>
              </w:numPr>
            </w:pPr>
            <w:r>
              <w:rPr>
                <w:rFonts w:ascii="Calibri" w:cs="Calibri" w:eastAsia="Calibri" w:hAnsi="Calibri"/>
                <w:sz w:val="20"/>
                <w:szCs w:val="20"/>
              </w:rPr>
              <w:t xml:space="preserve">Reporting &amp; recordkeeping (HSEQ, compliance)</w:t>
            </w:r>
          </w:p>
        </w:tc>
      </w:tr>
    </w:tbl>
    <w:p>
      <w:pPr>
        <w:pBdr>
          <w:bottom w:val="single" w:color="BFBFBF" w:sz="4" w:space="2"/>
        </w:pBdr>
        <w:spacing w:after="50" w:before="100"/>
      </w:pPr>
      <w:r>
        <w:rPr>
          <w:rFonts w:ascii="Calibri" w:cs="Calibri" w:eastAsia="Calibri" w:hAnsi="Calibri"/>
          <w:b/>
          <w:bCs/>
          <w:color w:val="1F3864"/>
          <w:sz w:val="22"/>
          <w:szCs w:val="22"/>
        </w:rPr>
        <w:t xml:space="preserve">PROFESSIONAL EXPERIENCE</w:t>
      </w:r>
    </w:p>
    <w:p>
      <w:pPr>
        <w:tabs>
          <w:tab w:val="right" w:pos="9360"/>
        </w:tabs>
        <w:spacing w:after="30" w:before="80"/>
      </w:pPr>
      <w:r>
        <w:rPr>
          <w:rFonts w:ascii="Calibri" w:cs="Calibri" w:eastAsia="Calibri" w:hAnsi="Calibri"/>
          <w:b/>
          <w:bCs/>
          <w:sz w:val="21"/>
          <w:szCs w:val="21"/>
        </w:rPr>
        <w:t xml:space="preserve">SHEQ Advisor — Vopak Terminals Darwin</w:t>
      </w:r>
      <w:r>
        <w:rPr>
          <w:rFonts w:ascii="Calibri" w:cs="Calibri" w:eastAsia="Calibri" w:hAnsi="Calibri"/>
          <w:i/>
          <w:iCs/>
          <w:color w:val="595959"/>
          <w:sz w:val="19"/>
          <w:szCs w:val="19"/>
        </w:rPr>
        <w:t xml:space="preserve">	Early 2025 – Jul 2026</w:t>
      </w:r>
    </w:p>
    <w:p>
      <w:pPr>
        <w:pStyle w:val="ListParagraph"/>
        <w:numPr>
          <w:ilvl w:val="0"/>
          <w:numId w:val="2"/>
        </w:numPr>
        <w:spacing w:after="30"/>
      </w:pPr>
      <w:r>
        <w:rPr>
          <w:rFonts w:ascii="Calibri" w:cs="Calibri" w:eastAsia="Calibri" w:hAnsi="Calibri"/>
          <w:sz w:val="20"/>
          <w:szCs w:val="20"/>
        </w:rPr>
        <w:t xml:space="preserve">Facilitated stakeholder workshops and structured investigations to identify root causes of incidents, translating findings into clear corrective action plans and process improvements.</w:t>
      </w:r>
    </w:p>
    <w:p>
      <w:pPr>
        <w:pStyle w:val="ListParagraph"/>
        <w:numPr>
          <w:ilvl w:val="0"/>
          <w:numId w:val="2"/>
        </w:numPr>
        <w:spacing w:after="30"/>
      </w:pPr>
      <w:r>
        <w:rPr>
          <w:rFonts w:ascii="Calibri" w:cs="Calibri" w:eastAsia="Calibri" w:hAnsi="Calibri"/>
          <w:sz w:val="20"/>
          <w:szCs w:val="20"/>
        </w:rPr>
        <w:t xml:space="preserve">Conducted gap analyses and safety assessments, including HAZOPs, comparing current-state terminal processes against regulatory and company requirements to identify improvement opportunities.</w:t>
      </w:r>
    </w:p>
    <w:p>
      <w:pPr>
        <w:pStyle w:val="ListParagraph"/>
        <w:numPr>
          <w:ilvl w:val="0"/>
          <w:numId w:val="2"/>
        </w:numPr>
        <w:spacing w:after="30"/>
      </w:pPr>
      <w:r>
        <w:rPr>
          <w:rFonts w:ascii="Calibri" w:cs="Calibri" w:eastAsia="Calibri" w:hAnsi="Calibri"/>
          <w:sz w:val="20"/>
          <w:szCs w:val="20"/>
        </w:rPr>
        <w:t xml:space="preserve">Planned and coordinated internal and external compliance audits, preparing high-quality documentation and engaging stakeholders across operations, maintenance and engineering teams.</w:t>
      </w:r>
    </w:p>
    <w:p>
      <w:pPr>
        <w:pStyle w:val="ListParagraph"/>
        <w:numPr>
          <w:ilvl w:val="0"/>
          <w:numId w:val="2"/>
        </w:numPr>
        <w:spacing w:after="30"/>
      </w:pPr>
      <w:r>
        <w:rPr>
          <w:rFonts w:ascii="Calibri" w:cs="Calibri" w:eastAsia="Calibri" w:hAnsi="Calibri"/>
          <w:sz w:val="20"/>
          <w:szCs w:val="20"/>
        </w:rPr>
        <w:t xml:space="preserve">Maintained and continuously improved terminal safety management systems, ensuring procedures, records and documentation remained accurate, current and audit-ready.</w:t>
      </w:r>
    </w:p>
    <w:p>
      <w:pPr>
        <w:pStyle w:val="ListParagraph"/>
        <w:numPr>
          <w:ilvl w:val="0"/>
          <w:numId w:val="2"/>
        </w:numPr>
        <w:spacing w:after="30"/>
      </w:pPr>
      <w:r>
        <w:rPr>
          <w:rFonts w:ascii="Calibri" w:cs="Calibri" w:eastAsia="Calibri" w:hAnsi="Calibri"/>
          <w:sz w:val="20"/>
          <w:szCs w:val="20"/>
        </w:rPr>
        <w:t xml:space="preserve">Designed and delivered training programs to operational staff, translating regulatory and procedural requirements into clear, practical guidance.</w:t>
      </w:r>
    </w:p>
    <w:p>
      <w:pPr>
        <w:pStyle w:val="ListParagraph"/>
        <w:numPr>
          <w:ilvl w:val="0"/>
          <w:numId w:val="2"/>
        </w:numPr>
        <w:spacing w:after="30"/>
      </w:pPr>
      <w:r>
        <w:rPr>
          <w:rFonts w:ascii="Calibri" w:cs="Calibri" w:eastAsia="Calibri" w:hAnsi="Calibri"/>
          <w:sz w:val="20"/>
          <w:szCs w:val="20"/>
        </w:rPr>
        <w:t xml:space="preserve">Worked across business and technical teams to manage risks, dependencies and impacts arising from compliance findings, supporting delivery of practical, sustainable solutions.</w:t>
      </w:r>
    </w:p>
    <w:p>
      <w:pPr>
        <w:tabs>
          <w:tab w:val="right" w:pos="9360"/>
        </w:tabs>
        <w:spacing w:after="30" w:before="80"/>
      </w:pPr>
      <w:r>
        <w:rPr>
          <w:rFonts w:ascii="Calibri" w:cs="Calibri" w:eastAsia="Calibri" w:hAnsi="Calibri"/>
          <w:b/>
          <w:bCs/>
          <w:sz w:val="21"/>
          <w:szCs w:val="21"/>
        </w:rPr>
        <w:t xml:space="preserve">Third Officer — International Seaways Inc. (VLCC crude oil tankers)</w:t>
      </w:r>
      <w:r>
        <w:rPr>
          <w:rFonts w:ascii="Calibri" w:cs="Calibri" w:eastAsia="Calibri" w:hAnsi="Calibri"/>
          <w:i/>
          <w:iCs/>
          <w:color w:val="595959"/>
          <w:sz w:val="19"/>
          <w:szCs w:val="19"/>
        </w:rPr>
        <w:t xml:space="preserve">	Feb 2018 – Apr 2024</w:t>
      </w:r>
    </w:p>
    <w:p>
      <w:pPr>
        <w:pStyle w:val="ListParagraph"/>
        <w:numPr>
          <w:ilvl w:val="0"/>
          <w:numId w:val="2"/>
        </w:numPr>
        <w:spacing w:after="30"/>
      </w:pPr>
      <w:r>
        <w:rPr>
          <w:rFonts w:ascii="Calibri" w:cs="Calibri" w:eastAsia="Calibri" w:hAnsi="Calibri"/>
          <w:sz w:val="20"/>
          <w:szCs w:val="20"/>
        </w:rPr>
        <w:t xml:space="preserve">Prepared and submitted monthly HSEQ reports and incident investigation documentation, ensuring accurate recordkeeping and alignment with company policy and industry standards.</w:t>
      </w:r>
    </w:p>
    <w:p>
      <w:pPr>
        <w:pStyle w:val="ListParagraph"/>
        <w:numPr>
          <w:ilvl w:val="0"/>
          <w:numId w:val="2"/>
        </w:numPr>
        <w:spacing w:after="30"/>
      </w:pPr>
      <w:r>
        <w:rPr>
          <w:rFonts w:ascii="Calibri" w:cs="Calibri" w:eastAsia="Calibri" w:hAnsi="Calibri"/>
          <w:sz w:val="20"/>
          <w:szCs w:val="20"/>
        </w:rPr>
        <w:t xml:space="preserve">Facilitated toolbox talks and weekly safety meetings, engaging crew stakeholders to build alignment on procedures and risk controls ahead of tasks.</w:t>
      </w:r>
    </w:p>
    <w:p>
      <w:pPr>
        <w:pStyle w:val="ListParagraph"/>
        <w:numPr>
          <w:ilvl w:val="0"/>
          <w:numId w:val="2"/>
        </w:numPr>
        <w:spacing w:after="30"/>
      </w:pPr>
      <w:r>
        <w:rPr>
          <w:rFonts w:ascii="Calibri" w:cs="Calibri" w:eastAsia="Calibri" w:hAnsi="Calibri"/>
          <w:sz w:val="20"/>
          <w:szCs w:val="20"/>
        </w:rPr>
        <w:t xml:space="preserve">Reviewed reported unsafe acts, unsafe conditions and near misses, applying structured investigation methods to identify root causes and drive improvement actions.</w:t>
      </w:r>
    </w:p>
    <w:p>
      <w:pPr>
        <w:pStyle w:val="ListParagraph"/>
        <w:numPr>
          <w:ilvl w:val="0"/>
          <w:numId w:val="2"/>
        </w:numPr>
        <w:spacing w:after="30"/>
      </w:pPr>
      <w:r>
        <w:rPr>
          <w:rFonts w:ascii="Calibri" w:cs="Calibri" w:eastAsia="Calibri" w:hAnsi="Calibri"/>
          <w:sz w:val="20"/>
          <w:szCs w:val="20"/>
        </w:rPr>
        <w:t xml:space="preserve">Conducted regular inspections of safety equipment and systems, maintaining accurate documentation within the vessel's Planned Maintenance System.</w:t>
      </w:r>
    </w:p>
    <w:p>
      <w:pPr>
        <w:pStyle w:val="ListParagraph"/>
        <w:numPr>
          <w:ilvl w:val="0"/>
          <w:numId w:val="2"/>
        </w:numPr>
        <w:spacing w:after="30"/>
      </w:pPr>
      <w:r>
        <w:rPr>
          <w:rFonts w:ascii="Calibri" w:cs="Calibri" w:eastAsia="Calibri" w:hAnsi="Calibri"/>
          <w:sz w:val="20"/>
          <w:szCs w:val="20"/>
        </w:rPr>
        <w:t xml:space="preserve">Liaised with Vessel Traffic Services and customs authorities, managing documentation and communication requirements to ensure regulatory compliance.</w:t>
      </w:r>
    </w:p>
    <w:p>
      <w:pPr>
        <w:pStyle w:val="ListParagraph"/>
        <w:numPr>
          <w:ilvl w:val="0"/>
          <w:numId w:val="2"/>
        </w:numPr>
        <w:spacing w:after="30"/>
      </w:pPr>
      <w:r>
        <w:rPr>
          <w:rFonts w:ascii="Calibri" w:cs="Calibri" w:eastAsia="Calibri" w:hAnsi="Calibri"/>
          <w:sz w:val="20"/>
          <w:szCs w:val="20"/>
        </w:rPr>
        <w:t xml:space="preserve">Supervised and trained crew members, translating company policy and industry standards into clear, actionable guidance.</w:t>
      </w:r>
    </w:p>
    <w:p>
      <w:pPr>
        <w:pBdr>
          <w:bottom w:val="single" w:color="BFBFBF" w:sz="4" w:space="2"/>
        </w:pBdr>
        <w:spacing w:after="50" w:before="100"/>
      </w:pPr>
      <w:r>
        <w:rPr>
          <w:rFonts w:ascii="Calibri" w:cs="Calibri" w:eastAsia="Calibri" w:hAnsi="Calibri"/>
          <w:b/>
          <w:bCs/>
          <w:color w:val="1F3864"/>
          <w:sz w:val="22"/>
          <w:szCs w:val="22"/>
        </w:rPr>
        <w:t xml:space="preserve">EDUCATION</w:t>
      </w:r>
    </w:p>
    <w:p>
      <w:pPr>
        <w:spacing w:after="100"/>
      </w:pPr>
      <w:r>
        <w:rPr>
          <w:rFonts w:ascii="Calibri" w:cs="Calibri" w:eastAsia="Calibri" w:hAnsi="Calibri"/>
          <w:sz w:val="20"/>
          <w:szCs w:val="20"/>
        </w:rPr>
        <w:t xml:space="preserve">Master of Information Technology — Charles Darwin University (2025–2027, in progress)</w:t>
      </w:r>
    </w:p>
    <w:p>
      <w:pPr>
        <w:spacing w:after="100"/>
      </w:pPr>
      <w:r>
        <w:rPr>
          <w:rFonts w:ascii="Calibri" w:cs="Calibri" w:eastAsia="Calibri" w:hAnsi="Calibri"/>
          <w:sz w:val="20"/>
          <w:szCs w:val="20"/>
        </w:rPr>
        <w:t xml:space="preserve">Bachelor of Science in Marine Transportation — Davao Merchant Marine Academy, College of Southern Philippines (2013–2018, graduated Cum Laude)</w:t>
      </w:r>
    </w:p>
    <w:p>
      <w:pPr>
        <w:pBdr>
          <w:bottom w:val="single" w:color="BFBFBF" w:sz="4" w:space="2"/>
        </w:pBdr>
        <w:spacing w:after="50" w:before="100"/>
      </w:pPr>
      <w:r>
        <w:rPr>
          <w:rFonts w:ascii="Calibri" w:cs="Calibri" w:eastAsia="Calibri" w:hAnsi="Calibri"/>
          <w:b/>
          <w:bCs/>
          <w:color w:val="1F3864"/>
          <w:sz w:val="22"/>
          <w:szCs w:val="22"/>
        </w:rPr>
        <w:t xml:space="preserve">CERTIFICATIONS &amp; TRAINING</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4700"/>
        <w:gridCol w:w="4700"/>
      </w:tblGrid>
      <w:tr>
        <w:tc>
          <w:tcPr>
            <w:tcW w:type="dxa" w:w="4700"/>
            <w:tcBorders>
              <w:top w:val="none" w:color="FFFFFF" w:sz="0"/>
              <w:left w:val="none" w:color="FFFFFF" w:sz="0"/>
              <w:bottom w:val="none" w:color="FFFFFF" w:sz="0"/>
              <w:right w:val="none" w:color="FFFFFF" w:sz="0"/>
            </w:tcBorders>
            <w:tcMar>
              <w:top w:type="dxa" w:w="20"/>
              <w:left w:type="dxa" w:w="0"/>
              <w:bottom w:type="dxa" w:w="20"/>
              <w:right w:type="dxa" w:w="200"/>
            </w:tcMar>
          </w:tcPr>
          <w:p>
            <w:pPr>
              <w:pStyle w:val="ListParagraph"/>
              <w:numPr>
                <w:ilvl w:val="0"/>
                <w:numId w:val="2"/>
              </w:numPr>
            </w:pPr>
            <w:r>
              <w:rPr>
                <w:rFonts w:ascii="Calibri" w:cs="Calibri" w:eastAsia="Calibri" w:hAnsi="Calibri"/>
                <w:sz w:val="20"/>
                <w:szCs w:val="20"/>
              </w:rPr>
              <w:t xml:space="preserve">WHS Certificate IV (in progress)</w:t>
            </w:r>
          </w:p>
        </w:tc>
        <w:tc>
          <w:tcPr>
            <w:tcW w:type="dxa" w:w="4700"/>
            <w:tcBorders>
              <w:top w:val="none" w:color="FFFFFF" w:sz="0"/>
              <w:left w:val="none" w:color="FFFFFF" w:sz="0"/>
              <w:bottom w:val="none" w:color="FFFFFF" w:sz="0"/>
              <w:right w:val="none" w:color="FFFFFF" w:sz="0"/>
            </w:tcBorders>
            <w:tcMar>
              <w:top w:type="dxa" w:w="20"/>
              <w:left w:type="dxa" w:w="200"/>
              <w:bottom w:type="dxa" w:w="20"/>
              <w:right w:type="dxa" w:w="0"/>
            </w:tcMar>
          </w:tcPr>
          <w:p>
            <w:pPr>
              <w:pStyle w:val="ListParagraph"/>
              <w:numPr>
                <w:ilvl w:val="0"/>
                <w:numId w:val="2"/>
              </w:numPr>
            </w:pPr>
            <w:r>
              <w:rPr>
                <w:rFonts w:ascii="Calibri" w:cs="Calibri" w:eastAsia="Calibri" w:hAnsi="Calibri"/>
                <w:sz w:val="20"/>
                <w:szCs w:val="20"/>
              </w:rPr>
              <w:t xml:space="preserve">Port Facility Security Officer (PFSO) Training (in progress)</w:t>
            </w:r>
          </w:p>
        </w:tc>
      </w:tr>
      <w:tr>
        <w:tc>
          <w:tcPr>
            <w:tcW w:type="dxa" w:w="4700"/>
            <w:tcBorders>
              <w:top w:val="none" w:color="FFFFFF" w:sz="0"/>
              <w:left w:val="none" w:color="FFFFFF" w:sz="0"/>
              <w:bottom w:val="none" w:color="FFFFFF" w:sz="0"/>
              <w:right w:val="none" w:color="FFFFFF" w:sz="0"/>
            </w:tcBorders>
            <w:tcMar>
              <w:top w:type="dxa" w:w="20"/>
              <w:left w:type="dxa" w:w="0"/>
              <w:bottom w:type="dxa" w:w="20"/>
              <w:right w:type="dxa" w:w="200"/>
            </w:tcMar>
          </w:tcPr>
          <w:p>
            <w:pPr>
              <w:pStyle w:val="ListParagraph"/>
              <w:numPr>
                <w:ilvl w:val="0"/>
                <w:numId w:val="2"/>
              </w:numPr>
            </w:pPr>
            <w:r>
              <w:rPr>
                <w:rFonts w:ascii="Calibri" w:cs="Calibri" w:eastAsia="Calibri" w:hAnsi="Calibri"/>
                <w:sz w:val="20"/>
                <w:szCs w:val="20"/>
              </w:rPr>
              <w:t xml:space="preserve">Risk Assessment</w:t>
            </w:r>
          </w:p>
        </w:tc>
        <w:tc>
          <w:tcPr>
            <w:tcW w:type="dxa" w:w="4700"/>
            <w:tcBorders>
              <w:top w:val="none" w:color="FFFFFF" w:sz="0"/>
              <w:left w:val="none" w:color="FFFFFF" w:sz="0"/>
              <w:bottom w:val="none" w:color="FFFFFF" w:sz="0"/>
              <w:right w:val="none" w:color="FFFFFF" w:sz="0"/>
            </w:tcBorders>
            <w:tcMar>
              <w:top w:type="dxa" w:w="20"/>
              <w:left w:type="dxa" w:w="200"/>
              <w:bottom w:type="dxa" w:w="20"/>
              <w:right w:type="dxa" w:w="0"/>
            </w:tcMar>
          </w:tcPr>
          <w:p>
            <w:pPr>
              <w:pStyle w:val="ListParagraph"/>
              <w:numPr>
                <w:ilvl w:val="0"/>
                <w:numId w:val="2"/>
              </w:numPr>
            </w:pPr>
            <w:r>
              <w:rPr>
                <w:rFonts w:ascii="Calibri" w:cs="Calibri" w:eastAsia="Calibri" w:hAnsi="Calibri"/>
                <w:sz w:val="20"/>
                <w:szCs w:val="20"/>
              </w:rPr>
              <w:t xml:space="preserve">Environmental Awareness and Record Keeping</w:t>
            </w:r>
          </w:p>
        </w:tc>
      </w:tr>
      <w:tr>
        <w:tc>
          <w:tcPr>
            <w:tcW w:type="dxa" w:w="4700"/>
            <w:tcBorders>
              <w:top w:val="none" w:color="FFFFFF" w:sz="0"/>
              <w:left w:val="none" w:color="FFFFFF" w:sz="0"/>
              <w:bottom w:val="none" w:color="FFFFFF" w:sz="0"/>
              <w:right w:val="none" w:color="FFFFFF" w:sz="0"/>
            </w:tcBorders>
            <w:tcMar>
              <w:top w:type="dxa" w:w="20"/>
              <w:left w:type="dxa" w:w="0"/>
              <w:bottom w:type="dxa" w:w="20"/>
              <w:right w:type="dxa" w:w="200"/>
            </w:tcMar>
          </w:tcPr>
          <w:p>
            <w:pPr>
              <w:pStyle w:val="ListParagraph"/>
              <w:numPr>
                <w:ilvl w:val="0"/>
                <w:numId w:val="2"/>
              </w:numPr>
            </w:pPr>
            <w:r>
              <w:rPr>
                <w:rFonts w:ascii="Calibri" w:cs="Calibri" w:eastAsia="Calibri" w:hAnsi="Calibri"/>
                <w:sz w:val="20"/>
                <w:szCs w:val="20"/>
              </w:rPr>
              <w:t xml:space="preserve">SOPEP and SMPEP Response</w:t>
            </w:r>
          </w:p>
        </w:tc>
        <w:tc>
          <w:tcPr>
            <w:tcW w:type="dxa" w:w="4700"/>
            <w:tcBorders>
              <w:top w:val="none" w:color="FFFFFF" w:sz="0"/>
              <w:left w:val="none" w:color="FFFFFF" w:sz="0"/>
              <w:bottom w:val="none" w:color="FFFFFF" w:sz="0"/>
              <w:right w:val="none" w:color="FFFFFF" w:sz="0"/>
            </w:tcBorders>
            <w:tcMar>
              <w:top w:type="dxa" w:w="20"/>
              <w:left w:type="dxa" w:w="200"/>
              <w:bottom w:type="dxa" w:w="20"/>
              <w:right w:type="dxa" w:w="0"/>
            </w:tcMar>
          </w:tcPr>
          <w:p>
            <w:pPr>
              <w:pStyle w:val="ListParagraph"/>
              <w:numPr>
                <w:ilvl w:val="0"/>
                <w:numId w:val="2"/>
              </w:numPr>
            </w:pPr>
            <w:r>
              <w:rPr>
                <w:rFonts w:ascii="Calibri" w:cs="Calibri" w:eastAsia="Calibri" w:hAnsi="Calibri"/>
                <w:sz w:val="20"/>
                <w:szCs w:val="20"/>
              </w:rPr>
              <w:t xml:space="preserve">SIRE 2.0 OCIMF Training</w:t>
            </w:r>
          </w:p>
        </w:tc>
      </w:tr>
      <w:tr>
        <w:tc>
          <w:tcPr>
            <w:tcW w:type="dxa" w:w="4700"/>
            <w:tcBorders>
              <w:top w:val="none" w:color="FFFFFF" w:sz="0"/>
              <w:left w:val="none" w:color="FFFFFF" w:sz="0"/>
              <w:bottom w:val="none" w:color="FFFFFF" w:sz="0"/>
              <w:right w:val="none" w:color="FFFFFF" w:sz="0"/>
            </w:tcBorders>
            <w:tcMar>
              <w:top w:type="dxa" w:w="20"/>
              <w:left w:type="dxa" w:w="0"/>
              <w:bottom w:type="dxa" w:w="20"/>
              <w:right w:type="dxa" w:w="200"/>
            </w:tcMar>
          </w:tcPr>
          <w:p>
            <w:pPr>
              <w:pStyle w:val="ListParagraph"/>
              <w:numPr>
                <w:ilvl w:val="0"/>
                <w:numId w:val="2"/>
              </w:numPr>
            </w:pPr>
            <w:r>
              <w:rPr>
                <w:rFonts w:ascii="Calibri" w:cs="Calibri" w:eastAsia="Calibri" w:hAnsi="Calibri"/>
                <w:sz w:val="20"/>
                <w:szCs w:val="20"/>
              </w:rPr>
              <w:t xml:space="preserve">MARPOL Training</w:t>
            </w:r>
          </w:p>
        </w:tc>
        <w:tc>
          <w:tcPr>
            <w:tcW w:type="dxa" w:w="4700"/>
            <w:tcBorders>
              <w:top w:val="none" w:color="FFFFFF" w:sz="0"/>
              <w:left w:val="none" w:color="FFFFFF" w:sz="0"/>
              <w:bottom w:val="none" w:color="FFFFFF" w:sz="0"/>
              <w:right w:val="none" w:color="FFFFFF" w:sz="0"/>
            </w:tcBorders>
            <w:tcMar>
              <w:top w:type="dxa" w:w="20"/>
              <w:left w:type="dxa" w:w="200"/>
              <w:bottom w:type="dxa" w:w="20"/>
              <w:right w:type="dxa" w:w="0"/>
            </w:tcMar>
          </w:tcPr>
          <w:p>
            <w:pPr>
              <w:pStyle w:val="ListParagraph"/>
              <w:numPr>
                <w:ilvl w:val="0"/>
                <w:numId w:val="2"/>
              </w:numPr>
            </w:pPr>
            <w:r>
              <w:rPr>
                <w:rFonts w:ascii="Calibri" w:cs="Calibri" w:eastAsia="Calibri" w:hAnsi="Calibri"/>
                <w:sz w:val="20"/>
                <w:szCs w:val="20"/>
              </w:rPr>
              <w:t xml:space="preserve">Basic Safety Training &amp; Advanced Fire Fighting</w:t>
            </w:r>
          </w:p>
        </w:tc>
      </w:tr>
      <w:tr>
        <w:tc>
          <w:tcPr>
            <w:tcW w:type="dxa" w:w="4700"/>
            <w:tcBorders>
              <w:top w:val="none" w:color="FFFFFF" w:sz="0"/>
              <w:left w:val="none" w:color="FFFFFF" w:sz="0"/>
              <w:bottom w:val="none" w:color="FFFFFF" w:sz="0"/>
              <w:right w:val="none" w:color="FFFFFF" w:sz="0"/>
            </w:tcBorders>
            <w:tcMar>
              <w:top w:type="dxa" w:w="20"/>
              <w:left w:type="dxa" w:w="0"/>
              <w:bottom w:type="dxa" w:w="20"/>
              <w:right w:type="dxa" w:w="200"/>
            </w:tcMar>
          </w:tcPr>
          <w:p>
            <w:pPr>
              <w:pStyle w:val="ListParagraph"/>
              <w:numPr>
                <w:ilvl w:val="0"/>
                <w:numId w:val="2"/>
              </w:numPr>
            </w:pPr>
            <w:r>
              <w:rPr>
                <w:rFonts w:ascii="Calibri" w:cs="Calibri" w:eastAsia="Calibri" w:hAnsi="Calibri"/>
                <w:sz w:val="20"/>
                <w:szCs w:val="20"/>
              </w:rPr>
              <w:t xml:space="preserve">Enclosed Space Entry</w:t>
            </w:r>
          </w:p>
        </w:tc>
        <w:tc>
          <w:tcPr>
            <w:tcW w:type="dxa" w:w="4700"/>
            <w:tcBorders>
              <w:top w:val="none" w:color="FFFFFF" w:sz="0"/>
              <w:left w:val="none" w:color="FFFFFF" w:sz="0"/>
              <w:bottom w:val="none" w:color="FFFFFF" w:sz="0"/>
              <w:right w:val="none" w:color="FFFFFF" w:sz="0"/>
            </w:tcBorders>
            <w:tcMar>
              <w:top w:type="dxa" w:w="20"/>
              <w:left w:type="dxa" w:w="200"/>
              <w:bottom w:type="dxa" w:w="20"/>
              <w:right w:type="dxa" w:w="0"/>
            </w:tcMar>
          </w:tcPr>
          <w:p>
            <w:pPr>
              <w:pStyle w:val="ListParagraph"/>
              <w:numPr>
                <w:ilvl w:val="0"/>
                <w:numId w:val="2"/>
              </w:numPr>
            </w:pPr>
            <w:r>
              <w:rPr>
                <w:rFonts w:ascii="Calibri" w:cs="Calibri" w:eastAsia="Calibri" w:hAnsi="Calibri"/>
                <w:sz w:val="20"/>
                <w:szCs w:val="20"/>
              </w:rPr>
              <w:t xml:space="preserve">Toolbox Talks &amp; Security Duties</w:t>
            </w:r>
          </w:p>
        </w:tc>
      </w:tr>
    </w:tbl>
    <w:sectPr>
      <w:pgSz w:w="11906" w:h="16838" w:orient="portrait"/>
      <w:pgMar w:top="450" w:right="700" w:bottom="450" w:left="7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26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2026-09-01T08:17:01.893Z</dcterms:created>
  <dcterms:modified xsi:type="dcterms:W3CDTF">2026-09-01T08:17:01.893Z</dcterms:modified>
</cp:coreProperties>
</file>

<file path=docProps/custom.xml><?xml version="1.0" encoding="utf-8"?>
<Properties xmlns="http://schemas.openxmlformats.org/officeDocument/2006/custom-properties" xmlns:vt="http://schemas.openxmlformats.org/officeDocument/2006/docPropsVTypes"/>
</file>