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Career and Market Research</w:t>
      </w:r>
    </w:p>
    <w:p>
      <w:pPr>
        <w:spacing w:after="40"/>
        <w:jc w:val="center"/>
      </w:pPr>
      <w:r>
        <w:rPr>
          <w:b/>
          <w:bCs/>
          <w:sz w:val="26"/>
          <w:szCs w:val="26"/>
        </w:rPr>
        <w:t xml:space="preserve">Target Role: Report Writer</w:t>
      </w:r>
    </w:p>
    <w:p>
      <w:pPr>
        <w:spacing w:after="40"/>
        <w:jc w:val="center"/>
      </w:pPr>
      <w:r>
        <w:rPr>
          <w:i/>
          <w:iCs/>
          <w:color w:val="555555"/>
          <w:sz w:val="22"/>
          <w:szCs w:val="22"/>
        </w:rPr>
        <w:t xml:space="preserve">Software Engineering Practice — Week 1 Deliverable</w:t>
      </w:r>
    </w:p>
    <w:p>
      <w:pPr>
        <w:pBdr>
          <w:bottom w:val="single" w:color="1F4E79" w:sz="6" w:space="12"/>
        </w:pBdr>
        <w:spacing w:after="400"/>
        <w:jc w:val="center"/>
      </w:pPr>
      <w:r>
        <w:rPr>
          <w:color w:val="555555"/>
          <w:sz w:val="22"/>
          <w:szCs w:val="22"/>
        </w:rPr>
        <w:t xml:space="preserve">Charles Darwin University</w:t>
      </w:r>
    </w:p>
    <w:p>
      <w:pPr>
        <w:pStyle w:val="Heading1"/>
        <w:spacing w:after="150" w:before="300"/>
      </w:pPr>
      <w:r>
        <w:t xml:space="preserve">1. Introduction</w:t>
      </w:r>
    </w:p>
    <w:p>
      <w:pPr>
        <w:spacing w:after="150"/>
        <w:jc w:val="both"/>
      </w:pPr>
      <w:r>
        <w:rPr>
          <w:sz w:val="22"/>
          <w:szCs w:val="22"/>
        </w:rPr>
        <w:t xml:space="preserve">This document presents career and market research undertaken for the Report Writer role, one of two software engineering roles selected for this course. The Report Writer role focuses on producing clear, accurate, and professional documentation that supports a project team rather than on writing production code. This research covers the responsibilities, required skills, common technologies, and certification pathways associated with the role, and is grounded in current industry job postings and salary data.</w:t>
      </w:r>
    </w:p>
    <w:p>
      <w:pPr>
        <w:pStyle w:val="Heading1"/>
        <w:spacing w:after="150" w:before="300"/>
      </w:pPr>
      <w:r>
        <w:t xml:space="preserve">2. Role Overview</w:t>
      </w:r>
    </w:p>
    <w:p>
      <w:pPr>
        <w:spacing w:after="150"/>
        <w:jc w:val="both"/>
      </w:pPr>
      <w:r>
        <w:rPr>
          <w:sz w:val="22"/>
          <w:szCs w:val="22"/>
        </w:rPr>
        <w:t xml:space="preserve">A Report Writer is responsible for taking complex project information and presenting it in a clear, concise, and well-structured written form for a range of audiences, including technical teams, project stakeholders, and academic assessors. In a software engineering team context, this typically includes technical documentation, requirement specifications, meeting minutes, and final project reports. The role is closely related to, and often overlaps with, the broader Technical Writer role, which is more common in industry job listings.</w:t>
      </w:r>
    </w:p>
    <w:p>
      <w:pPr>
        <w:spacing w:after="150"/>
        <w:jc w:val="both"/>
      </w:pPr>
      <w:r>
        <w:rPr>
          <w:sz w:val="22"/>
          <w:szCs w:val="22"/>
        </w:rPr>
        <w:t xml:space="preserve">Industry data indicates that Report Writer and Technical Writer positions are found across business, government, and technology sectors, with particularly strong demand in software-as-a-service, fintech, healthcare technology, and cloud services industries as organisations increasingly prioritise clear documentation and user-facing communication.</w:t>
      </w:r>
    </w:p>
    <w:p>
      <w:pPr>
        <w:pStyle w:val="Heading1"/>
        <w:spacing w:after="150" w:before="300"/>
      </w:pPr>
      <w:r>
        <w:t xml:space="preserve">3. Key Responsibilities</w:t>
      </w:r>
    </w:p>
    <w:p>
      <w:pPr>
        <w:pStyle w:val="ListParagraph"/>
        <w:numPr>
          <w:ilvl w:val="0"/>
          <w:numId w:val="2"/>
        </w:numPr>
        <w:spacing w:after="80"/>
      </w:pPr>
      <w:r>
        <w:t xml:space="preserve">Researching, writing, and editing technical documents such as reports, manuals, and specifications</w:t>
      </w:r>
    </w:p>
    <w:p>
      <w:pPr>
        <w:pStyle w:val="ListParagraph"/>
        <w:numPr>
          <w:ilvl w:val="0"/>
          <w:numId w:val="2"/>
        </w:numPr>
        <w:spacing w:after="80"/>
      </w:pPr>
      <w:r>
        <w:t xml:space="preserve">Translating complex or technical information into content that is easy for a non-technical audience to understand</w:t>
      </w:r>
    </w:p>
    <w:p>
      <w:pPr>
        <w:pStyle w:val="ListParagraph"/>
        <w:numPr>
          <w:ilvl w:val="0"/>
          <w:numId w:val="2"/>
        </w:numPr>
        <w:spacing w:after="80"/>
      </w:pPr>
      <w:r>
        <w:t xml:space="preserve">Recording and distributing meeting minutes and project status updates</w:t>
      </w:r>
    </w:p>
    <w:p>
      <w:pPr>
        <w:pStyle w:val="ListParagraph"/>
        <w:numPr>
          <w:ilvl w:val="0"/>
          <w:numId w:val="2"/>
        </w:numPr>
        <w:spacing w:after="80"/>
      </w:pPr>
      <w:r>
        <w:t xml:space="preserve">Maintaining requirement documentation and ensuring it stays aligned with project changes</w:t>
      </w:r>
    </w:p>
    <w:p>
      <w:pPr>
        <w:pStyle w:val="ListParagraph"/>
        <w:numPr>
          <w:ilvl w:val="0"/>
          <w:numId w:val="2"/>
        </w:numPr>
        <w:spacing w:after="80"/>
      </w:pPr>
      <w:r>
        <w:t xml:space="preserve">Proofreading and quality-checking documentation produced by the wider team</w:t>
      </w:r>
    </w:p>
    <w:p>
      <w:pPr>
        <w:pStyle w:val="ListParagraph"/>
        <w:numPr>
          <w:ilvl w:val="0"/>
          <w:numId w:val="2"/>
        </w:numPr>
        <w:spacing w:after="80"/>
      </w:pPr>
      <w:r>
        <w:t xml:space="preserve">Collaborating with developers, business analysts, and project managers to gather accurate information</w:t>
      </w:r>
    </w:p>
    <w:p>
      <w:pPr>
        <w:pStyle w:val="ListParagraph"/>
        <w:numPr>
          <w:ilvl w:val="0"/>
          <w:numId w:val="2"/>
        </w:numPr>
        <w:spacing w:after="80"/>
      </w:pPr>
      <w:r>
        <w:t xml:space="preserve">Maintaining version control and organisation of documentation files (e.g. via GitHub)</w:t>
      </w:r>
    </w:p>
    <w:p>
      <w:pPr>
        <w:pStyle w:val="Heading1"/>
        <w:spacing w:after="150" w:before="300"/>
      </w:pPr>
      <w:r>
        <w:t xml:space="preserve">4. Required Skills</w:t>
      </w:r>
    </w:p>
    <w:p>
      <w:pPr>
        <w:pStyle w:val="ListParagraph"/>
        <w:numPr>
          <w:ilvl w:val="0"/>
          <w:numId w:val="2"/>
        </w:numPr>
        <w:spacing w:after="80"/>
      </w:pPr>
      <w:r>
        <w:t xml:space="preserve">Technical writing and editing</w:t>
      </w:r>
    </w:p>
    <w:p>
      <w:pPr>
        <w:pStyle w:val="ListParagraph"/>
        <w:numPr>
          <w:ilvl w:val="0"/>
          <w:numId w:val="2"/>
        </w:numPr>
        <w:spacing w:after="80"/>
      </w:pPr>
      <w:r>
        <w:t xml:space="preserve">Research and information gathering</w:t>
      </w:r>
    </w:p>
    <w:p>
      <w:pPr>
        <w:pStyle w:val="ListParagraph"/>
        <w:numPr>
          <w:ilvl w:val="0"/>
          <w:numId w:val="2"/>
        </w:numPr>
        <w:spacing w:after="80"/>
      </w:pPr>
      <w:r>
        <w:t xml:space="preserve">Clear written and verbal communication</w:t>
      </w:r>
    </w:p>
    <w:p>
      <w:pPr>
        <w:pStyle w:val="ListParagraph"/>
        <w:numPr>
          <w:ilvl w:val="0"/>
          <w:numId w:val="2"/>
        </w:numPr>
        <w:spacing w:after="80"/>
      </w:pPr>
      <w:r>
        <w:t xml:space="preserve">Grammar, proofreading, and attention to detail</w:t>
      </w:r>
    </w:p>
    <w:p>
      <w:pPr>
        <w:pStyle w:val="ListParagraph"/>
        <w:numPr>
          <w:ilvl w:val="0"/>
          <w:numId w:val="2"/>
        </w:numPr>
        <w:spacing w:after="80"/>
      </w:pPr>
      <w:r>
        <w:t xml:space="preserve">Time management and the ability to handle multiple documents at once</w:t>
      </w:r>
    </w:p>
    <w:p>
      <w:pPr>
        <w:pStyle w:val="ListParagraph"/>
        <w:numPr>
          <w:ilvl w:val="0"/>
          <w:numId w:val="2"/>
        </w:numPr>
        <w:spacing w:after="80"/>
      </w:pPr>
      <w:r>
        <w:t xml:space="preserve">Teamwork and cross-functional collaboration</w:t>
      </w:r>
    </w:p>
    <w:p>
      <w:pPr>
        <w:pStyle w:val="ListParagraph"/>
        <w:numPr>
          <w:ilvl w:val="0"/>
          <w:numId w:val="2"/>
        </w:numPr>
        <w:spacing w:after="80"/>
      </w:pPr>
      <w:r>
        <w:t xml:space="preserve">Basic familiarity with technical/software concepts (not coding expertise)</w:t>
      </w:r>
    </w:p>
    <w:p>
      <w:pPr>
        <w:pStyle w:val="Heading1"/>
        <w:spacing w:after="150" w:before="300"/>
      </w:pPr>
      <w:r>
        <w:t xml:space="preserve">5. Report Writer vs. Related Titles in the Australian Market</w:t>
      </w:r>
    </w:p>
    <w:p>
      <w:pPr>
        <w:spacing w:after="150"/>
        <w:jc w:val="both"/>
      </w:pPr>
      <w:r>
        <w:rPr>
          <w:sz w:val="22"/>
          <w:szCs w:val="22"/>
        </w:rPr>
        <w:t xml:space="preserve">Direct "Report Writer" job postings are relatively uncommon in Australia. Employers advertising this type of documentation-focused work more often use related titles such as Technical Writer, Policy Writer, Research Writer, Reporting Officer, or Compliance Writer. In the Australian market, the term "Report Writer" also overlaps with a distinct, more technical role centred on Business Intelligence (BI) reporting — building dashboards using Power BI, SQL, and sometimes Python or DAX scripting. This is a different specialisation from documentation-focused report writing and is closer to a Data/Reporting Analyst role.</w:t>
      </w:r>
    </w:p>
    <w:p>
      <w:pPr>
        <w:spacing w:after="150"/>
        <w:jc w:val="both"/>
      </w:pPr>
      <w:r>
        <w:rPr>
          <w:sz w:val="22"/>
          <w:szCs w:val="22"/>
        </w:rPr>
        <w:t xml:space="preserve">For this project, the Report Writer role follows the documentation-focused definition (Word, Markdown, GitHub, meeting minutes, project reports) described in the course brief. Technical Writer listings are treated as the closest market proxy when researching responsibilities and typical salaries, since they share the same core skill set.</w:t>
      </w:r>
    </w:p>
    <w:p>
      <w:pPr>
        <w:pStyle w:val="Heading1"/>
        <w:spacing w:after="150" w:before="300"/>
      </w:pPr>
      <w:r>
        <w:t xml:space="preserve">6. Common Technologies and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20"/>
                <w:szCs w:val="20"/>
              </w:rPr>
              <w:t xml:space="preserve">Tool</w:t>
            </w:r>
          </w:p>
        </w:tc>
        <w:tc>
          <w:tcPr>
            <w:tcW w:type="dxa" w:w="6000"/>
            <w:shd w:fill="1F4E79" w:val="clear"/>
            <w:vAlign w:val="center"/>
          </w:tcPr>
          <w:p>
            <w:r>
              <w:rPr>
                <w:b/>
                <w:bCs/>
                <w:color w:val="FFFFFF"/>
                <w:sz w:val="20"/>
                <w:szCs w:val="20"/>
              </w:rPr>
              <w:t xml:space="preserve">Purpose</w:t>
            </w:r>
          </w:p>
        </w:tc>
      </w:tr>
      <w:tr>
        <w:tc>
          <w:tcPr>
            <w:tcW w:type="dxa" w:w="3000"/>
            <w:vAlign w:val="center"/>
          </w:tcPr>
          <w:p>
            <w:r>
              <w:rPr>
                <w:b w:val="false"/>
                <w:bCs w:val="false"/>
                <w:color w:val="000000"/>
                <w:sz w:val="20"/>
                <w:szCs w:val="20"/>
              </w:rPr>
              <w:t xml:space="preserve">Microsoft Word</w:t>
            </w:r>
          </w:p>
        </w:tc>
        <w:tc>
          <w:tcPr>
            <w:tcW w:type="dxa" w:w="6000"/>
            <w:vAlign w:val="center"/>
          </w:tcPr>
          <w:p>
            <w:r>
              <w:rPr>
                <w:b w:val="false"/>
                <w:bCs w:val="false"/>
                <w:color w:val="000000"/>
                <w:sz w:val="20"/>
                <w:szCs w:val="20"/>
              </w:rPr>
              <w:t xml:space="preserve">Drafting and formatting formal reports and documentation</w:t>
            </w:r>
          </w:p>
        </w:tc>
      </w:tr>
      <w:tr>
        <w:tc>
          <w:tcPr>
            <w:tcW w:type="dxa" w:w="3000"/>
            <w:vAlign w:val="center"/>
          </w:tcPr>
          <w:p>
            <w:r>
              <w:rPr>
                <w:b w:val="false"/>
                <w:bCs w:val="false"/>
                <w:color w:val="000000"/>
                <w:sz w:val="20"/>
                <w:szCs w:val="20"/>
              </w:rPr>
              <w:t xml:space="preserve">Markdown</w:t>
            </w:r>
          </w:p>
        </w:tc>
        <w:tc>
          <w:tcPr>
            <w:tcW w:type="dxa" w:w="6000"/>
            <w:vAlign w:val="center"/>
          </w:tcPr>
          <w:p>
            <w:r>
              <w:rPr>
                <w:b w:val="false"/>
                <w:bCs w:val="false"/>
                <w:color w:val="000000"/>
                <w:sz w:val="20"/>
                <w:szCs w:val="20"/>
              </w:rPr>
              <w:t xml:space="preserve">Lightweight documentation for README files and GitHub wikis</w:t>
            </w:r>
          </w:p>
        </w:tc>
      </w:tr>
      <w:tr>
        <w:tc>
          <w:tcPr>
            <w:tcW w:type="dxa" w:w="3000"/>
            <w:vAlign w:val="center"/>
          </w:tcPr>
          <w:p>
            <w:r>
              <w:rPr>
                <w:b w:val="false"/>
                <w:bCs w:val="false"/>
                <w:color w:val="000000"/>
                <w:sz w:val="20"/>
                <w:szCs w:val="20"/>
              </w:rPr>
              <w:t xml:space="preserve">GitHub</w:t>
            </w:r>
          </w:p>
        </w:tc>
        <w:tc>
          <w:tcPr>
            <w:tcW w:type="dxa" w:w="6000"/>
            <w:vAlign w:val="center"/>
          </w:tcPr>
          <w:p>
            <w:r>
              <w:rPr>
                <w:b w:val="false"/>
                <w:bCs w:val="false"/>
                <w:color w:val="000000"/>
                <w:sz w:val="20"/>
                <w:szCs w:val="20"/>
              </w:rPr>
              <w:t xml:space="preserve">Version control and collaborative storage of documentation</w:t>
            </w:r>
          </w:p>
        </w:tc>
      </w:tr>
      <w:tr>
        <w:tc>
          <w:tcPr>
            <w:tcW w:type="dxa" w:w="3000"/>
            <w:vAlign w:val="center"/>
          </w:tcPr>
          <w:p>
            <w:r>
              <w:rPr>
                <w:b w:val="false"/>
                <w:bCs w:val="false"/>
                <w:color w:val="000000"/>
                <w:sz w:val="20"/>
                <w:szCs w:val="20"/>
              </w:rPr>
              <w:t xml:space="preserve">Microsoft Teams</w:t>
            </w:r>
          </w:p>
        </w:tc>
        <w:tc>
          <w:tcPr>
            <w:tcW w:type="dxa" w:w="6000"/>
            <w:vAlign w:val="center"/>
          </w:tcPr>
          <w:p>
            <w:r>
              <w:rPr>
                <w:b w:val="false"/>
                <w:bCs w:val="false"/>
                <w:color w:val="000000"/>
                <w:sz w:val="20"/>
                <w:szCs w:val="20"/>
              </w:rPr>
              <w:t xml:space="preserve">Team communication, meetings, and file sharing</w:t>
            </w:r>
          </w:p>
        </w:tc>
      </w:tr>
      <w:tr>
        <w:tc>
          <w:tcPr>
            <w:tcW w:type="dxa" w:w="3000"/>
            <w:vAlign w:val="center"/>
          </w:tcPr>
          <w:p>
            <w:r>
              <w:rPr>
                <w:b w:val="false"/>
                <w:bCs w:val="false"/>
                <w:color w:val="000000"/>
                <w:sz w:val="20"/>
                <w:szCs w:val="20"/>
              </w:rPr>
              <w:t xml:space="preserve">Excel</w:t>
            </w:r>
          </w:p>
        </w:tc>
        <w:tc>
          <w:tcPr>
            <w:tcW w:type="dxa" w:w="6000"/>
            <w:vAlign w:val="center"/>
          </w:tcPr>
          <w:p>
            <w:r>
              <w:rPr>
                <w:b w:val="false"/>
                <w:bCs w:val="false"/>
                <w:color w:val="000000"/>
                <w:sz w:val="20"/>
                <w:szCs w:val="20"/>
              </w:rPr>
              <w:t xml:space="preserve">Building structured tables (e.g. skills/resources matrices)</w:t>
            </w:r>
          </w:p>
        </w:tc>
      </w:tr>
      <w:tr>
        <w:tc>
          <w:tcPr>
            <w:tcW w:type="dxa" w:w="3000"/>
            <w:vAlign w:val="center"/>
          </w:tcPr>
          <w:p>
            <w:r>
              <w:rPr>
                <w:b w:val="false"/>
                <w:bCs w:val="false"/>
                <w:color w:val="000000"/>
                <w:sz w:val="20"/>
                <w:szCs w:val="20"/>
              </w:rPr>
              <w:t xml:space="preserve">Confluence / Notion</w:t>
            </w:r>
          </w:p>
        </w:tc>
        <w:tc>
          <w:tcPr>
            <w:tcW w:type="dxa" w:w="6000"/>
            <w:vAlign w:val="center"/>
          </w:tcPr>
          <w:p>
            <w:r>
              <w:rPr>
                <w:b w:val="false"/>
                <w:bCs w:val="false"/>
                <w:color w:val="000000"/>
                <w:sz w:val="20"/>
                <w:szCs w:val="20"/>
              </w:rPr>
              <w:t xml:space="preserve">Centralised knowledge bases used widely in industry</w:t>
            </w:r>
          </w:p>
        </w:tc>
      </w:tr>
      <w:tr>
        <w:tc>
          <w:tcPr>
            <w:tcW w:type="dxa" w:w="3000"/>
            <w:vAlign w:val="center"/>
          </w:tcPr>
          <w:p>
            <w:r>
              <w:rPr>
                <w:b w:val="false"/>
                <w:bCs w:val="false"/>
                <w:color w:val="000000"/>
                <w:sz w:val="20"/>
                <w:szCs w:val="20"/>
              </w:rPr>
              <w:t xml:space="preserve">AI writing tools</w:t>
            </w:r>
          </w:p>
        </w:tc>
        <w:tc>
          <w:tcPr>
            <w:tcW w:type="dxa" w:w="6000"/>
            <w:vAlign w:val="center"/>
          </w:tcPr>
          <w:p>
            <w:r>
              <w:rPr>
                <w:b w:val="false"/>
                <w:bCs w:val="false"/>
                <w:color w:val="000000"/>
                <w:sz w:val="20"/>
                <w:szCs w:val="20"/>
              </w:rPr>
              <w:t xml:space="preserve">Drafting assistance, proofreading, and summarising (e.g. Claude, Copilot)</w:t>
            </w:r>
          </w:p>
        </w:tc>
      </w:tr>
    </w:tbl>
    <w:p>
      <w:pPr>
        <w:pStyle w:val="Heading1"/>
        <w:spacing w:after="150" w:before="300"/>
      </w:pPr>
      <w:r>
        <w:t xml:space="preserve">7. Certifications (Optional Pathways)</w:t>
      </w:r>
    </w:p>
    <w:p>
      <w:pPr>
        <w:pStyle w:val="ListParagraph"/>
        <w:numPr>
          <w:ilvl w:val="0"/>
          <w:numId w:val="2"/>
        </w:numPr>
        <w:spacing w:after="80"/>
      </w:pPr>
      <w:r>
        <w:t xml:space="preserve">Certified Professional Technical Communicator (CPTC) — Society for Technical Communication</w:t>
      </w:r>
    </w:p>
    <w:p>
      <w:pPr>
        <w:pStyle w:val="ListParagraph"/>
        <w:numPr>
          <w:ilvl w:val="0"/>
          <w:numId w:val="2"/>
        </w:numPr>
        <w:spacing w:after="80"/>
      </w:pPr>
      <w:r>
        <w:t xml:space="preserve">Microsoft Office Specialist</w:t>
      </w:r>
    </w:p>
    <w:p>
      <w:pPr>
        <w:pStyle w:val="ListParagraph"/>
        <w:numPr>
          <w:ilvl w:val="0"/>
          <w:numId w:val="2"/>
        </w:numPr>
        <w:spacing w:after="80"/>
      </w:pPr>
      <w:r>
        <w:t xml:space="preserve">Google Technical Writing Courses (foundational, free)</w:t>
      </w:r>
    </w:p>
    <w:p>
      <w:pPr>
        <w:pStyle w:val="ListParagraph"/>
        <w:numPr>
          <w:ilvl w:val="0"/>
          <w:numId w:val="2"/>
        </w:numPr>
        <w:spacing w:after="80"/>
      </w:pPr>
      <w:r>
        <w:t xml:space="preserve">LinkedIn Learning / Coursera technical writing courses</w:t>
      </w:r>
    </w:p>
    <w:p>
      <w:pPr>
        <w:pStyle w:val="Heading1"/>
        <w:spacing w:after="150" w:before="300"/>
      </w:pPr>
      <w:r>
        <w:t xml:space="preserve">8. Job Market Snapshot (Australia and Northern Territory)</w:t>
      </w:r>
    </w:p>
    <w:p>
      <w:pPr>
        <w:spacing w:after="150"/>
        <w:jc w:val="both"/>
      </w:pPr>
      <w:r>
        <w:rPr>
          <w:sz w:val="22"/>
          <w:szCs w:val="22"/>
        </w:rPr>
        <w:t xml:space="preserve">Live job board searches (Seek, Indeed, and Jora) conducted in July 2026 confirm the pattern identified above: postings under "Report Writer" and "Technical Writer" are active across Australia, spanning government, transport, environmental services, and technology employers. A sample of current listings is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600"/>
      </w:tblGrid>
      <w:tr>
        <w:tc>
          <w:tcPr>
            <w:tcW w:type="dxa" w:w="2200"/>
            <w:shd w:fill="1F4E79" w:val="clear"/>
            <w:vAlign w:val="center"/>
          </w:tcPr>
          <w:p>
            <w:r>
              <w:rPr>
                <w:b/>
                <w:bCs/>
                <w:color w:val="FFFFFF"/>
                <w:sz w:val="20"/>
                <w:szCs w:val="20"/>
              </w:rPr>
              <w:t xml:space="preserve">Role &amp; Employer</w:t>
            </w:r>
          </w:p>
        </w:tc>
        <w:tc>
          <w:tcPr>
            <w:tcW w:type="dxa" w:w="2600"/>
            <w:shd w:fill="1F4E79" w:val="clear"/>
            <w:vAlign w:val="center"/>
          </w:tcPr>
          <w:p>
            <w:r>
              <w:rPr>
                <w:b/>
                <w:bCs/>
                <w:color w:val="FFFFFF"/>
                <w:sz w:val="20"/>
                <w:szCs w:val="20"/>
              </w:rPr>
              <w:t xml:space="preserve">Location</w:t>
            </w:r>
          </w:p>
        </w:tc>
        <w:tc>
          <w:tcPr>
            <w:tcW w:type="dxa" w:w="1600"/>
            <w:shd w:fill="1F4E79" w:val="clear"/>
            <w:vAlign w:val="center"/>
          </w:tcPr>
          <w:p>
            <w:r>
              <w:rPr>
                <w:b/>
                <w:bCs/>
                <w:color w:val="FFFFFF"/>
                <w:sz w:val="20"/>
                <w:szCs w:val="20"/>
              </w:rPr>
              <w:t xml:space="preserve">Salary (AUD)</w:t>
            </w:r>
          </w:p>
        </w:tc>
        <w:tc>
          <w:tcPr>
            <w:tcW w:type="dxa" w:w="2600"/>
            <w:shd w:fill="1F4E79" w:val="clear"/>
            <w:vAlign w:val="center"/>
          </w:tcPr>
          <w:p>
            <w:r>
              <w:rPr>
                <w:b/>
                <w:bCs/>
                <w:color w:val="FFFFFF"/>
                <w:sz w:val="20"/>
                <w:szCs w:val="20"/>
              </w:rPr>
              <w:t xml:space="preserve">Notes</w:t>
            </w:r>
          </w:p>
        </w:tc>
      </w:tr>
      <w:tr>
        <w:tc>
          <w:tcPr>
            <w:tcW w:type="dxa" w:w="2200"/>
            <w:vAlign w:val="center"/>
          </w:tcPr>
          <w:p>
            <w:r>
              <w:rPr>
                <w:b w:val="false"/>
                <w:bCs w:val="false"/>
                <w:color w:val="000000"/>
                <w:sz w:val="20"/>
                <w:szCs w:val="20"/>
              </w:rPr>
              <w:t xml:space="preserve">Technical Writer — Randstad Digital</w:t>
            </w:r>
          </w:p>
        </w:tc>
        <w:tc>
          <w:tcPr>
            <w:tcW w:type="dxa" w:w="2600"/>
            <w:vAlign w:val="center"/>
          </w:tcPr>
          <w:p>
            <w:r>
              <w:rPr>
                <w:b w:val="false"/>
                <w:bCs w:val="false"/>
                <w:color w:val="000000"/>
                <w:sz w:val="20"/>
                <w:szCs w:val="20"/>
              </w:rPr>
              <w:t xml:space="preserve">Melbourne, VIC (Hybrid)</w:t>
            </w:r>
          </w:p>
        </w:tc>
        <w:tc>
          <w:tcPr>
            <w:tcW w:type="dxa" w:w="1600"/>
            <w:vAlign w:val="center"/>
          </w:tcPr>
          <w:p>
            <w:r>
              <w:rPr>
                <w:b w:val="false"/>
                <w:bCs w:val="false"/>
                <w:color w:val="000000"/>
                <w:sz w:val="20"/>
                <w:szCs w:val="20"/>
              </w:rPr>
              <w:t xml:space="preserve">Not listed</w:t>
            </w:r>
          </w:p>
        </w:tc>
        <w:tc>
          <w:tcPr>
            <w:tcW w:type="dxa" w:w="2600"/>
            <w:vAlign w:val="center"/>
          </w:tcPr>
          <w:p>
            <w:r>
              <w:rPr>
                <w:b w:val="false"/>
                <w:bCs w:val="false"/>
                <w:color w:val="000000"/>
                <w:sz w:val="20"/>
                <w:szCs w:val="20"/>
              </w:rPr>
              <w:t xml:space="preserve">6-month contract; AI-assisted documentation editing, planning, QA audits, and knowledge-base distribution</w:t>
            </w:r>
          </w:p>
        </w:tc>
      </w:tr>
      <w:tr>
        <w:tc>
          <w:tcPr>
            <w:tcW w:type="dxa" w:w="2200"/>
            <w:vAlign w:val="center"/>
          </w:tcPr>
          <w:p>
            <w:r>
              <w:rPr>
                <w:b w:val="false"/>
                <w:bCs w:val="false"/>
                <w:color w:val="000000"/>
                <w:sz w:val="20"/>
                <w:szCs w:val="20"/>
              </w:rPr>
              <w:t xml:space="preserve">Training and Technical Writer — Sydney Trains</w:t>
            </w:r>
          </w:p>
        </w:tc>
        <w:tc>
          <w:tcPr>
            <w:tcW w:type="dxa" w:w="2600"/>
            <w:vAlign w:val="center"/>
          </w:tcPr>
          <w:p>
            <w:r>
              <w:rPr>
                <w:b w:val="false"/>
                <w:bCs w:val="false"/>
                <w:color w:val="000000"/>
                <w:sz w:val="20"/>
                <w:szCs w:val="20"/>
              </w:rPr>
              <w:t xml:space="preserve">Flemington, NSW</w:t>
            </w:r>
          </w:p>
        </w:tc>
        <w:tc>
          <w:tcPr>
            <w:tcW w:type="dxa" w:w="1600"/>
            <w:vAlign w:val="center"/>
          </w:tcPr>
          <w:p>
            <w:r>
              <w:rPr>
                <w:b w:val="false"/>
                <w:bCs w:val="false"/>
                <w:color w:val="000000"/>
                <w:sz w:val="20"/>
                <w:szCs w:val="20"/>
              </w:rPr>
              <w:t xml:space="preserve">$120,162 – $139,230/yr</w:t>
            </w:r>
          </w:p>
        </w:tc>
        <w:tc>
          <w:tcPr>
            <w:tcW w:type="dxa" w:w="2600"/>
            <w:vAlign w:val="center"/>
          </w:tcPr>
          <w:p>
            <w:r>
              <w:rPr>
                <w:b w:val="false"/>
                <w:bCs w:val="false"/>
                <w:color w:val="000000"/>
                <w:sz w:val="20"/>
                <w:szCs w:val="20"/>
              </w:rPr>
              <w:t xml:space="preserve">Full-time</w:t>
            </w:r>
          </w:p>
        </w:tc>
      </w:tr>
      <w:tr>
        <w:tc>
          <w:tcPr>
            <w:tcW w:type="dxa" w:w="2200"/>
            <w:vAlign w:val="center"/>
          </w:tcPr>
          <w:p>
            <w:r>
              <w:rPr>
                <w:b w:val="false"/>
                <w:bCs w:val="false"/>
                <w:color w:val="000000"/>
                <w:sz w:val="20"/>
                <w:szCs w:val="20"/>
              </w:rPr>
              <w:t xml:space="preserve">Business &amp; Reporting Analyst — Veolia Environmental Services</w:t>
            </w:r>
          </w:p>
        </w:tc>
        <w:tc>
          <w:tcPr>
            <w:tcW w:type="dxa" w:w="2600"/>
            <w:vAlign w:val="center"/>
          </w:tcPr>
          <w:p>
            <w:r>
              <w:rPr>
                <w:b w:val="false"/>
                <w:bCs w:val="false"/>
                <w:color w:val="000000"/>
                <w:sz w:val="20"/>
                <w:szCs w:val="20"/>
              </w:rPr>
              <w:t xml:space="preserve">Tomago, NSW (Hybrid)</w:t>
            </w:r>
          </w:p>
        </w:tc>
        <w:tc>
          <w:tcPr>
            <w:tcW w:type="dxa" w:w="1600"/>
            <w:vAlign w:val="center"/>
          </w:tcPr>
          <w:p>
            <w:r>
              <w:rPr>
                <w:b w:val="false"/>
                <w:bCs w:val="false"/>
                <w:color w:val="000000"/>
                <w:sz w:val="20"/>
                <w:szCs w:val="20"/>
              </w:rPr>
              <w:t xml:space="preserve">Not listed</w:t>
            </w:r>
          </w:p>
        </w:tc>
        <w:tc>
          <w:tcPr>
            <w:tcW w:type="dxa" w:w="2600"/>
            <w:vAlign w:val="center"/>
          </w:tcPr>
          <w:p>
            <w:r>
              <w:rPr>
                <w:b w:val="false"/>
                <w:bCs w:val="false"/>
                <w:color w:val="000000"/>
                <w:sz w:val="20"/>
                <w:szCs w:val="20"/>
              </w:rPr>
              <w:t xml:space="preserve">Prefers Tableau/Power BI, dashboard building, translating data into business insights</w:t>
            </w:r>
          </w:p>
        </w:tc>
      </w:tr>
      <w:tr>
        <w:tc>
          <w:tcPr>
            <w:tcW w:type="dxa" w:w="2200"/>
            <w:vAlign w:val="center"/>
          </w:tcPr>
          <w:p>
            <w:r>
              <w:rPr>
                <w:b w:val="false"/>
                <w:bCs w:val="false"/>
                <w:color w:val="000000"/>
                <w:sz w:val="20"/>
                <w:szCs w:val="20"/>
              </w:rPr>
              <w:t xml:space="preserve">Applied Report Developer — Dept. of Corporate and Digital Development</w:t>
            </w:r>
          </w:p>
        </w:tc>
        <w:tc>
          <w:tcPr>
            <w:tcW w:type="dxa" w:w="2600"/>
            <w:vAlign w:val="center"/>
          </w:tcPr>
          <w:p>
            <w:r>
              <w:rPr>
                <w:b w:val="false"/>
                <w:bCs w:val="false"/>
                <w:color w:val="000000"/>
                <w:sz w:val="20"/>
                <w:szCs w:val="20"/>
              </w:rPr>
              <w:t xml:space="preserve">Northern Territory</w:t>
            </w:r>
          </w:p>
        </w:tc>
        <w:tc>
          <w:tcPr>
            <w:tcW w:type="dxa" w:w="1600"/>
            <w:vAlign w:val="center"/>
          </w:tcPr>
          <w:p>
            <w:r>
              <w:rPr>
                <w:b w:val="false"/>
                <w:bCs w:val="false"/>
                <w:color w:val="000000"/>
                <w:sz w:val="20"/>
                <w:szCs w:val="20"/>
              </w:rPr>
              <w:t xml:space="preserve">$99,519 – $110,953/yr</w:t>
            </w:r>
          </w:p>
        </w:tc>
        <w:tc>
          <w:tcPr>
            <w:tcW w:type="dxa" w:w="2600"/>
            <w:vAlign w:val="center"/>
          </w:tcPr>
          <w:p>
            <w:r>
              <w:rPr>
                <w:b w:val="false"/>
                <w:bCs w:val="false"/>
                <w:color w:val="000000"/>
                <w:sz w:val="20"/>
                <w:szCs w:val="20"/>
              </w:rPr>
              <w:t xml:space="preserve">Full-time, NT Government; produces analysis and reports to meet national and NT reporting obligations, various NT regions</w:t>
            </w:r>
          </w:p>
        </w:tc>
      </w:tr>
      <w:tr>
        <w:tc>
          <w:tcPr>
            <w:tcW w:type="dxa" w:w="2200"/>
            <w:vAlign w:val="center"/>
          </w:tcPr>
          <w:p>
            <w:r>
              <w:rPr>
                <w:b w:val="false"/>
                <w:bCs w:val="false"/>
                <w:color w:val="000000"/>
                <w:sz w:val="20"/>
                <w:szCs w:val="20"/>
              </w:rPr>
              <w:t xml:space="preserve">Technical Writer — Aurec Group</w:t>
            </w:r>
          </w:p>
        </w:tc>
        <w:tc>
          <w:tcPr>
            <w:tcW w:type="dxa" w:w="2600"/>
            <w:vAlign w:val="center"/>
          </w:tcPr>
          <w:p>
            <w:r>
              <w:rPr>
                <w:b w:val="false"/>
                <w:bCs w:val="false"/>
                <w:color w:val="000000"/>
                <w:sz w:val="20"/>
                <w:szCs w:val="20"/>
              </w:rPr>
              <w:t xml:space="preserve">Deakin, ACT</w:t>
            </w:r>
          </w:p>
        </w:tc>
        <w:tc>
          <w:tcPr>
            <w:tcW w:type="dxa" w:w="1600"/>
            <w:vAlign w:val="center"/>
          </w:tcPr>
          <w:p>
            <w:r>
              <w:rPr>
                <w:b w:val="false"/>
                <w:bCs w:val="false"/>
                <w:color w:val="000000"/>
                <w:sz w:val="20"/>
                <w:szCs w:val="20"/>
              </w:rPr>
              <w:t xml:space="preserve">Not listed</w:t>
            </w:r>
          </w:p>
        </w:tc>
        <w:tc>
          <w:tcPr>
            <w:tcW w:type="dxa" w:w="2600"/>
            <w:vAlign w:val="center"/>
          </w:tcPr>
          <w:p>
            <w:r>
              <w:rPr>
                <w:b w:val="false"/>
                <w:bCs w:val="false"/>
                <w:color w:val="000000"/>
                <w:sz w:val="20"/>
                <w:szCs w:val="20"/>
              </w:rPr>
              <w:t xml:space="preserve">Full-time; remote or hybrid available</w:t>
            </w:r>
          </w:p>
        </w:tc>
      </w:tr>
    </w:tbl>
    <w:p>
      <w:pPr>
        <w:spacing w:after="150"/>
        <w:jc w:val="both"/>
      </w:pPr>
      <w:r>
        <w:rPr>
          <w:sz w:val="22"/>
          <w:szCs w:val="22"/>
        </w:rPr>
        <w:t xml:space="preserve">The Northern Territory listing is particularly relevant to this research: an "Applied Report Developer" role with the NT Department of Corporate and Digital Development pays $99,519–$110,953 per year and is explicitly positioned within report writing and government reporting obligations, confirming that report-writing work exists locally within the NT public sector even though dedicated "Report Writer" titles are scarce. Nationally, advertised salaries for comparable Technical Writer and Reporting roles range from roughly $99,500 up to $139,230 depending on employer, seniority, and sector, which is noticeably higher than earlier general estimates and reflects genuine current demand in transport, government, and environmental services employers.</w:t>
      </w:r>
    </w:p>
    <w:p>
      <w:pPr>
        <w:spacing w:after="150"/>
        <w:jc w:val="both"/>
      </w:pPr>
      <w:r>
        <w:rPr>
          <w:sz w:val="22"/>
          <w:szCs w:val="22"/>
        </w:rPr>
        <w:t xml:space="preserve">A recurring theme across the Melbourne and NSW listings is the expectation that writers use AI tools to support (not replace) documentation work, and that BI-adjacent "Reporting Analyst" roles increasingly expect Power BI or Tableau proficiency, reinforcing the distinction drawn in Section 5 between documentation-focused and data-focused report writing.</w:t>
      </w:r>
    </w:p>
    <w:p>
      <w:pPr>
        <w:pStyle w:val="Heading1"/>
        <w:spacing w:after="150" w:before="300"/>
      </w:pPr>
      <w:r>
        <w:t xml:space="preserve">9. Conclusion</w:t>
      </w:r>
    </w:p>
    <w:p>
      <w:pPr>
        <w:spacing w:after="150"/>
        <w:jc w:val="both"/>
      </w:pPr>
      <w:r>
        <w:rPr>
          <w:sz w:val="22"/>
          <w:szCs w:val="22"/>
        </w:rPr>
        <w:t xml:space="preserve">This research confirms that the Report Writer role is a strong fit for a documentation-focused contribution to the team project. While dedicated "Report Writer" titles are uncommon in Australia and the Northern Territory specifically, closely related roles — including an NT Government "Applied Report Developer" position — confirm that report-writing and documentation work is genuinely available locally, alongside stronger national demand under the Technical Writer title. Success in the role will depend on developing structured writing habits, becoming comfortable with GitHub-based version control, and consistently producing clear, well-proofread documentation each week. This research forms the foundation for the Skills &amp; Resources table and three-week learning plan submitted alongside this document.</w:t>
      </w:r>
    </w:p>
    <w:p>
      <w:pPr>
        <w:pStyle w:val="Heading1"/>
        <w:spacing w:after="150" w:before="300"/>
      </w:pPr>
      <w:r>
        <w:t xml:space="preserve">References</w:t>
      </w:r>
    </w:p>
    <w:p>
      <w:pPr>
        <w:spacing w:after="150"/>
        <w:jc w:val="both"/>
      </w:pPr>
      <w:r>
        <w:rPr>
          <w:sz w:val="22"/>
          <w:szCs w:val="22"/>
        </w:rPr>
        <w:t xml:space="preserve">Seek. (2026). Technical Writer — Randstad Digital, Melbourne VIC. Retrieved from seek.com.au (job search: "report writer, Australia").</w:t>
      </w:r>
    </w:p>
    <w:p>
      <w:pPr>
        <w:spacing w:after="150"/>
        <w:jc w:val="both"/>
      </w:pPr>
      <w:r>
        <w:rPr>
          <w:sz w:val="22"/>
          <w:szCs w:val="22"/>
        </w:rPr>
        <w:t xml:space="preserve">Indeed. (2026). Training and Technical Writer — Sydney Trains; Business &amp; Reporting Analyst — Veolia Environmental Services. Retrieved from au.indeed.com (job search: "reports writer").</w:t>
      </w:r>
    </w:p>
    <w:p>
      <w:pPr>
        <w:spacing w:after="150"/>
        <w:jc w:val="both"/>
      </w:pPr>
      <w:r>
        <w:rPr>
          <w:sz w:val="22"/>
          <w:szCs w:val="22"/>
        </w:rPr>
        <w:t xml:space="preserve">Jora. (2026). Applied Report Developer — NT Department of Corporate and Digital Development; Technical Writer — Aurec Group. Retrieved from au.jora.com (job search: "report writer").</w:t>
      </w:r>
    </w:p>
    <w:p>
      <w:pPr>
        <w:spacing w:after="150"/>
        <w:jc w:val="both"/>
      </w:pPr>
      <w:r>
        <w:rPr>
          <w:sz w:val="22"/>
          <w:szCs w:val="22"/>
        </w:rPr>
        <w:t xml:space="preserve">Robert Half. (2026). Report Writer Salary Guide. Retrieved from roberthalf.com.</w:t>
      </w:r>
    </w:p>
    <w:p>
      <w:pPr>
        <w:spacing w:after="150"/>
        <w:jc w:val="both"/>
      </w:pPr>
      <w:r>
        <w:rPr>
          <w:sz w:val="22"/>
          <w:szCs w:val="22"/>
        </w:rPr>
        <w:t xml:space="preserve">American Association for Freelancers (AAF). (2026). Report Writer Job Description. Retrieved from jobs.aaf.org.</w:t>
      </w:r>
    </w:p>
    <w:p>
      <w:pPr>
        <w:spacing w:after="150"/>
        <w:jc w:val="both"/>
      </w:pPr>
      <w:r>
        <w:rPr>
          <w:sz w:val="22"/>
          <w:szCs w:val="22"/>
        </w:rPr>
        <w:t xml:space="preserve">Kovasys. (2026). The Ultimate 2026 Guide to Landing Technical Writer Jobs. Retrieved from kovasys.com.</w:t>
      </w:r>
    </w:p>
    <w:p>
      <w:pPr>
        <w:spacing w:after="150"/>
        <w:jc w:val="both"/>
      </w:pPr>
      <w:r>
        <w:rPr>
          <w:sz w:val="22"/>
          <w:szCs w:val="22"/>
        </w:rPr>
        <w:t xml:space="preserve">Note: AI tools (Claude, Copilot) were used to assist with research organisation and drafting. All market figures and role details in this document are drawn from live job postings identified via Seek, Indeed, and Jora, rather than from AI-generated summaries.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2026-07-26T01:34:15.360Z</dcterms:created>
  <dcterms:modified xsi:type="dcterms:W3CDTF">2026-07-26T01:34:15.360Z</dcterms:modified>
</cp:coreProperties>
</file>

<file path=docProps/custom.xml><?xml version="1.0" encoding="utf-8"?>
<Properties xmlns="http://schemas.openxmlformats.org/officeDocument/2006/custom-properties" xmlns:vt="http://schemas.openxmlformats.org/officeDocument/2006/docPropsVTypes"/>
</file>