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C8CCDE" w14:textId="77777777" w:rsidR="005D7772" w:rsidRDefault="005D7772" w:rsidP="006E4B90">
      <w:pPr>
        <w:pStyle w:val="FRAHeading1"/>
        <w:numPr>
          <w:ilvl w:val="0"/>
          <w:numId w:val="0"/>
        </w:numPr>
        <w:tabs>
          <w:tab w:val="clear" w:pos="907"/>
          <w:tab w:val="left" w:pos="0"/>
        </w:tabs>
      </w:pPr>
      <w:bookmarkStart w:id="0" w:name="_Toc381174133"/>
      <w:bookmarkStart w:id="1" w:name="_GoBack"/>
      <w:bookmarkEnd w:id="1"/>
    </w:p>
    <w:p w14:paraId="730C60DD" w14:textId="2C79BA72" w:rsidR="005E1030" w:rsidRDefault="00C24628" w:rsidP="006E4B90">
      <w:pPr>
        <w:pStyle w:val="FRAHeading1"/>
        <w:numPr>
          <w:ilvl w:val="0"/>
          <w:numId w:val="0"/>
        </w:numPr>
        <w:tabs>
          <w:tab w:val="clear" w:pos="907"/>
          <w:tab w:val="left" w:pos="0"/>
        </w:tabs>
      </w:pPr>
      <w:r w:rsidRPr="006E4B90">
        <w:t>T</w:t>
      </w:r>
      <w:r w:rsidR="00464F8E" w:rsidRPr="006E4B90">
        <w:t xml:space="preserve">he </w:t>
      </w:r>
      <w:r w:rsidR="00130602" w:rsidRPr="006E4B90">
        <w:t xml:space="preserve">right to </w:t>
      </w:r>
      <w:r w:rsidR="00464F8E" w:rsidRPr="006E4B90">
        <w:t>political participation of persons wit</w:t>
      </w:r>
      <w:r w:rsidR="002D465C" w:rsidRPr="006E4B90">
        <w:t>h</w:t>
      </w:r>
      <w:r w:rsidR="002D465C" w:rsidRPr="002D465C">
        <w:rPr>
          <w:b w:val="0"/>
        </w:rPr>
        <w:t xml:space="preserve"> </w:t>
      </w:r>
      <w:r w:rsidR="002D465C">
        <w:t xml:space="preserve">disabilities </w:t>
      </w:r>
    </w:p>
    <w:p w14:paraId="7D1C4522" w14:textId="26213802" w:rsidR="002D465C" w:rsidRPr="00194F44" w:rsidRDefault="005D7772" w:rsidP="005D7772">
      <w:pPr>
        <w:pStyle w:val="FRAHeading1"/>
        <w:numPr>
          <w:ilvl w:val="0"/>
          <w:numId w:val="0"/>
        </w:numPr>
        <w:tabs>
          <w:tab w:val="clear" w:pos="907"/>
          <w:tab w:val="left" w:pos="0"/>
          <w:tab w:val="left" w:pos="2404"/>
          <w:tab w:val="right" w:pos="9026"/>
        </w:tabs>
        <w:rPr>
          <w:sz w:val="28"/>
        </w:rPr>
      </w:pPr>
      <w:r>
        <w:rPr>
          <w:sz w:val="28"/>
        </w:rPr>
        <w:tab/>
      </w:r>
      <w:r>
        <w:rPr>
          <w:sz w:val="28"/>
        </w:rPr>
        <w:tab/>
      </w:r>
      <w:r w:rsidR="002D465C" w:rsidRPr="00194F44">
        <w:rPr>
          <w:sz w:val="28"/>
        </w:rPr>
        <w:t>Summary</w:t>
      </w:r>
    </w:p>
    <w:bookmarkEnd w:id="0"/>
    <w:p w14:paraId="09031EBE" w14:textId="77777777" w:rsidR="00D00A3A" w:rsidRPr="00194F44" w:rsidRDefault="00D00A3A" w:rsidP="00D00A3A">
      <w:pPr>
        <w:rPr>
          <w:i/>
          <w:color w:val="00565B"/>
        </w:rPr>
      </w:pPr>
      <w:r w:rsidRPr="00194F44">
        <w:rPr>
          <w:i/>
          <w:color w:val="00565B"/>
        </w:rPr>
        <w:t>Article 39 of the Charter of Fundamental Rights of the European Union guarantees all EU citizens the right to vote and to stand as a candidate at elections to the European Parliament, and Article 40 guarantees the right to vote and stand as a candidate at municipal elections. Article 21 recognises the right to be free from discrimination, including on the grounds of disability, and Article 26 recognises and respects the right of persons with disabilities to benefit from measures to ensure their independence, social and occupational integration and participation in the life of the community.</w:t>
      </w:r>
    </w:p>
    <w:p w14:paraId="32A50E62" w14:textId="6CBEA00C" w:rsidR="001D1826" w:rsidRDefault="00EC1F16" w:rsidP="006D0865">
      <w:pPr>
        <w:pStyle w:val="FRABodyText"/>
        <w:spacing w:before="120" w:after="120"/>
      </w:pPr>
      <w:r>
        <w:t xml:space="preserve">The opportunity to be involved in political life is at the heart of what it means to live in a democratic society. </w:t>
      </w:r>
      <w:r w:rsidR="00464F8E">
        <w:t xml:space="preserve">The </w:t>
      </w:r>
      <w:r w:rsidR="00464F8E" w:rsidRPr="00FF2535">
        <w:t>right to political participation</w:t>
      </w:r>
      <w:r w:rsidR="00D6433C">
        <w:t>,</w:t>
      </w:r>
      <w:r w:rsidR="00C15D53">
        <w:t xml:space="preserve"> including</w:t>
      </w:r>
      <w:r w:rsidR="00464F8E" w:rsidRPr="00FF2535">
        <w:t xml:space="preserve"> of persons with disabilities</w:t>
      </w:r>
      <w:r w:rsidR="00D6433C">
        <w:t>,</w:t>
      </w:r>
      <w:r w:rsidR="00464F8E" w:rsidRPr="00FF2535">
        <w:t xml:space="preserve"> </w:t>
      </w:r>
      <w:r w:rsidR="00464F8E">
        <w:t xml:space="preserve">is </w:t>
      </w:r>
      <w:r w:rsidR="00F72702">
        <w:t xml:space="preserve">accordingly </w:t>
      </w:r>
      <w:r w:rsidR="00464F8E" w:rsidRPr="00FF2535">
        <w:t xml:space="preserve">firmly grounded in international law, enshrined </w:t>
      </w:r>
      <w:r w:rsidR="009E4C08" w:rsidRPr="00FF2535">
        <w:t xml:space="preserve">in the </w:t>
      </w:r>
      <w:r w:rsidR="009E4C08">
        <w:t>United Nations</w:t>
      </w:r>
      <w:r w:rsidR="00441C89">
        <w:t> </w:t>
      </w:r>
      <w:r w:rsidR="00F3764D">
        <w:t xml:space="preserve">(UN) </w:t>
      </w:r>
      <w:r w:rsidR="009E4C08">
        <w:t>Convention on the Rights of Persons with Disabilities</w:t>
      </w:r>
      <w:r w:rsidR="00441C89">
        <w:t> </w:t>
      </w:r>
      <w:r w:rsidR="009E4C08">
        <w:t>(</w:t>
      </w:r>
      <w:r w:rsidR="009E4C08" w:rsidRPr="00FF2535">
        <w:t>CRPD</w:t>
      </w:r>
      <w:r w:rsidR="009E4C08">
        <w:t>), Council of Europe instruments and</w:t>
      </w:r>
      <w:r w:rsidR="00464F8E" w:rsidRPr="00FF2535">
        <w:t xml:space="preserve"> </w:t>
      </w:r>
      <w:r w:rsidR="009E4C08">
        <w:t>European Union</w:t>
      </w:r>
      <w:r w:rsidR="00441C89">
        <w:t> </w:t>
      </w:r>
      <w:r w:rsidR="009E4C08">
        <w:t xml:space="preserve">(EU) </w:t>
      </w:r>
      <w:r w:rsidR="00464F8E">
        <w:t>primary and secondary legislation</w:t>
      </w:r>
      <w:r w:rsidR="00464F8E" w:rsidRPr="00FF2535">
        <w:t xml:space="preserve">. </w:t>
      </w:r>
      <w:r w:rsidR="001D1826">
        <w:t>The European Parliament elections taking place in May 2014 are an opportune moment to examine how relevant national legal, policy and administrative provisions encourage or hinder persons with disabilities from participating in elections.</w:t>
      </w:r>
    </w:p>
    <w:p w14:paraId="5937AE9A" w14:textId="10DA836C" w:rsidR="00853296" w:rsidRDefault="00130602" w:rsidP="006D0865">
      <w:pPr>
        <w:pStyle w:val="FRABodyText"/>
        <w:spacing w:before="120" w:after="120"/>
      </w:pPr>
      <w:r>
        <w:t xml:space="preserve">The European Union Agency for Fundamental Rights (FRA) and the European Commission </w:t>
      </w:r>
      <w:r w:rsidR="00557416">
        <w:t xml:space="preserve">through the Academic Network of European Disability Experts (ANED) </w:t>
      </w:r>
      <w:r w:rsidR="005E039C">
        <w:t>have collected data from across the 28</w:t>
      </w:r>
      <w:r w:rsidR="00441C89">
        <w:t> </w:t>
      </w:r>
      <w:r w:rsidR="005E039C">
        <w:t>EU</w:t>
      </w:r>
      <w:r w:rsidR="00441C89">
        <w:t> </w:t>
      </w:r>
      <w:r w:rsidR="005E039C">
        <w:t>Member States</w:t>
      </w:r>
      <w:r w:rsidR="00441C89">
        <w:t>,</w:t>
      </w:r>
      <w:r w:rsidR="00BE1B3A">
        <w:t xml:space="preserve"> </w:t>
      </w:r>
      <w:r w:rsidR="00994915">
        <w:t xml:space="preserve">which </w:t>
      </w:r>
      <w:r w:rsidR="00853296">
        <w:t xml:space="preserve">show how the right to political </w:t>
      </w:r>
      <w:r w:rsidR="00853296" w:rsidRPr="00793B0A">
        <w:t>participation of persons with disabilities</w:t>
      </w:r>
      <w:r w:rsidR="00853296" w:rsidRPr="00FF2535">
        <w:t xml:space="preserve"> </w:t>
      </w:r>
      <w:r w:rsidR="00853296">
        <w:t xml:space="preserve">set out in </w:t>
      </w:r>
      <w:r w:rsidR="00853296" w:rsidRPr="00FF2535">
        <w:t>Article 29 of the CRPD</w:t>
      </w:r>
      <w:r w:rsidR="00853296" w:rsidRPr="00853D83">
        <w:t xml:space="preserve"> </w:t>
      </w:r>
      <w:r w:rsidR="00853296">
        <w:t xml:space="preserve">is respected, </w:t>
      </w:r>
      <w:r w:rsidR="008D1BE2">
        <w:t xml:space="preserve">protected, </w:t>
      </w:r>
      <w:r w:rsidR="00853296">
        <w:t xml:space="preserve">promoted and fulfilled </w:t>
      </w:r>
      <w:r w:rsidR="00441C89">
        <w:t xml:space="preserve">in </w:t>
      </w:r>
      <w:r w:rsidR="00853296">
        <w:t>the EU</w:t>
      </w:r>
      <w:r w:rsidR="000B25D0">
        <w:t>.</w:t>
      </w:r>
      <w:r w:rsidR="00853296">
        <w:t xml:space="preserve"> </w:t>
      </w:r>
      <w:r w:rsidR="00C24628">
        <w:t>The</w:t>
      </w:r>
      <w:r w:rsidR="000B25D0">
        <w:t xml:space="preserve"> opinions drawn from this</w:t>
      </w:r>
      <w:r w:rsidR="00C24628">
        <w:t xml:space="preserve"> data</w:t>
      </w:r>
      <w:r w:rsidR="0020635F">
        <w:t xml:space="preserve"> focus on </w:t>
      </w:r>
      <w:r w:rsidR="00853296">
        <w:t>elections and the right</w:t>
      </w:r>
      <w:r w:rsidR="00526601">
        <w:t>s</w:t>
      </w:r>
      <w:r w:rsidR="00853296">
        <w:t xml:space="preserve"> to vote</w:t>
      </w:r>
      <w:r w:rsidR="00526601">
        <w:t xml:space="preserve"> and to be elected, as guaranteed by the European Convention on Human Rights</w:t>
      </w:r>
      <w:r w:rsidR="00441C89">
        <w:t> (ECHR)</w:t>
      </w:r>
      <w:r w:rsidR="00526601">
        <w:t>, the Charter of Fundamental Rights of the EU and the EU treaties</w:t>
      </w:r>
      <w:r w:rsidR="00FD19F1">
        <w:t>.</w:t>
      </w:r>
    </w:p>
    <w:p w14:paraId="0FA2A78E" w14:textId="77777777" w:rsidR="005E1030" w:rsidRPr="00194F44" w:rsidRDefault="005E1030" w:rsidP="00194F44">
      <w:pPr>
        <w:spacing w:before="240" w:after="120"/>
        <w:rPr>
          <w:rFonts w:ascii="Verdana" w:hAnsi="Verdana"/>
          <w:b/>
          <w:color w:val="00565B"/>
          <w:sz w:val="32"/>
        </w:rPr>
      </w:pPr>
      <w:r w:rsidRPr="00194F44">
        <w:rPr>
          <w:rFonts w:ascii="Verdana" w:hAnsi="Verdana"/>
          <w:b/>
          <w:color w:val="00565B"/>
          <w:sz w:val="32"/>
        </w:rPr>
        <w:t>Key findings and evidence-based advice</w:t>
      </w:r>
    </w:p>
    <w:p w14:paraId="5937AE9B" w14:textId="42581279" w:rsidR="00464F8E" w:rsidRDefault="0020635F" w:rsidP="006D0865">
      <w:pPr>
        <w:pStyle w:val="FRABodyText"/>
        <w:spacing w:before="120" w:after="120"/>
      </w:pPr>
      <w:r>
        <w:t xml:space="preserve">The </w:t>
      </w:r>
      <w:r w:rsidR="00464F8E">
        <w:t xml:space="preserve">first message stemming from </w:t>
      </w:r>
      <w:r w:rsidR="00C4708F">
        <w:t xml:space="preserve">FRA’s </w:t>
      </w:r>
      <w:r w:rsidR="00FD6582">
        <w:t xml:space="preserve">and ANED’s </w:t>
      </w:r>
      <w:r w:rsidR="00C4708F">
        <w:t>analysis</w:t>
      </w:r>
      <w:r w:rsidR="00464F8E">
        <w:t xml:space="preserve"> is positive: given an </w:t>
      </w:r>
      <w:r w:rsidR="00FD6582">
        <w:t>accessible and</w:t>
      </w:r>
      <w:r w:rsidR="00464F8E">
        <w:t xml:space="preserve"> enabling environment</w:t>
      </w:r>
      <w:r w:rsidR="00C53181">
        <w:t xml:space="preserve"> </w:t>
      </w:r>
      <w:r w:rsidR="00464F8E">
        <w:t>persons with disabilities are active citizens keen to be engaged in the political life of their communities. As well as voting in elections, persons with disabilities take part in other types of political activity in large numbers, including being members of political parties, attending political meetings and contacting elected officials.</w:t>
      </w:r>
      <w:r w:rsidR="00565AA7">
        <w:t xml:space="preserve"> Providing </w:t>
      </w:r>
      <w:r w:rsidR="001838EF">
        <w:t xml:space="preserve">more </w:t>
      </w:r>
      <w:r w:rsidR="00565AA7">
        <w:t xml:space="preserve">accessible information and processes, as well as </w:t>
      </w:r>
      <w:r w:rsidR="001838EF">
        <w:t xml:space="preserve">better </w:t>
      </w:r>
      <w:r w:rsidR="00565AA7">
        <w:t xml:space="preserve">support and reasonable accommodation </w:t>
      </w:r>
      <w:r w:rsidR="00272654">
        <w:t>– that is</w:t>
      </w:r>
      <w:r w:rsidR="00B0743B">
        <w:t>,</w:t>
      </w:r>
      <w:r w:rsidR="00272654">
        <w:t xml:space="preserve"> adjustments to allow persons with disabilities to enjoy their human rights on an equal basis with others – </w:t>
      </w:r>
      <w:r w:rsidR="00565AA7">
        <w:t>when required can further improve their participation.</w:t>
      </w:r>
    </w:p>
    <w:p w14:paraId="5937AE9C" w14:textId="52BBD340" w:rsidR="00464F8E" w:rsidRDefault="00B05BC0" w:rsidP="006D0865">
      <w:pPr>
        <w:pStyle w:val="FRABodyText"/>
        <w:spacing w:before="120" w:after="120"/>
      </w:pPr>
      <w:r>
        <w:t>A</w:t>
      </w:r>
      <w:r w:rsidR="00464F8E">
        <w:t xml:space="preserve"> second message is that significant challenges to the realisation of the right to political participation for persons with disabilities remain. Legal obstacles</w:t>
      </w:r>
      <w:r w:rsidR="00464F8E" w:rsidRPr="00FF2535">
        <w:t xml:space="preserve">, </w:t>
      </w:r>
      <w:r w:rsidR="00464F8E">
        <w:t xml:space="preserve">such as restrictions on the right to vote for some persons with disabilities, and gaps </w:t>
      </w:r>
      <w:r w:rsidR="00464F8E" w:rsidRPr="00FF2535">
        <w:t xml:space="preserve">between the </w:t>
      </w:r>
      <w:r w:rsidR="00464F8E">
        <w:t>promise of law and policy</w:t>
      </w:r>
      <w:r w:rsidR="00464F8E" w:rsidRPr="00FF2535">
        <w:t xml:space="preserve"> </w:t>
      </w:r>
      <w:r w:rsidR="00464F8E">
        <w:t>and their actual implementation</w:t>
      </w:r>
      <w:r w:rsidR="00464F8E" w:rsidRPr="00FF2535">
        <w:t xml:space="preserve"> </w:t>
      </w:r>
      <w:r w:rsidR="00464F8E">
        <w:t>– for example in the form of inaccessible polling stations or websites – persist. These barriers can exclude persons with disabilities from the opportunity to influence the development and implementation of the laws and policies which shape their daily lives.</w:t>
      </w:r>
      <w:r w:rsidR="00192511">
        <w:t xml:space="preserve"> Addressing these challenges </w:t>
      </w:r>
      <w:r w:rsidR="002D61DC">
        <w:t xml:space="preserve">as </w:t>
      </w:r>
      <w:r w:rsidR="002D61DC">
        <w:lastRenderedPageBreak/>
        <w:t xml:space="preserve">soon as possible </w:t>
      </w:r>
      <w:r w:rsidR="00192511">
        <w:t>is essential to increasing the legitimacy of public institutions and creating more</w:t>
      </w:r>
      <w:r w:rsidR="002D61DC">
        <w:t xml:space="preserve"> equitable and</w:t>
      </w:r>
      <w:r w:rsidR="00192511">
        <w:t xml:space="preserve"> inclusive societies in which all members can participate fully.</w:t>
      </w:r>
    </w:p>
    <w:p w14:paraId="5937AE9D" w14:textId="0AA42C49" w:rsidR="00464F8E" w:rsidRDefault="00464F8E" w:rsidP="006D0865">
      <w:pPr>
        <w:pStyle w:val="FRABodyText"/>
        <w:spacing w:before="120" w:after="120"/>
      </w:pPr>
      <w:r>
        <w:t>A third message is that barriers</w:t>
      </w:r>
      <w:r w:rsidR="00A66975">
        <w:t xml:space="preserve"> to political participation</w:t>
      </w:r>
      <w:r>
        <w:t xml:space="preserve"> do not affect all persons with disabilities equally. Those with more severe impairments, as well as people with particular types of impairment – for example, persons with intellectual disabilities – disproportionately face barriers to their participation in the political life. As these individuals are often some of the most isolated and excluded, ensuring that they are able to play a full part in the political process presents a particular challenge for policy makers.</w:t>
      </w:r>
    </w:p>
    <w:p w14:paraId="683627C5" w14:textId="29F07A63" w:rsidR="000B3302" w:rsidRDefault="000B3302" w:rsidP="000B3302">
      <w:pPr>
        <w:pStyle w:val="FRATextboxTitle"/>
      </w:pPr>
      <w:r>
        <w:t>Evidence base of opinions</w:t>
      </w:r>
    </w:p>
    <w:p w14:paraId="2F28ED0F" w14:textId="194BF0E9" w:rsidR="000B3302" w:rsidRDefault="000B3302" w:rsidP="000B3302">
      <w:pPr>
        <w:pStyle w:val="FRATextbox"/>
      </w:pPr>
      <w:r>
        <w:rPr>
          <w:lang w:bidi="ar-SA"/>
        </w:rPr>
        <w:t xml:space="preserve">The analysis and opinions presented in this summary are based on data collected by FRA and the European Commission-funded </w:t>
      </w:r>
      <w:r>
        <w:t xml:space="preserve">Academic Network of European Disability Experts (ANED). </w:t>
      </w:r>
      <w:r>
        <w:rPr>
          <w:lang w:bidi="ar-SA"/>
        </w:rPr>
        <w:t>The data collection was based on</w:t>
      </w:r>
      <w:r w:rsidRPr="00CD7E2B">
        <w:t xml:space="preserve"> </w:t>
      </w:r>
      <w:r>
        <w:t>human rights</w:t>
      </w:r>
      <w:r>
        <w:rPr>
          <w:lang w:bidi="ar-SA"/>
        </w:rPr>
        <w:t xml:space="preserve"> indicators developed by FRA and the European Commission using</w:t>
      </w:r>
      <w:r>
        <w:t xml:space="preserve"> the ‘structure – process – outcome’ indicator model devised by the UN Office of the High Commissioner for Human Rights. </w:t>
      </w:r>
    </w:p>
    <w:p w14:paraId="501B2B78" w14:textId="6B46603D" w:rsidR="000B3302" w:rsidRDefault="000B3302" w:rsidP="000B3302">
      <w:pPr>
        <w:pStyle w:val="FRATextbox"/>
      </w:pPr>
      <w:r>
        <w:t>FRA and ANED collected information through desk research gathering publically available information in each EU Member State and sent a relatively small number of requests for data to public authorities.</w:t>
      </w:r>
      <w:r w:rsidRPr="00433031">
        <w:t xml:space="preserve"> </w:t>
      </w:r>
      <w:r>
        <w:t>The statistical data used in the report was extracted by FRA and ANED from existing</w:t>
      </w:r>
      <w:r w:rsidRPr="00FF2535">
        <w:t xml:space="preserve"> </w:t>
      </w:r>
      <w:r>
        <w:t xml:space="preserve">EU-wide social </w:t>
      </w:r>
      <w:r w:rsidRPr="00FF2535">
        <w:t>surveys</w:t>
      </w:r>
      <w:r>
        <w:t>.</w:t>
      </w:r>
      <w:r w:rsidRPr="007B16EB">
        <w:t xml:space="preserve"> </w:t>
      </w:r>
    </w:p>
    <w:p w14:paraId="3D5F89D3" w14:textId="77777777" w:rsidR="000B3302" w:rsidRPr="00D64031" w:rsidRDefault="000B3302" w:rsidP="000B3302">
      <w:pPr>
        <w:pStyle w:val="FRATextbox"/>
        <w:rPr>
          <w:lang w:bidi="ar-SA"/>
        </w:rPr>
      </w:pPr>
      <w:r>
        <w:t xml:space="preserve">The research findings are published in full in the report on </w:t>
      </w:r>
      <w:r>
        <w:rPr>
          <w:i/>
        </w:rPr>
        <w:t>Indicators on the right to political participation of persons with disabilities</w:t>
      </w:r>
      <w:r>
        <w:t xml:space="preserve">: </w:t>
      </w:r>
      <w:r w:rsidRPr="00194F44">
        <w:rPr>
          <w:i/>
        </w:rPr>
        <w:t>human rights indicators</w:t>
      </w:r>
      <w:r>
        <w:rPr>
          <w:i/>
        </w:rPr>
        <w:t xml:space="preserve"> </w:t>
      </w:r>
      <w:r>
        <w:t>(see ‘Further information’)</w:t>
      </w:r>
      <w:r>
        <w:rPr>
          <w:i/>
        </w:rPr>
        <w:t>.</w:t>
      </w:r>
    </w:p>
    <w:p w14:paraId="374F1277" w14:textId="01A29ACF" w:rsidR="0058023F" w:rsidRDefault="00464F8E" w:rsidP="006D0865">
      <w:pPr>
        <w:pStyle w:val="FRABodyText"/>
        <w:spacing w:before="120" w:after="120"/>
      </w:pPr>
      <w:r>
        <w:t>Reflecting the</w:t>
      </w:r>
      <w:r w:rsidR="00B0743B">
        <w:t xml:space="preserve"> CRDP</w:t>
      </w:r>
      <w:r>
        <w:t xml:space="preserve"> requirements in this area and drawing on the results of the research, five issues emerge</w:t>
      </w:r>
      <w:r w:rsidR="0058023F">
        <w:t>:</w:t>
      </w:r>
    </w:p>
    <w:p w14:paraId="3D3DE858" w14:textId="5619B95C" w:rsidR="0058023F" w:rsidRDefault="00B0743B" w:rsidP="006E4B90">
      <w:pPr>
        <w:pStyle w:val="FRABodyText"/>
        <w:numPr>
          <w:ilvl w:val="0"/>
          <w:numId w:val="13"/>
        </w:numPr>
        <w:spacing w:before="120" w:after="120"/>
      </w:pPr>
      <w:r>
        <w:t>l</w:t>
      </w:r>
      <w:r w:rsidR="0058023F">
        <w:t>ifting legal and administrative barriers to political participation</w:t>
      </w:r>
      <w:r w:rsidR="00FB7D65">
        <w:t>;</w:t>
      </w:r>
    </w:p>
    <w:p w14:paraId="32A1A4DD" w14:textId="33E8E72D" w:rsidR="0058023F" w:rsidRPr="006E4B90" w:rsidRDefault="00B0743B" w:rsidP="006E4B90">
      <w:pPr>
        <w:pStyle w:val="FRABodyText"/>
        <w:numPr>
          <w:ilvl w:val="0"/>
          <w:numId w:val="13"/>
        </w:numPr>
        <w:spacing w:before="120" w:after="120"/>
      </w:pPr>
      <w:r>
        <w:rPr>
          <w:lang w:val="en-IE"/>
        </w:rPr>
        <w:t>m</w:t>
      </w:r>
      <w:r w:rsidR="0058023F" w:rsidRPr="006E4B90">
        <w:rPr>
          <w:lang w:val="en-IE"/>
        </w:rPr>
        <w:t>aking voting procedures, facilities and election materials more accessible</w:t>
      </w:r>
      <w:r w:rsidR="00FB7D65">
        <w:rPr>
          <w:lang w:val="en-IE"/>
        </w:rPr>
        <w:t>;</w:t>
      </w:r>
    </w:p>
    <w:p w14:paraId="4D01D924" w14:textId="08F965BE" w:rsidR="0058023F" w:rsidRPr="006E4B90" w:rsidRDefault="00B0743B" w:rsidP="006E4B90">
      <w:pPr>
        <w:pStyle w:val="FRABodyText"/>
        <w:numPr>
          <w:ilvl w:val="0"/>
          <w:numId w:val="13"/>
        </w:numPr>
        <w:spacing w:before="120" w:after="120"/>
      </w:pPr>
      <w:r>
        <w:t>e</w:t>
      </w:r>
      <w:r w:rsidR="0058023F" w:rsidRPr="006E4B90">
        <w:t>xpanding opportunities for participation in political and public life</w:t>
      </w:r>
      <w:r w:rsidR="00FB7D65">
        <w:t>;</w:t>
      </w:r>
    </w:p>
    <w:p w14:paraId="094327F9" w14:textId="1D3D1B73" w:rsidR="0058023F" w:rsidRPr="006E4B90" w:rsidRDefault="00B0743B" w:rsidP="006E4B90">
      <w:pPr>
        <w:pStyle w:val="FRABodyText"/>
        <w:numPr>
          <w:ilvl w:val="0"/>
          <w:numId w:val="13"/>
        </w:numPr>
        <w:spacing w:before="120" w:after="120"/>
      </w:pPr>
      <w:r>
        <w:t>i</w:t>
      </w:r>
      <w:r w:rsidR="0058023F" w:rsidRPr="006E4B90">
        <w:t>ncreasing awareness of the right to political participation of persons with disabilities</w:t>
      </w:r>
      <w:r w:rsidR="00FB7D65">
        <w:t>;</w:t>
      </w:r>
      <w:r w:rsidR="00F0034D">
        <w:t xml:space="preserve"> </w:t>
      </w:r>
    </w:p>
    <w:p w14:paraId="0D55822F" w14:textId="1E4E6E88" w:rsidR="0010013C" w:rsidRPr="0058023F" w:rsidRDefault="00B0743B" w:rsidP="006E4B90">
      <w:pPr>
        <w:pStyle w:val="FRABodyText"/>
        <w:numPr>
          <w:ilvl w:val="0"/>
          <w:numId w:val="13"/>
        </w:numPr>
        <w:spacing w:before="120" w:after="120"/>
      </w:pPr>
      <w:r>
        <w:t>c</w:t>
      </w:r>
      <w:r w:rsidR="0010013C" w:rsidRPr="0010013C">
        <w:t>ollecting data to measure the political participation of persons with disabilities</w:t>
      </w:r>
      <w:r w:rsidR="00F0034D">
        <w:t>.</w:t>
      </w:r>
    </w:p>
    <w:p w14:paraId="5937AE9E" w14:textId="3BDCDB3B" w:rsidR="00464F8E" w:rsidRPr="00FF2535" w:rsidRDefault="005572D8" w:rsidP="006D0865">
      <w:pPr>
        <w:pStyle w:val="FRABodyText"/>
        <w:spacing w:before="120" w:after="120"/>
      </w:pPr>
      <w:r>
        <w:t>D</w:t>
      </w:r>
      <w:r w:rsidR="00464F8E">
        <w:t>etailed information on each of these issues can be found in the report</w:t>
      </w:r>
      <w:r w:rsidR="00192511">
        <w:t>.</w:t>
      </w:r>
      <w:r w:rsidR="00703330">
        <w:t xml:space="preserve"> </w:t>
      </w:r>
      <w:r w:rsidR="00464F8E">
        <w:t xml:space="preserve">FRA </w:t>
      </w:r>
      <w:r w:rsidR="000B3302">
        <w:t xml:space="preserve">and ANED </w:t>
      </w:r>
      <w:r w:rsidR="00464F8E">
        <w:t>ha</w:t>
      </w:r>
      <w:r w:rsidR="000B3302">
        <w:t xml:space="preserve">ve </w:t>
      </w:r>
      <w:r w:rsidR="00464F8E">
        <w:t xml:space="preserve">formulated opinions </w:t>
      </w:r>
      <w:r w:rsidR="00703330">
        <w:t>for each of these issues</w:t>
      </w:r>
      <w:r w:rsidR="00B0743B">
        <w:t>,</w:t>
      </w:r>
      <w:r w:rsidR="00703330">
        <w:t xml:space="preserve"> </w:t>
      </w:r>
      <w:r w:rsidR="00464F8E">
        <w:t>which suggest concrete measures EU institutions and Member States</w:t>
      </w:r>
      <w:r w:rsidR="00B0743B">
        <w:t xml:space="preserve"> can take</w:t>
      </w:r>
      <w:r w:rsidR="00464F8E">
        <w:t>.</w:t>
      </w:r>
    </w:p>
    <w:p w14:paraId="5937AE9F" w14:textId="22D34991" w:rsidR="00464F8E" w:rsidRPr="00194F44" w:rsidRDefault="00464F8E" w:rsidP="00194F44">
      <w:pPr>
        <w:pStyle w:val="FRABodyText"/>
        <w:spacing w:before="120" w:after="120"/>
        <w:rPr>
          <w:rFonts w:ascii="Verdana" w:hAnsi="Verdana"/>
          <w:color w:val="00565B"/>
          <w:sz w:val="28"/>
          <w:lang w:eastAsia="en-GB"/>
        </w:rPr>
      </w:pPr>
      <w:bookmarkStart w:id="2" w:name="_Toc381174218"/>
      <w:r w:rsidRPr="00194F44">
        <w:rPr>
          <w:rFonts w:ascii="Verdana" w:hAnsi="Verdana"/>
          <w:color w:val="00565B"/>
          <w:sz w:val="28"/>
          <w:lang w:eastAsia="en-GB"/>
        </w:rPr>
        <w:t>Lifting legal and administrative barriers to political participation</w:t>
      </w:r>
      <w:bookmarkEnd w:id="2"/>
    </w:p>
    <w:p w14:paraId="5937AEA0" w14:textId="453E4635" w:rsidR="00464F8E" w:rsidRDefault="00464F8E" w:rsidP="006D0865">
      <w:pPr>
        <w:pStyle w:val="FRABodyText"/>
        <w:spacing w:before="120" w:after="120"/>
      </w:pPr>
      <w:r>
        <w:t>EU Member States have made significant progress in integrating the right to political participation of persons with disabilities into their national legal and policy frameworks.</w:t>
      </w:r>
      <w:r>
        <w:rPr>
          <w:rStyle w:val="FootnoteReference"/>
        </w:rPr>
        <w:footnoteReference w:id="2"/>
      </w:r>
      <w:r w:rsidRPr="00FF2535">
        <w:t xml:space="preserve"> </w:t>
      </w:r>
      <w:r>
        <w:t>A</w:t>
      </w:r>
      <w:r w:rsidRPr="00FF2535">
        <w:t xml:space="preserve">ll but three </w:t>
      </w:r>
      <w:r>
        <w:t>Member States have</w:t>
      </w:r>
      <w:r w:rsidRPr="00FF2535">
        <w:t xml:space="preserve"> ratified the CRPD</w:t>
      </w:r>
      <w:r>
        <w:t>, with relatively few reservations or declarations to key provisions</w:t>
      </w:r>
      <w:r w:rsidRPr="00FF2535">
        <w:t xml:space="preserve">. </w:t>
      </w:r>
      <w:r>
        <w:t>The remaining three Member States have signed the convention and are taking steps towards ratification.</w:t>
      </w:r>
      <w:r>
        <w:rPr>
          <w:rStyle w:val="FootnoteReference"/>
        </w:rPr>
        <w:footnoteReference w:id="3"/>
      </w:r>
      <w:r>
        <w:t xml:space="preserve"> In addition, a number of Member States have developed national strategies or action plans to implement the CRPD</w:t>
      </w:r>
      <w:r w:rsidR="005E1030">
        <w:t xml:space="preserve">, </w:t>
      </w:r>
      <w:r>
        <w:t xml:space="preserve">which </w:t>
      </w:r>
      <w:r w:rsidR="00FB7D65">
        <w:t xml:space="preserve">address </w:t>
      </w:r>
      <w:r>
        <w:t>the right to political participation</w:t>
      </w:r>
      <w:r w:rsidR="00D66686">
        <w:t xml:space="preserve"> in line with the European Disability Strategy </w:t>
      </w:r>
      <w:r w:rsidR="00D66686">
        <w:lastRenderedPageBreak/>
        <w:t>2010-2020</w:t>
      </w:r>
      <w:r>
        <w:t>.</w:t>
      </w:r>
      <w:r w:rsidR="00243695">
        <w:t xml:space="preserve"> </w:t>
      </w:r>
      <w:r>
        <w:rPr>
          <w:lang w:val="en-IE"/>
        </w:rPr>
        <w:t>T</w:t>
      </w:r>
      <w:r w:rsidRPr="009F4D16">
        <w:rPr>
          <w:lang w:val="en-IE"/>
        </w:rPr>
        <w:t>he Committee on the Rights of Persons with Disabilities</w:t>
      </w:r>
      <w:r>
        <w:rPr>
          <w:lang w:val="en-IE"/>
        </w:rPr>
        <w:t xml:space="preserve"> – the UN treaty body monitoring the</w:t>
      </w:r>
      <w:r w:rsidR="005E1030">
        <w:rPr>
          <w:lang w:val="en-IE"/>
        </w:rPr>
        <w:t xml:space="preserve"> CRP</w:t>
      </w:r>
      <w:r w:rsidR="006D3024">
        <w:rPr>
          <w:lang w:val="en-IE"/>
        </w:rPr>
        <w:t>D</w:t>
      </w:r>
      <w:r>
        <w:rPr>
          <w:lang w:val="en-IE"/>
        </w:rPr>
        <w:t xml:space="preserve"> </w:t>
      </w:r>
      <w:r w:rsidR="009504A3">
        <w:rPr>
          <w:lang w:val="en-IE"/>
        </w:rPr>
        <w:t>implementation</w:t>
      </w:r>
      <w:r w:rsidR="005E1030">
        <w:rPr>
          <w:lang w:val="en-IE"/>
        </w:rPr>
        <w:t xml:space="preserve"> </w:t>
      </w:r>
      <w:r>
        <w:rPr>
          <w:lang w:val="en-IE"/>
        </w:rPr>
        <w:t>–</w:t>
      </w:r>
      <w:r w:rsidRPr="009F4D16">
        <w:rPr>
          <w:lang w:val="en-IE"/>
        </w:rPr>
        <w:t xml:space="preserve"> </w:t>
      </w:r>
      <w:r>
        <w:rPr>
          <w:lang w:val="en-IE"/>
        </w:rPr>
        <w:t>will</w:t>
      </w:r>
      <w:r w:rsidRPr="009F4D16">
        <w:rPr>
          <w:lang w:val="en-IE"/>
        </w:rPr>
        <w:t xml:space="preserve"> </w:t>
      </w:r>
      <w:r>
        <w:rPr>
          <w:lang w:val="en-IE"/>
        </w:rPr>
        <w:t xml:space="preserve">formally </w:t>
      </w:r>
      <w:r w:rsidRPr="009F4D16">
        <w:rPr>
          <w:lang w:val="en-IE"/>
        </w:rPr>
        <w:t xml:space="preserve">assess progress </w:t>
      </w:r>
      <w:r>
        <w:rPr>
          <w:lang w:val="en-IE"/>
        </w:rPr>
        <w:t xml:space="preserve">in implementing the convention </w:t>
      </w:r>
      <w:r w:rsidRPr="009F4D16">
        <w:rPr>
          <w:lang w:val="en-IE"/>
        </w:rPr>
        <w:t xml:space="preserve">in </w:t>
      </w:r>
      <w:r>
        <w:rPr>
          <w:lang w:val="en-IE"/>
        </w:rPr>
        <w:t>the</w:t>
      </w:r>
      <w:r w:rsidRPr="009F4D16">
        <w:rPr>
          <w:lang w:val="en-IE"/>
        </w:rPr>
        <w:t xml:space="preserve"> </w:t>
      </w:r>
      <w:r>
        <w:rPr>
          <w:lang w:val="en-IE"/>
        </w:rPr>
        <w:t>EU Member States</w:t>
      </w:r>
      <w:r w:rsidRPr="009F4D16">
        <w:rPr>
          <w:lang w:val="en-IE"/>
        </w:rPr>
        <w:t xml:space="preserve"> </w:t>
      </w:r>
      <w:r w:rsidR="00CC45AB">
        <w:rPr>
          <w:lang w:val="en-IE"/>
        </w:rPr>
        <w:t>that</w:t>
      </w:r>
      <w:r w:rsidR="00CC45AB" w:rsidRPr="009F4D16">
        <w:rPr>
          <w:lang w:val="en-IE"/>
        </w:rPr>
        <w:t xml:space="preserve"> </w:t>
      </w:r>
      <w:r w:rsidRPr="009F4D16">
        <w:rPr>
          <w:lang w:val="en-IE"/>
        </w:rPr>
        <w:t>have ratified the CRPD</w:t>
      </w:r>
      <w:r>
        <w:rPr>
          <w:lang w:val="en-IE"/>
        </w:rPr>
        <w:t xml:space="preserve">, </w:t>
      </w:r>
      <w:r w:rsidRPr="009F4D16">
        <w:rPr>
          <w:lang w:val="en-IE"/>
        </w:rPr>
        <w:t xml:space="preserve">and in the EU itself, </w:t>
      </w:r>
      <w:r>
        <w:rPr>
          <w:lang w:val="en-IE"/>
        </w:rPr>
        <w:t>through concluding observations to state parties.</w:t>
      </w:r>
    </w:p>
    <w:p w14:paraId="77322A89" w14:textId="703642B0" w:rsidR="00FB7D65" w:rsidRDefault="00464F8E" w:rsidP="00194F44">
      <w:pPr>
        <w:pStyle w:val="FRABodyText"/>
        <w:shd w:val="pct12" w:color="auto" w:fill="auto"/>
        <w:spacing w:before="120" w:after="120"/>
      </w:pPr>
      <w:r>
        <w:t xml:space="preserve">The findings of the analysis indicate, however, that legal and administrative barriers continue to prevent </w:t>
      </w:r>
      <w:r w:rsidR="001B32AE">
        <w:t xml:space="preserve">some </w:t>
      </w:r>
      <w:r>
        <w:t xml:space="preserve">persons with disabilities </w:t>
      </w:r>
      <w:r w:rsidR="001B32AE">
        <w:t xml:space="preserve">from </w:t>
      </w:r>
      <w:r>
        <w:t xml:space="preserve">participating in political life on an equal basis with others. These barriers </w:t>
      </w:r>
      <w:r w:rsidR="001B32AE">
        <w:t>concern</w:t>
      </w:r>
      <w:r w:rsidR="00FB7D65">
        <w:t>:</w:t>
      </w:r>
      <w:r>
        <w:t xml:space="preserve"> </w:t>
      </w:r>
    </w:p>
    <w:p w14:paraId="20D338AB" w14:textId="0118423D" w:rsidR="00FB7D65" w:rsidRDefault="00CC45AB" w:rsidP="00194F44">
      <w:pPr>
        <w:pStyle w:val="FRABodyText"/>
        <w:numPr>
          <w:ilvl w:val="0"/>
          <w:numId w:val="14"/>
        </w:numPr>
        <w:shd w:val="pct12" w:color="auto" w:fill="auto"/>
        <w:spacing w:before="120" w:after="120"/>
      </w:pPr>
      <w:r>
        <w:t>l</w:t>
      </w:r>
      <w:r w:rsidR="00B313B7">
        <w:t xml:space="preserve">egal </w:t>
      </w:r>
      <w:r w:rsidR="00464F8E">
        <w:t>restrictions on the right to vote of some persons with disabilities particularly those with psychosocial or intellectual impairments;</w:t>
      </w:r>
    </w:p>
    <w:p w14:paraId="163A7E22" w14:textId="5D737275" w:rsidR="00FB7D65" w:rsidRDefault="00CC45AB" w:rsidP="00194F44">
      <w:pPr>
        <w:pStyle w:val="FRABodyText"/>
        <w:numPr>
          <w:ilvl w:val="0"/>
          <w:numId w:val="14"/>
        </w:numPr>
        <w:shd w:val="pct12" w:color="auto" w:fill="auto"/>
        <w:spacing w:before="120" w:after="120"/>
      </w:pPr>
      <w:r>
        <w:t>i</w:t>
      </w:r>
      <w:r w:rsidR="00464F8E">
        <w:t xml:space="preserve">naccessible and cumbersome administrative processes which can </w:t>
      </w:r>
      <w:r w:rsidR="0026389D">
        <w:t xml:space="preserve">deprive </w:t>
      </w:r>
      <w:r w:rsidR="00464F8E">
        <w:t xml:space="preserve">persons with disabilities </w:t>
      </w:r>
      <w:r w:rsidR="0026389D">
        <w:t>of the right to vote</w:t>
      </w:r>
      <w:r w:rsidR="00464F8E">
        <w:t xml:space="preserve">; </w:t>
      </w:r>
      <w:r w:rsidR="0026389D">
        <w:t>in other words, such processes can discenfranchise persons with disabilities in practice;</w:t>
      </w:r>
    </w:p>
    <w:p w14:paraId="5937AEA2" w14:textId="30FAD107" w:rsidR="00464F8E" w:rsidRDefault="00CC45AB" w:rsidP="00194F44">
      <w:pPr>
        <w:pStyle w:val="FRABodyText"/>
        <w:numPr>
          <w:ilvl w:val="0"/>
          <w:numId w:val="14"/>
        </w:numPr>
        <w:shd w:val="pct12" w:color="auto" w:fill="auto"/>
        <w:spacing w:before="120" w:after="120"/>
      </w:pPr>
      <w:r>
        <w:t>d</w:t>
      </w:r>
      <w:r w:rsidR="005C4051">
        <w:t>ifficulties</w:t>
      </w:r>
      <w:r w:rsidR="00464F8E">
        <w:t xml:space="preserve"> accessing complaints mechanisms in cases where persons with disabilities face problems in exercising the right to vote.</w:t>
      </w:r>
    </w:p>
    <w:p w14:paraId="5937AEA3" w14:textId="280C1424" w:rsidR="00464F8E" w:rsidRDefault="00464F8E" w:rsidP="006D0865">
      <w:pPr>
        <w:pStyle w:val="FRABodyText"/>
        <w:spacing w:before="120" w:after="120"/>
        <w:rPr>
          <w:lang w:val="en-IE"/>
        </w:rPr>
      </w:pPr>
      <w:r>
        <w:t>In terms of legal barriers, the main issue concerns the denial to persons deprived of legal capacity</w:t>
      </w:r>
      <w:r w:rsidR="00FC15E5">
        <w:t xml:space="preserve"> </w:t>
      </w:r>
      <w:r>
        <w:t xml:space="preserve">of the right to vote </w:t>
      </w:r>
      <w:r w:rsidR="00533BF2">
        <w:t>or to stand as a candidate</w:t>
      </w:r>
      <w:r>
        <w:t xml:space="preserve">. </w:t>
      </w:r>
      <w:r w:rsidR="0026389D">
        <w:t>I</w:t>
      </w:r>
      <w:r>
        <w:t xml:space="preserve">n the majority of EU Member States, the decision to deprive a person of their legal capacity automatically results in them being barred from voting. Where reforms to </w:t>
      </w:r>
      <w:r w:rsidR="0026389D">
        <w:t xml:space="preserve">grant the power of voting to </w:t>
      </w:r>
      <w:r>
        <w:t xml:space="preserve">persons with disabilities have been enacted, they sometimes do not apply to all kinds of elections, </w:t>
      </w:r>
      <w:r w:rsidR="0026389D">
        <w:t xml:space="preserve">since </w:t>
      </w:r>
      <w:r>
        <w:t>in many EU</w:t>
      </w:r>
      <w:r w:rsidR="0026389D">
        <w:t> </w:t>
      </w:r>
      <w:r>
        <w:t xml:space="preserve">Member States, different laws apply to different types of elections. </w:t>
      </w:r>
      <w:r w:rsidR="00194F44" w:rsidRPr="00194F44">
        <w:rPr>
          <w:lang w:val="en-IE"/>
        </w:rPr>
        <w:t>E</w:t>
      </w:r>
      <w:r w:rsidRPr="00194F44">
        <w:rPr>
          <w:lang w:val="en-IE"/>
        </w:rPr>
        <w:t>xisting concluding observations</w:t>
      </w:r>
      <w:r w:rsidR="008F7B05" w:rsidRPr="00194F44">
        <w:rPr>
          <w:rStyle w:val="FootnoteReference"/>
          <w:lang w:val="en-IE"/>
        </w:rPr>
        <w:footnoteReference w:id="4"/>
      </w:r>
      <w:r w:rsidR="008F7B05" w:rsidRPr="00194F44">
        <w:rPr>
          <w:lang w:val="en-IE"/>
        </w:rPr>
        <w:t xml:space="preserve"> </w:t>
      </w:r>
      <w:r w:rsidR="00194F44" w:rsidRPr="00194F44">
        <w:rPr>
          <w:lang w:val="en-IE"/>
        </w:rPr>
        <w:t>and</w:t>
      </w:r>
      <w:r w:rsidRPr="00194F44">
        <w:rPr>
          <w:lang w:val="en-IE"/>
        </w:rPr>
        <w:t xml:space="preserve"> the draft general comment on Article</w:t>
      </w:r>
      <w:r w:rsidR="0026389D" w:rsidRPr="00194F44">
        <w:rPr>
          <w:lang w:val="en-IE"/>
        </w:rPr>
        <w:t> </w:t>
      </w:r>
      <w:r w:rsidRPr="00194F44">
        <w:rPr>
          <w:lang w:val="en-IE"/>
        </w:rPr>
        <w:t>12 of the CRPD</w:t>
      </w:r>
      <w:r w:rsidR="008F7B05" w:rsidRPr="00194F44">
        <w:rPr>
          <w:rStyle w:val="FootnoteReference"/>
          <w:lang w:val="en-IE"/>
        </w:rPr>
        <w:footnoteReference w:id="5"/>
      </w:r>
      <w:r w:rsidRPr="00194F44">
        <w:rPr>
          <w:lang w:val="en-IE"/>
        </w:rPr>
        <w:t xml:space="preserve"> make clear the CRPD committee’s view that national legislation depriving people of the right to vote based on a disability, or a proxy such as assessed ‘capacity’, should be </w:t>
      </w:r>
      <w:r w:rsidR="00B313B7" w:rsidRPr="00194F44">
        <w:rPr>
          <w:lang w:val="en-IE"/>
        </w:rPr>
        <w:t>reformed</w:t>
      </w:r>
      <w:r w:rsidRPr="00194F44">
        <w:rPr>
          <w:lang w:val="en-IE"/>
        </w:rPr>
        <w:t>.</w:t>
      </w:r>
    </w:p>
    <w:p w14:paraId="3FC98E71" w14:textId="726D62D8" w:rsidR="00BB33A1" w:rsidRDefault="00BB33A1" w:rsidP="0027500D">
      <w:pPr>
        <w:pStyle w:val="FRAFigureTitle"/>
        <w:ind w:left="993" w:hanging="993"/>
        <w:jc w:val="left"/>
      </w:pPr>
      <w:r>
        <w:t>Figure 1: Can persons deprived of their legal capacity vote</w:t>
      </w:r>
      <w:r w:rsidR="004F0983">
        <w:t>, by EU Member State</w:t>
      </w:r>
      <w:r>
        <w:t>?</w:t>
      </w:r>
    </w:p>
    <w:p w14:paraId="696FB567" w14:textId="6975FA64" w:rsidR="00BB33A1" w:rsidRDefault="00A37858" w:rsidP="006D0865">
      <w:pPr>
        <w:pStyle w:val="FRABodyText"/>
        <w:spacing w:before="120" w:after="120"/>
        <w:rPr>
          <w:lang w:val="en-IE"/>
        </w:rPr>
      </w:pPr>
      <w:r>
        <w:rPr>
          <w:noProof/>
          <w:lang w:val="en-US" w:bidi="ar-SA"/>
        </w:rPr>
        <w:drawing>
          <wp:inline distT="0" distB="0" distL="0" distR="0" wp14:anchorId="7F7E4236" wp14:editId="0117FBA1">
            <wp:extent cx="4572000" cy="2505075"/>
            <wp:effectExtent l="0" t="0" r="19050" b="952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ED55C7E" w14:textId="6CED4748" w:rsidR="00BB33A1" w:rsidRDefault="00BB33A1" w:rsidP="00BB33A1">
      <w:pPr>
        <w:pStyle w:val="FRAFigureNote"/>
      </w:pPr>
      <w:r>
        <w:t>Source: FRA, 2014</w:t>
      </w:r>
      <w:r w:rsidR="0029114E">
        <w:t>, Waddington 2014</w:t>
      </w:r>
    </w:p>
    <w:p w14:paraId="5937AEA4" w14:textId="1EA1468B" w:rsidR="00464F8E" w:rsidRPr="00FF2535" w:rsidRDefault="00464F8E" w:rsidP="006D0865">
      <w:pPr>
        <w:pStyle w:val="FRABodyText"/>
        <w:spacing w:before="120" w:after="120"/>
      </w:pPr>
      <w:r>
        <w:rPr>
          <w:lang w:val="en-IE"/>
        </w:rPr>
        <w:t xml:space="preserve">Inaccessible administrative processes linked to elections </w:t>
      </w:r>
      <w:r w:rsidR="00FF07DF">
        <w:rPr>
          <w:lang w:val="en-IE"/>
        </w:rPr>
        <w:t xml:space="preserve">can </w:t>
      </w:r>
      <w:r>
        <w:rPr>
          <w:lang w:val="en-IE"/>
        </w:rPr>
        <w:t xml:space="preserve">also hinder persons with disabilities’ participation. </w:t>
      </w:r>
      <w:r w:rsidR="00BB7C49">
        <w:t xml:space="preserve">In some EU Member States, the </w:t>
      </w:r>
      <w:r w:rsidR="006D7BA7">
        <w:t>procedures</w:t>
      </w:r>
      <w:r>
        <w:t xml:space="preserve"> in place for persons with disabilities to request </w:t>
      </w:r>
      <w:r>
        <w:lastRenderedPageBreak/>
        <w:t>support or assistance to vote</w:t>
      </w:r>
      <w:r w:rsidRPr="00FF2535">
        <w:t xml:space="preserve"> </w:t>
      </w:r>
      <w:r w:rsidR="006D7BA7">
        <w:t xml:space="preserve">are </w:t>
      </w:r>
      <w:r>
        <w:t xml:space="preserve">not accessible. Similarly, persons living in long-term institutions can be </w:t>
      </w:r>
      <w:r w:rsidR="006C7E4F">
        <w:t xml:space="preserve">prevented from voting </w:t>
      </w:r>
      <w:r>
        <w:t>by a lack of mechanisms to enable them to vote</w:t>
      </w:r>
      <w:r w:rsidRPr="00FF2535">
        <w:t>.</w:t>
      </w:r>
    </w:p>
    <w:p w14:paraId="5937AEA5" w14:textId="54497F16" w:rsidR="00464F8E" w:rsidRDefault="00464F8E" w:rsidP="006D0865">
      <w:pPr>
        <w:pStyle w:val="FRABodyText"/>
        <w:spacing w:before="120" w:after="120"/>
      </w:pPr>
      <w:r>
        <w:t xml:space="preserve">The corollary of the right to vote is the opportunity to make a complaint when the right is not realised. The analysis indicates that people deprived of legal capacity are not </w:t>
      </w:r>
      <w:r w:rsidR="00F51F98">
        <w:t xml:space="preserve">legally </w:t>
      </w:r>
      <w:r>
        <w:t>able to bring complaints related to political participation in a majority of EU</w:t>
      </w:r>
      <w:r w:rsidR="00D00A3A">
        <w:t> </w:t>
      </w:r>
      <w:r>
        <w:t>Member States</w:t>
      </w:r>
      <w:r w:rsidRPr="00FF2535">
        <w:t xml:space="preserve">. </w:t>
      </w:r>
      <w:r>
        <w:t xml:space="preserve">Moreover, instances of </w:t>
      </w:r>
      <w:r w:rsidRPr="00FF2535">
        <w:t xml:space="preserve">judicial </w:t>
      </w:r>
      <w:r>
        <w:t xml:space="preserve">and non-judicial complaints mechanisms </w:t>
      </w:r>
      <w:r w:rsidR="00995332">
        <w:t>deciding</w:t>
      </w:r>
      <w:r w:rsidR="00995332" w:rsidRPr="00FF2535">
        <w:t xml:space="preserve"> </w:t>
      </w:r>
      <w:r w:rsidRPr="00FF2535">
        <w:t xml:space="preserve">cases </w:t>
      </w:r>
      <w:r>
        <w:t xml:space="preserve">related to the political participation of persons with disabilities </w:t>
      </w:r>
      <w:r w:rsidR="0069010E">
        <w:t xml:space="preserve">could be </w:t>
      </w:r>
      <w:r>
        <w:t xml:space="preserve">identified in only </w:t>
      </w:r>
      <w:r w:rsidR="00D00A3A">
        <w:t xml:space="preserve">about </w:t>
      </w:r>
      <w:r>
        <w:t>a quarter of EU</w:t>
      </w:r>
      <w:r w:rsidR="00D00A3A">
        <w:t> </w:t>
      </w:r>
      <w:r>
        <w:t>Member States</w:t>
      </w:r>
      <w:r w:rsidRPr="00FF2535">
        <w:t xml:space="preserve">. </w:t>
      </w:r>
      <w:r>
        <w:t xml:space="preserve">As demonstrated </w:t>
      </w:r>
      <w:r w:rsidR="0069010E">
        <w:t xml:space="preserve">by </w:t>
      </w:r>
      <w:r>
        <w:t>FRA research</w:t>
      </w:r>
      <w:r w:rsidR="0069010E" w:rsidRPr="0069010E">
        <w:t xml:space="preserve"> </w:t>
      </w:r>
      <w:r w:rsidR="0069010E">
        <w:t>in other areas</w:t>
      </w:r>
      <w:r>
        <w:t>, one factor behind the low number of cases reaching complaints mechanisms is likely to be the absence of accessible information about how and where to complain</w:t>
      </w:r>
      <w:r w:rsidR="00243695">
        <w:t>.</w:t>
      </w:r>
      <w:r>
        <w:rPr>
          <w:rStyle w:val="FootnoteReference"/>
        </w:rPr>
        <w:footnoteReference w:id="6"/>
      </w:r>
      <w:r w:rsidRPr="00FF2535">
        <w:t xml:space="preserve"> Individual cases have</w:t>
      </w:r>
      <w:r>
        <w:t>, however,</w:t>
      </w:r>
      <w:r w:rsidRPr="00FF2535">
        <w:t xml:space="preserve"> reached the European Court of Human Rights</w:t>
      </w:r>
      <w:r w:rsidR="007304CB">
        <w:t xml:space="preserve"> (ECtHR) </w:t>
      </w:r>
      <w:r w:rsidRPr="00FF2535">
        <w:t>and</w:t>
      </w:r>
      <w:r>
        <w:t>, under t</w:t>
      </w:r>
      <w:r>
        <w:rPr>
          <w:lang w:val="en-IE"/>
        </w:rPr>
        <w:t xml:space="preserve">he Optional Protocol to the CRPD </w:t>
      </w:r>
      <w:r w:rsidR="00995332">
        <w:rPr>
          <w:lang w:val="en-IE"/>
        </w:rPr>
        <w:t xml:space="preserve">which allows for individual communications and </w:t>
      </w:r>
      <w:r>
        <w:rPr>
          <w:lang w:val="en-IE"/>
        </w:rPr>
        <w:t>which 21</w:t>
      </w:r>
      <w:r w:rsidR="007304CB">
        <w:rPr>
          <w:lang w:val="en-IE"/>
        </w:rPr>
        <w:t> </w:t>
      </w:r>
      <w:r>
        <w:rPr>
          <w:lang w:val="en-IE"/>
        </w:rPr>
        <w:t>EU Member States have currently ratified</w:t>
      </w:r>
      <w:r w:rsidR="00995332">
        <w:rPr>
          <w:lang w:val="en-IE"/>
        </w:rPr>
        <w:t xml:space="preserve">, </w:t>
      </w:r>
      <w:r w:rsidR="00995332" w:rsidRPr="00FF2535">
        <w:t xml:space="preserve">the </w:t>
      </w:r>
      <w:r w:rsidR="00995332">
        <w:t>CRPD</w:t>
      </w:r>
      <w:r w:rsidR="00995332" w:rsidRPr="00FF2535">
        <w:t xml:space="preserve"> Committee</w:t>
      </w:r>
      <w:r w:rsidRPr="00FF2535">
        <w:t>.</w:t>
      </w:r>
    </w:p>
    <w:p w14:paraId="5937AEA6" w14:textId="229D5499" w:rsidR="00464F8E" w:rsidRDefault="000B3302" w:rsidP="0027500D">
      <w:pPr>
        <w:pStyle w:val="FRATextboxTitle"/>
        <w:pBdr>
          <w:top w:val="none" w:sz="0" w:space="0" w:color="auto"/>
          <w:left w:val="none" w:sz="0" w:space="0" w:color="auto"/>
          <w:bottom w:val="none" w:sz="0" w:space="0" w:color="auto"/>
          <w:right w:val="none" w:sz="0" w:space="0" w:color="auto"/>
        </w:pBdr>
        <w:spacing w:before="120" w:after="120"/>
        <w:jc w:val="left"/>
      </w:pPr>
      <w:r>
        <w:t>O</w:t>
      </w:r>
      <w:r w:rsidR="00464F8E">
        <w:t>pinions</w:t>
      </w:r>
    </w:p>
    <w:p w14:paraId="5937AEA7" w14:textId="38CE8C87" w:rsidR="00464F8E" w:rsidRPr="008067B1" w:rsidRDefault="00464F8E" w:rsidP="0027500D">
      <w:pPr>
        <w:pStyle w:val="FRATextbox"/>
        <w:pBdr>
          <w:top w:val="none" w:sz="0" w:space="0" w:color="auto"/>
          <w:left w:val="none" w:sz="0" w:space="0" w:color="auto"/>
          <w:bottom w:val="none" w:sz="0" w:space="0" w:color="auto"/>
          <w:right w:val="none" w:sz="0" w:space="0" w:color="auto"/>
        </w:pBdr>
        <w:spacing w:before="120" w:after="120"/>
        <w:rPr>
          <w:i/>
          <w:lang w:val="en-IE" w:bidi="ar-SA"/>
        </w:rPr>
      </w:pPr>
      <w:r>
        <w:rPr>
          <w:i/>
          <w:lang w:val="en-IE" w:bidi="ar-SA"/>
        </w:rPr>
        <w:t xml:space="preserve">The EU has </w:t>
      </w:r>
      <w:r w:rsidR="00D16FC0">
        <w:rPr>
          <w:i/>
          <w:lang w:val="en-IE" w:bidi="ar-SA"/>
        </w:rPr>
        <w:t>concluded</w:t>
      </w:r>
      <w:r>
        <w:rPr>
          <w:i/>
          <w:lang w:val="en-IE" w:bidi="ar-SA"/>
        </w:rPr>
        <w:t xml:space="preserve"> the CRPD</w:t>
      </w:r>
      <w:r w:rsidR="00215DBC">
        <w:rPr>
          <w:i/>
          <w:lang w:val="en-IE" w:bidi="ar-SA"/>
        </w:rPr>
        <w:t>,</w:t>
      </w:r>
      <w:r>
        <w:rPr>
          <w:i/>
          <w:lang w:val="en-IE" w:bidi="ar-SA"/>
        </w:rPr>
        <w:t xml:space="preserve"> and </w:t>
      </w:r>
      <w:r w:rsidR="00613991">
        <w:rPr>
          <w:i/>
          <w:lang w:val="en-IE" w:bidi="ar-SA"/>
        </w:rPr>
        <w:t xml:space="preserve">its law and policies </w:t>
      </w:r>
      <w:r>
        <w:rPr>
          <w:i/>
          <w:lang w:val="en-IE" w:bidi="ar-SA"/>
        </w:rPr>
        <w:t xml:space="preserve">must </w:t>
      </w:r>
      <w:r w:rsidR="00613991">
        <w:rPr>
          <w:i/>
          <w:lang w:val="en-IE" w:bidi="ar-SA"/>
        </w:rPr>
        <w:t>comply</w:t>
      </w:r>
      <w:r>
        <w:rPr>
          <w:i/>
          <w:lang w:val="en-IE" w:bidi="ar-SA"/>
        </w:rPr>
        <w:t xml:space="preserve"> with the </w:t>
      </w:r>
      <w:r w:rsidR="00215DBC">
        <w:rPr>
          <w:i/>
          <w:lang w:val="en-IE" w:bidi="ar-SA"/>
        </w:rPr>
        <w:t xml:space="preserve">EU </w:t>
      </w:r>
      <w:r>
        <w:rPr>
          <w:i/>
          <w:lang w:val="en-IE" w:bidi="ar-SA"/>
        </w:rPr>
        <w:t xml:space="preserve">Charter of Fundamental Rights. The European Commission regularly reports on the implementation of Council Directives </w:t>
      </w:r>
      <w:r w:rsidRPr="008067B1">
        <w:rPr>
          <w:i/>
          <w:szCs w:val="18"/>
        </w:rPr>
        <w:t>93/109/EC</w:t>
      </w:r>
      <w:r w:rsidRPr="003C55E6">
        <w:rPr>
          <w:i/>
          <w:lang w:val="en-IE" w:bidi="ar-SA"/>
        </w:rPr>
        <w:t xml:space="preserve"> and </w:t>
      </w:r>
      <w:r w:rsidRPr="008067B1">
        <w:rPr>
          <w:i/>
          <w:szCs w:val="18"/>
        </w:rPr>
        <w:t>94/80/</w:t>
      </w:r>
      <w:r w:rsidRPr="008067B1">
        <w:rPr>
          <w:i/>
        </w:rPr>
        <w:t>EC</w:t>
      </w:r>
      <w:r>
        <w:rPr>
          <w:i/>
        </w:rPr>
        <w:t xml:space="preserve"> </w:t>
      </w:r>
      <w:r>
        <w:rPr>
          <w:i/>
          <w:lang w:val="en-IE" w:bidi="ar-SA"/>
        </w:rPr>
        <w:t>which set out detailed arrangements for the exercise of the right to vote and stand as a candidate in elections to the European Parliament and municipal elections</w:t>
      </w:r>
      <w:r w:rsidRPr="003C55E6">
        <w:rPr>
          <w:i/>
          <w:lang w:bidi="ar-SA"/>
        </w:rPr>
        <w:t>.</w:t>
      </w:r>
      <w:r w:rsidR="00E80CDD">
        <w:rPr>
          <w:i/>
          <w:lang w:bidi="ar-SA"/>
        </w:rPr>
        <w:t xml:space="preserve"> </w:t>
      </w:r>
      <w:r>
        <w:rPr>
          <w:i/>
          <w:lang w:val="en-IE" w:bidi="ar-SA"/>
        </w:rPr>
        <w:t>F</w:t>
      </w:r>
      <w:r w:rsidRPr="008067B1">
        <w:rPr>
          <w:i/>
          <w:lang w:val="en-IE" w:bidi="ar-SA"/>
        </w:rPr>
        <w:t xml:space="preserve">uture </w:t>
      </w:r>
      <w:r>
        <w:rPr>
          <w:i/>
          <w:lang w:val="en-IE" w:bidi="ar-SA"/>
        </w:rPr>
        <w:t xml:space="preserve">reports on the </w:t>
      </w:r>
      <w:r w:rsidRPr="008067B1">
        <w:rPr>
          <w:i/>
          <w:lang w:val="en-IE" w:bidi="ar-SA"/>
        </w:rPr>
        <w:t xml:space="preserve">implementation of both directives should include an assessment of </w:t>
      </w:r>
      <w:r>
        <w:rPr>
          <w:i/>
          <w:lang w:val="en-IE" w:bidi="ar-SA"/>
        </w:rPr>
        <w:t>whether they are being interpreted in a manner consistent</w:t>
      </w:r>
      <w:r w:rsidRPr="00A01CBA">
        <w:rPr>
          <w:i/>
          <w:lang w:val="en-IE"/>
        </w:rPr>
        <w:t xml:space="preserve"> with </w:t>
      </w:r>
      <w:r w:rsidRPr="008067B1">
        <w:rPr>
          <w:i/>
          <w:lang w:val="en-IE" w:bidi="ar-SA"/>
        </w:rPr>
        <w:t>the right to political participation enshrined in Article</w:t>
      </w:r>
      <w:r w:rsidR="00215DBC">
        <w:rPr>
          <w:i/>
          <w:lang w:val="en-IE" w:bidi="ar-SA"/>
        </w:rPr>
        <w:t> </w:t>
      </w:r>
      <w:r w:rsidRPr="008067B1">
        <w:rPr>
          <w:i/>
          <w:lang w:val="en-IE" w:bidi="ar-SA"/>
        </w:rPr>
        <w:t>29</w:t>
      </w:r>
      <w:r>
        <w:rPr>
          <w:i/>
          <w:lang w:val="en-IE" w:bidi="ar-SA"/>
        </w:rPr>
        <w:t xml:space="preserve"> of the</w:t>
      </w:r>
      <w:r w:rsidR="00215DBC">
        <w:rPr>
          <w:i/>
          <w:lang w:val="en-IE" w:bidi="ar-SA"/>
        </w:rPr>
        <w:t> </w:t>
      </w:r>
      <w:r>
        <w:rPr>
          <w:i/>
          <w:lang w:val="en-IE" w:bidi="ar-SA"/>
        </w:rPr>
        <w:t>CRPD</w:t>
      </w:r>
      <w:r w:rsidRPr="008067B1">
        <w:rPr>
          <w:i/>
          <w:lang w:val="en-IE" w:bidi="ar-SA"/>
        </w:rPr>
        <w:t xml:space="preserve">. </w:t>
      </w:r>
    </w:p>
    <w:p w14:paraId="5937AEA8" w14:textId="1DBBD0A3" w:rsidR="00464F8E" w:rsidRDefault="00464F8E" w:rsidP="0027500D">
      <w:pPr>
        <w:pStyle w:val="FRATextbox"/>
        <w:pBdr>
          <w:top w:val="none" w:sz="0" w:space="0" w:color="auto"/>
          <w:left w:val="none" w:sz="0" w:space="0" w:color="auto"/>
          <w:bottom w:val="none" w:sz="0" w:space="0" w:color="auto"/>
          <w:right w:val="none" w:sz="0" w:space="0" w:color="auto"/>
        </w:pBdr>
        <w:spacing w:before="120" w:after="120"/>
        <w:rPr>
          <w:i/>
          <w:lang w:val="en-IE" w:bidi="ar-SA"/>
        </w:rPr>
      </w:pPr>
      <w:r>
        <w:rPr>
          <w:i/>
          <w:lang w:val="en-IE" w:bidi="ar-SA"/>
        </w:rPr>
        <w:t>As shown in FRA</w:t>
      </w:r>
      <w:r w:rsidR="00E470FE">
        <w:rPr>
          <w:i/>
          <w:lang w:val="en-IE" w:bidi="ar-SA"/>
        </w:rPr>
        <w:t>’s</w:t>
      </w:r>
      <w:r>
        <w:rPr>
          <w:i/>
          <w:lang w:val="en-IE" w:bidi="ar-SA"/>
        </w:rPr>
        <w:t xml:space="preserve"> Annual Report </w:t>
      </w:r>
      <w:r w:rsidR="00542FDB">
        <w:rPr>
          <w:i/>
          <w:lang w:val="en-IE" w:bidi="ar-SA"/>
        </w:rPr>
        <w:t xml:space="preserve">covering </w:t>
      </w:r>
      <w:r>
        <w:rPr>
          <w:i/>
          <w:lang w:val="en-IE" w:bidi="ar-SA"/>
        </w:rPr>
        <w:t>2013</w:t>
      </w:r>
      <w:r w:rsidR="00D75777">
        <w:rPr>
          <w:i/>
          <w:lang w:val="en-IE" w:bidi="ar-SA"/>
        </w:rPr>
        <w:t xml:space="preserve"> and the Disability High Level Group reports since 2010</w:t>
      </w:r>
      <w:r>
        <w:rPr>
          <w:i/>
          <w:lang w:val="en-IE" w:bidi="ar-SA"/>
        </w:rPr>
        <w:t xml:space="preserve">, many </w:t>
      </w:r>
      <w:r w:rsidR="00215DBC">
        <w:rPr>
          <w:i/>
          <w:lang w:val="en-IE" w:bidi="ar-SA"/>
        </w:rPr>
        <w:t>EU </w:t>
      </w:r>
      <w:r>
        <w:rPr>
          <w:i/>
          <w:lang w:val="en-IE" w:bidi="ar-SA"/>
        </w:rPr>
        <w:t>Member States have in place or are developing national action plans or strategies in the area of disability</w:t>
      </w:r>
      <w:r w:rsidR="00F95B58">
        <w:rPr>
          <w:i/>
          <w:lang w:val="en-IE" w:bidi="ar-SA"/>
        </w:rPr>
        <w:t xml:space="preserve"> rights</w:t>
      </w:r>
      <w:r>
        <w:rPr>
          <w:i/>
          <w:lang w:val="en-IE" w:bidi="ar-SA"/>
        </w:rPr>
        <w:t>. These polic</w:t>
      </w:r>
      <w:r w:rsidR="00F95B58">
        <w:rPr>
          <w:i/>
          <w:lang w:val="en-IE" w:bidi="ar-SA"/>
        </w:rPr>
        <w:t>ies</w:t>
      </w:r>
      <w:r>
        <w:rPr>
          <w:i/>
          <w:lang w:val="en-IE" w:bidi="ar-SA"/>
        </w:rPr>
        <w:t xml:space="preserve"> should include </w:t>
      </w:r>
      <w:r w:rsidR="00E470FE">
        <w:rPr>
          <w:i/>
          <w:lang w:val="en-IE" w:bidi="ar-SA"/>
        </w:rPr>
        <w:t xml:space="preserve">specific </w:t>
      </w:r>
      <w:r>
        <w:rPr>
          <w:i/>
          <w:lang w:val="en-IE" w:bidi="ar-SA"/>
        </w:rPr>
        <w:t>measures to promote the political participation of persons with disabilities, along with concrete targets and milestones against which progress in implementing the relevant CRPD provisions can be measured.</w:t>
      </w:r>
    </w:p>
    <w:p w14:paraId="5752556D" w14:textId="6A17204E" w:rsidR="00995470" w:rsidRPr="00B464D0" w:rsidRDefault="00995470" w:rsidP="0027500D">
      <w:pPr>
        <w:pStyle w:val="FRATextbox"/>
        <w:pBdr>
          <w:top w:val="none" w:sz="0" w:space="0" w:color="auto"/>
          <w:left w:val="none" w:sz="0" w:space="0" w:color="auto"/>
          <w:bottom w:val="none" w:sz="0" w:space="0" w:color="auto"/>
          <w:right w:val="none" w:sz="0" w:space="0" w:color="auto"/>
        </w:pBdr>
        <w:spacing w:before="120" w:after="120"/>
        <w:rPr>
          <w:i/>
          <w:lang w:bidi="ar-SA"/>
        </w:rPr>
      </w:pPr>
      <w:r>
        <w:rPr>
          <w:b/>
          <w:i/>
          <w:lang w:val="en-IE" w:bidi="ar-SA"/>
        </w:rPr>
        <w:t>Delinking the right to vote from legal capacity</w:t>
      </w:r>
    </w:p>
    <w:p w14:paraId="5937AEA9" w14:textId="4A6DEECE" w:rsidR="00464F8E" w:rsidRPr="008067B1" w:rsidRDefault="00464F8E" w:rsidP="0027500D">
      <w:pPr>
        <w:pStyle w:val="FRATextbox"/>
        <w:pBdr>
          <w:top w:val="none" w:sz="0" w:space="0" w:color="auto"/>
          <w:left w:val="none" w:sz="0" w:space="0" w:color="auto"/>
          <w:bottom w:val="none" w:sz="0" w:space="0" w:color="auto"/>
          <w:right w:val="none" w:sz="0" w:space="0" w:color="auto"/>
        </w:pBdr>
        <w:spacing w:before="120" w:after="120"/>
        <w:rPr>
          <w:i/>
        </w:rPr>
      </w:pPr>
      <w:r w:rsidRPr="008067B1">
        <w:rPr>
          <w:i/>
        </w:rPr>
        <w:t>In many EU</w:t>
      </w:r>
      <w:r w:rsidR="00215DBC">
        <w:rPr>
          <w:i/>
        </w:rPr>
        <w:t> </w:t>
      </w:r>
      <w:r w:rsidRPr="008067B1">
        <w:rPr>
          <w:i/>
        </w:rPr>
        <w:t>Member States, the right to vote continues to be linked to legal capacity</w:t>
      </w:r>
      <w:r>
        <w:rPr>
          <w:i/>
        </w:rPr>
        <w:t xml:space="preserve">, so that persons deprived of their legal capacity cannot vote in European Parliament or municipal elections. </w:t>
      </w:r>
      <w:r w:rsidRPr="008067B1">
        <w:rPr>
          <w:i/>
          <w:lang w:val="en-IE"/>
        </w:rPr>
        <w:t xml:space="preserve">FRA’s 2010 report </w:t>
      </w:r>
      <w:r w:rsidR="00215DBC">
        <w:rPr>
          <w:i/>
          <w:lang w:val="en-IE"/>
        </w:rPr>
        <w:t xml:space="preserve">on </w:t>
      </w:r>
      <w:r w:rsidRPr="008067B1">
        <w:rPr>
          <w:lang w:val="en-IE"/>
        </w:rPr>
        <w:t>The right to political participation of persons with mental health problems and persons with intellectual disabilities</w:t>
      </w:r>
      <w:r>
        <w:rPr>
          <w:lang w:val="en-IE"/>
        </w:rPr>
        <w:t>,</w:t>
      </w:r>
      <w:r>
        <w:rPr>
          <w:i/>
          <w:lang w:val="en-IE"/>
        </w:rPr>
        <w:t xml:space="preserve"> updated in subsequent FRA Annual Reports, found that some Member States will need to reform their legislation to meet the </w:t>
      </w:r>
      <w:r w:rsidR="00215DBC">
        <w:rPr>
          <w:i/>
          <w:lang w:val="en-IE"/>
        </w:rPr>
        <w:t xml:space="preserve">CRPD </w:t>
      </w:r>
      <w:r>
        <w:rPr>
          <w:i/>
          <w:lang w:val="en-IE"/>
        </w:rPr>
        <w:t>standards</w:t>
      </w:r>
      <w:r w:rsidRPr="008067B1">
        <w:rPr>
          <w:i/>
          <w:lang w:val="en-IE"/>
        </w:rPr>
        <w:t>.</w:t>
      </w:r>
      <w:r w:rsidRPr="009175E9">
        <w:rPr>
          <w:i/>
        </w:rPr>
        <w:t xml:space="preserve"> </w:t>
      </w:r>
      <w:r w:rsidRPr="008067B1">
        <w:rPr>
          <w:i/>
        </w:rPr>
        <w:t>In line with the concluding observations of the CRPD</w:t>
      </w:r>
      <w:r>
        <w:rPr>
          <w:i/>
        </w:rPr>
        <w:t xml:space="preserve"> Committee</w:t>
      </w:r>
      <w:r w:rsidRPr="008067B1">
        <w:rPr>
          <w:i/>
        </w:rPr>
        <w:t>, EU</w:t>
      </w:r>
      <w:r w:rsidR="00215DBC">
        <w:rPr>
          <w:i/>
        </w:rPr>
        <w:t> </w:t>
      </w:r>
      <w:r w:rsidRPr="008067B1">
        <w:rPr>
          <w:i/>
        </w:rPr>
        <w:t xml:space="preserve">Member States should amend </w:t>
      </w:r>
      <w:r w:rsidRPr="008067B1">
        <w:rPr>
          <w:i/>
          <w:lang w:val="en-IE"/>
        </w:rPr>
        <w:t xml:space="preserve">national legislation depriving people of the right to vote based on a disability, or a proxy such as assessed ‘capacity’. </w:t>
      </w:r>
    </w:p>
    <w:p w14:paraId="5937AEAA" w14:textId="4E0FD7D1" w:rsidR="00464F8E" w:rsidRDefault="00464F8E" w:rsidP="0027500D">
      <w:pPr>
        <w:pStyle w:val="FRATextbox"/>
        <w:pBdr>
          <w:top w:val="none" w:sz="0" w:space="0" w:color="auto"/>
          <w:left w:val="none" w:sz="0" w:space="0" w:color="auto"/>
          <w:bottom w:val="none" w:sz="0" w:space="0" w:color="auto"/>
          <w:right w:val="none" w:sz="0" w:space="0" w:color="auto"/>
        </w:pBdr>
        <w:spacing w:before="120" w:after="120"/>
        <w:rPr>
          <w:i/>
        </w:rPr>
      </w:pPr>
      <w:r>
        <w:rPr>
          <w:i/>
        </w:rPr>
        <w:t xml:space="preserve">As stated in the European Disability Strategy 2010–2020, the European Commission </w:t>
      </w:r>
      <w:r w:rsidR="00433275">
        <w:rPr>
          <w:i/>
        </w:rPr>
        <w:t xml:space="preserve">is </w:t>
      </w:r>
      <w:r>
        <w:rPr>
          <w:i/>
        </w:rPr>
        <w:t>promot</w:t>
      </w:r>
      <w:r w:rsidR="00433275">
        <w:rPr>
          <w:i/>
        </w:rPr>
        <w:t>ing</w:t>
      </w:r>
      <w:r>
        <w:rPr>
          <w:i/>
        </w:rPr>
        <w:t xml:space="preserve"> the conformity of Member State legislation on legal capacity with the CRPD</w:t>
      </w:r>
      <w:r w:rsidR="00542FDB">
        <w:rPr>
          <w:i/>
        </w:rPr>
        <w:t xml:space="preserve">. This could </w:t>
      </w:r>
      <w:r w:rsidR="00513F2E">
        <w:rPr>
          <w:i/>
        </w:rPr>
        <w:t>continue to</w:t>
      </w:r>
      <w:r w:rsidR="00542FDB">
        <w:rPr>
          <w:i/>
        </w:rPr>
        <w:t xml:space="preserve"> take place through</w:t>
      </w:r>
      <w:r w:rsidR="00AB6AD3">
        <w:rPr>
          <w:i/>
        </w:rPr>
        <w:t xml:space="preserve"> the</w:t>
      </w:r>
      <w:r>
        <w:rPr>
          <w:i/>
        </w:rPr>
        <w:t xml:space="preserve"> </w:t>
      </w:r>
      <w:r w:rsidR="00AB6AD3">
        <w:rPr>
          <w:i/>
        </w:rPr>
        <w:t>High Level Group of Experts on disability where EU</w:t>
      </w:r>
      <w:r w:rsidR="00215DBC">
        <w:rPr>
          <w:i/>
        </w:rPr>
        <w:t> </w:t>
      </w:r>
      <w:r w:rsidR="00AB6AD3">
        <w:rPr>
          <w:i/>
        </w:rPr>
        <w:t xml:space="preserve">Member State representatives </w:t>
      </w:r>
      <w:r w:rsidR="0067598E">
        <w:rPr>
          <w:i/>
        </w:rPr>
        <w:t xml:space="preserve">can </w:t>
      </w:r>
      <w:r>
        <w:rPr>
          <w:i/>
        </w:rPr>
        <w:t>share experiences of developing and implementing legal reforms in this area.</w:t>
      </w:r>
    </w:p>
    <w:p w14:paraId="143F4EBE" w14:textId="19549703" w:rsidR="00995470" w:rsidRDefault="00995470" w:rsidP="0027500D">
      <w:pPr>
        <w:pStyle w:val="FRATextbox"/>
        <w:pBdr>
          <w:top w:val="none" w:sz="0" w:space="0" w:color="auto"/>
          <w:left w:val="none" w:sz="0" w:space="0" w:color="auto"/>
          <w:bottom w:val="none" w:sz="0" w:space="0" w:color="auto"/>
          <w:right w:val="none" w:sz="0" w:space="0" w:color="auto"/>
        </w:pBdr>
        <w:spacing w:before="120" w:after="120"/>
        <w:rPr>
          <w:i/>
        </w:rPr>
      </w:pPr>
      <w:r>
        <w:rPr>
          <w:b/>
          <w:i/>
        </w:rPr>
        <w:t>Removing administrative barriers</w:t>
      </w:r>
    </w:p>
    <w:p w14:paraId="5937AEAB" w14:textId="277A05BA" w:rsidR="00464F8E" w:rsidRDefault="00464F8E" w:rsidP="0027500D">
      <w:pPr>
        <w:pStyle w:val="FRATextbox"/>
        <w:pBdr>
          <w:top w:val="none" w:sz="0" w:space="0" w:color="auto"/>
          <w:left w:val="none" w:sz="0" w:space="0" w:color="auto"/>
          <w:bottom w:val="none" w:sz="0" w:space="0" w:color="auto"/>
          <w:right w:val="none" w:sz="0" w:space="0" w:color="auto"/>
        </w:pBdr>
        <w:spacing w:before="120" w:after="120"/>
        <w:rPr>
          <w:i/>
          <w:lang w:val="en-IE" w:bidi="ar-SA"/>
        </w:rPr>
      </w:pPr>
      <w:r>
        <w:rPr>
          <w:i/>
          <w:lang w:val="en-IE" w:bidi="ar-SA"/>
        </w:rPr>
        <w:t>National public authorities</w:t>
      </w:r>
      <w:r w:rsidRPr="00313DB1">
        <w:rPr>
          <w:i/>
          <w:lang w:val="en-IE" w:bidi="ar-SA"/>
        </w:rPr>
        <w:t xml:space="preserve"> </w:t>
      </w:r>
      <w:r>
        <w:rPr>
          <w:i/>
          <w:lang w:val="en-IE" w:bidi="ar-SA"/>
        </w:rPr>
        <w:t>should</w:t>
      </w:r>
      <w:r w:rsidRPr="00313DB1">
        <w:rPr>
          <w:i/>
          <w:lang w:val="en-IE" w:bidi="ar-SA"/>
        </w:rPr>
        <w:t xml:space="preserve"> ensure that the </w:t>
      </w:r>
      <w:r>
        <w:rPr>
          <w:i/>
          <w:lang w:val="en-IE" w:bidi="ar-SA"/>
        </w:rPr>
        <w:t>requirement</w:t>
      </w:r>
      <w:r w:rsidRPr="00313DB1">
        <w:rPr>
          <w:i/>
          <w:lang w:val="en-IE" w:bidi="ar-SA"/>
        </w:rPr>
        <w:t xml:space="preserve"> to register to vote or for reasonable accommodation does not result in persons with disabilities being excluded from elections.</w:t>
      </w:r>
      <w:r>
        <w:rPr>
          <w:i/>
          <w:lang w:val="en-IE" w:bidi="ar-SA"/>
        </w:rPr>
        <w:t xml:space="preserve"> </w:t>
      </w:r>
      <w:r w:rsidR="001154EB">
        <w:rPr>
          <w:i/>
          <w:lang w:val="en-IE" w:bidi="ar-SA"/>
        </w:rPr>
        <w:t xml:space="preserve">Actions in this regard </w:t>
      </w:r>
      <w:r>
        <w:rPr>
          <w:i/>
          <w:lang w:val="en-IE" w:bidi="ar-SA"/>
        </w:rPr>
        <w:t xml:space="preserve">could include </w:t>
      </w:r>
      <w:r w:rsidR="001154EB">
        <w:rPr>
          <w:i/>
          <w:lang w:val="en-IE" w:bidi="ar-SA"/>
        </w:rPr>
        <w:t xml:space="preserve">measures </w:t>
      </w:r>
      <w:r>
        <w:rPr>
          <w:i/>
          <w:lang w:val="en-IE" w:bidi="ar-SA"/>
        </w:rPr>
        <w:t xml:space="preserve">ensuring that the registration process is accessible by redesigning </w:t>
      </w:r>
      <w:r>
        <w:rPr>
          <w:i/>
          <w:lang w:val="en-IE" w:bidi="ar-SA"/>
        </w:rPr>
        <w:lastRenderedPageBreak/>
        <w:t xml:space="preserve">relevant websites in line with </w:t>
      </w:r>
      <w:r w:rsidR="00767572">
        <w:rPr>
          <w:i/>
          <w:lang w:val="en-IE" w:bidi="ar-SA"/>
        </w:rPr>
        <w:t xml:space="preserve">EU standards EN 301549, which is in line with </w:t>
      </w:r>
      <w:r>
        <w:rPr>
          <w:i/>
          <w:lang w:val="en-IE" w:bidi="ar-SA"/>
        </w:rPr>
        <w:t>internationally recognised accessibility standards (e.g. the W</w:t>
      </w:r>
      <w:r w:rsidRPr="006E4B90">
        <w:rPr>
          <w:i/>
          <w:szCs w:val="18"/>
        </w:rPr>
        <w:t>o</w:t>
      </w:r>
      <w:r w:rsidRPr="008067B1">
        <w:rPr>
          <w:i/>
          <w:szCs w:val="18"/>
        </w:rPr>
        <w:t>rld Wide Web Consortium’s Web Content Accessibility Guidelines (WCAG) 2.0 AA</w:t>
      </w:r>
      <w:r w:rsidR="00995470">
        <w:rPr>
          <w:i/>
          <w:szCs w:val="18"/>
        </w:rPr>
        <w:t>)</w:t>
      </w:r>
      <w:r>
        <w:rPr>
          <w:i/>
          <w:lang w:val="en-IE" w:bidi="ar-SA"/>
        </w:rPr>
        <w:t>, and by making information available in alternative formats such as easy-to-read, large print or braille.</w:t>
      </w:r>
    </w:p>
    <w:p w14:paraId="5937AEAC" w14:textId="70199743" w:rsidR="00464F8E" w:rsidRDefault="00464F8E" w:rsidP="0027500D">
      <w:pPr>
        <w:pStyle w:val="FRATextbox"/>
        <w:pBdr>
          <w:top w:val="none" w:sz="0" w:space="0" w:color="auto"/>
          <w:left w:val="none" w:sz="0" w:space="0" w:color="auto"/>
          <w:bottom w:val="none" w:sz="0" w:space="0" w:color="auto"/>
          <w:right w:val="none" w:sz="0" w:space="0" w:color="auto"/>
        </w:pBdr>
        <w:spacing w:before="120" w:after="120"/>
        <w:rPr>
          <w:i/>
          <w:lang w:val="en-IE" w:bidi="ar-SA"/>
        </w:rPr>
      </w:pPr>
      <w:r>
        <w:rPr>
          <w:i/>
          <w:lang w:val="en-IE" w:bidi="ar-SA"/>
        </w:rPr>
        <w:t xml:space="preserve">Persons living in long-term institutions who cannot reach a polling station should be enabled to vote </w:t>
      </w:r>
      <w:r w:rsidR="00820FCE">
        <w:rPr>
          <w:i/>
          <w:lang w:val="en-IE" w:bidi="ar-SA"/>
        </w:rPr>
        <w:t xml:space="preserve">through </w:t>
      </w:r>
      <w:r>
        <w:rPr>
          <w:i/>
          <w:lang w:val="en-IE" w:bidi="ar-SA"/>
        </w:rPr>
        <w:t>alternative forms of voting. These voting methods must ensure the secrecy of the vote and that persons with disabilities can make a free choice of candidate or party to support without undue influence from others.</w:t>
      </w:r>
    </w:p>
    <w:p w14:paraId="5D320204" w14:textId="5F240E6B" w:rsidR="00995470" w:rsidRDefault="00816FCA" w:rsidP="0027500D">
      <w:pPr>
        <w:pStyle w:val="FRATextbox"/>
        <w:pBdr>
          <w:top w:val="none" w:sz="0" w:space="0" w:color="auto"/>
          <w:left w:val="none" w:sz="0" w:space="0" w:color="auto"/>
          <w:bottom w:val="none" w:sz="0" w:space="0" w:color="auto"/>
          <w:right w:val="none" w:sz="0" w:space="0" w:color="auto"/>
        </w:pBdr>
        <w:spacing w:before="120" w:after="120"/>
        <w:rPr>
          <w:i/>
          <w:lang w:val="en-IE" w:bidi="ar-SA"/>
        </w:rPr>
      </w:pPr>
      <w:r>
        <w:rPr>
          <w:b/>
          <w:i/>
          <w:lang w:val="en-IE" w:bidi="ar-SA"/>
        </w:rPr>
        <w:t>Making complaints procedures effective</w:t>
      </w:r>
    </w:p>
    <w:p w14:paraId="5937AEAD" w14:textId="1B5C3556" w:rsidR="00464F8E" w:rsidRDefault="00464F8E" w:rsidP="0027500D">
      <w:pPr>
        <w:pStyle w:val="FRATextbox"/>
        <w:pBdr>
          <w:top w:val="none" w:sz="0" w:space="0" w:color="auto"/>
          <w:left w:val="none" w:sz="0" w:space="0" w:color="auto"/>
          <w:bottom w:val="none" w:sz="0" w:space="0" w:color="auto"/>
          <w:right w:val="none" w:sz="0" w:space="0" w:color="auto"/>
        </w:pBdr>
        <w:spacing w:before="120" w:after="120"/>
        <w:rPr>
          <w:i/>
          <w:lang w:val="en-IE" w:bidi="ar-SA"/>
        </w:rPr>
      </w:pPr>
      <w:r>
        <w:rPr>
          <w:i/>
          <w:lang w:val="en-IE" w:bidi="ar-SA"/>
        </w:rPr>
        <w:t xml:space="preserve">Complaints mechanisms, both judicial and non-judicial, should be made more accessible for persons with disabilities. One important step </w:t>
      </w:r>
      <w:r w:rsidR="00196333">
        <w:rPr>
          <w:i/>
          <w:lang w:val="en-IE" w:bidi="ar-SA"/>
        </w:rPr>
        <w:t xml:space="preserve">would be </w:t>
      </w:r>
      <w:r>
        <w:rPr>
          <w:i/>
          <w:lang w:val="en-IE" w:bidi="ar-SA"/>
        </w:rPr>
        <w:t xml:space="preserve">to lift restrictions on the right of persons deprived of legal capacity to bring complaints independently of their guardian. However, measures should also be taken to make sure that information about how and where to complain is accessible to all persons with disabilities through the production of information materials in different formats. This information should be distributed </w:t>
      </w:r>
      <w:r w:rsidR="006C7E4F">
        <w:rPr>
          <w:i/>
          <w:lang w:val="en-IE" w:bidi="ar-SA"/>
        </w:rPr>
        <w:t xml:space="preserve">through </w:t>
      </w:r>
      <w:r>
        <w:rPr>
          <w:i/>
          <w:lang w:val="en-IE" w:bidi="ar-SA"/>
        </w:rPr>
        <w:t>support and advocacy organisations for persons with disabilities, including disabled persons organisations (DPOs).</w:t>
      </w:r>
    </w:p>
    <w:p w14:paraId="5937AEAE" w14:textId="77777777" w:rsidR="00464F8E" w:rsidRPr="008067B1" w:rsidRDefault="00452CD8" w:rsidP="0027500D">
      <w:pPr>
        <w:pStyle w:val="FRATextbox"/>
        <w:pBdr>
          <w:top w:val="none" w:sz="0" w:space="0" w:color="auto"/>
          <w:left w:val="none" w:sz="0" w:space="0" w:color="auto"/>
          <w:bottom w:val="none" w:sz="0" w:space="0" w:color="auto"/>
          <w:right w:val="none" w:sz="0" w:space="0" w:color="auto"/>
        </w:pBdr>
        <w:spacing w:before="120" w:after="120"/>
        <w:rPr>
          <w:lang w:val="en-IE" w:bidi="ar-SA"/>
        </w:rPr>
      </w:pPr>
      <w:r>
        <w:rPr>
          <w:i/>
          <w:lang w:val="en-IE" w:bidi="ar-SA"/>
        </w:rPr>
        <w:t>Finally, a</w:t>
      </w:r>
      <w:r w:rsidR="00464F8E">
        <w:rPr>
          <w:i/>
          <w:lang w:val="en-IE" w:bidi="ar-SA"/>
        </w:rPr>
        <w:t xml:space="preserve">s outlined in the 2011 FRA report </w:t>
      </w:r>
      <w:r w:rsidR="00464F8E">
        <w:rPr>
          <w:lang w:val="en-IE" w:bidi="ar-SA"/>
        </w:rPr>
        <w:t>Access to justice in Europe: an overview of challenges and opportunities</w:t>
      </w:r>
      <w:r w:rsidR="00464F8E">
        <w:rPr>
          <w:i/>
          <w:lang w:val="en-IE" w:bidi="ar-SA"/>
        </w:rPr>
        <w:t xml:space="preserve"> and the 2012 FRA report </w:t>
      </w:r>
      <w:r w:rsidR="00464F8E">
        <w:rPr>
          <w:lang w:val="en-IE" w:bidi="ar-SA"/>
        </w:rPr>
        <w:t>Access to justice in cases of discrimination in the EU: steps to further equality</w:t>
      </w:r>
      <w:r w:rsidR="00464F8E">
        <w:rPr>
          <w:i/>
          <w:lang w:val="en-IE" w:bidi="ar-SA"/>
        </w:rPr>
        <w:t>, allowing civil society organisations (CSOs), including DPOs, to bring claims to court could be an important step to enforcing political rights. Strict rules relating to legal standing often prevent CSOs from taking a more direct role in litigation in cases of fundamental rights violations</w:t>
      </w:r>
      <w:r w:rsidR="00464F8E">
        <w:rPr>
          <w:lang w:val="en-IE" w:bidi="ar-SA"/>
        </w:rPr>
        <w:t>.</w:t>
      </w:r>
    </w:p>
    <w:p w14:paraId="5937AEAF" w14:textId="77777777" w:rsidR="00464F8E" w:rsidRPr="00194F44" w:rsidRDefault="00464F8E" w:rsidP="00194F44">
      <w:pPr>
        <w:pStyle w:val="FRABodyText"/>
        <w:spacing w:before="120" w:after="120"/>
        <w:rPr>
          <w:rFonts w:ascii="Verdana" w:hAnsi="Verdana"/>
          <w:color w:val="00565B"/>
          <w:sz w:val="28"/>
          <w:lang w:eastAsia="en-GB"/>
        </w:rPr>
      </w:pPr>
      <w:bookmarkStart w:id="3" w:name="_Toc381174219"/>
      <w:r w:rsidRPr="00194F44">
        <w:rPr>
          <w:rFonts w:ascii="Verdana" w:hAnsi="Verdana"/>
          <w:color w:val="00565B"/>
          <w:sz w:val="28"/>
          <w:lang w:eastAsia="en-GB"/>
        </w:rPr>
        <w:t>Making voting procedures, facilities and election materials more accessible</w:t>
      </w:r>
      <w:bookmarkEnd w:id="3"/>
      <w:r w:rsidRPr="00194F44">
        <w:rPr>
          <w:rFonts w:ascii="Verdana" w:hAnsi="Verdana"/>
          <w:color w:val="00565B"/>
          <w:sz w:val="28"/>
          <w:lang w:eastAsia="en-GB"/>
        </w:rPr>
        <w:t xml:space="preserve"> </w:t>
      </w:r>
    </w:p>
    <w:p w14:paraId="3568C5BC" w14:textId="2D059B5D" w:rsidR="003F7C89" w:rsidRDefault="003F7C89" w:rsidP="00194F44">
      <w:pPr>
        <w:pStyle w:val="FRABodyText"/>
        <w:shd w:val="pct15" w:color="auto" w:fill="auto"/>
        <w:spacing w:before="120" w:after="120"/>
      </w:pPr>
      <w:r>
        <w:t>As regards accessibility standards, most EU Member States have them in place for the construction and renovation of public buildings, while around half have them for polling stations. Many EU Member States have also established legal accessibility requirements for information providers over the internet and the broadcast media, although in a large number of cases these requirements only apply to public information providers. In most EU Member States, electoral legislation requires that assistance in voting is available to persons with disabilities, although in some this is only available to persons with physical or sensory impairments.</w:t>
      </w:r>
    </w:p>
    <w:p w14:paraId="5937AEB0" w14:textId="3B76DEB0" w:rsidR="00464F8E" w:rsidRDefault="00464F8E" w:rsidP="003F7C89">
      <w:pPr>
        <w:pStyle w:val="FRABodyText"/>
        <w:spacing w:before="120" w:after="120"/>
      </w:pPr>
      <w:r>
        <w:t>Most Member States have</w:t>
      </w:r>
      <w:r w:rsidRPr="00FF2535">
        <w:t xml:space="preserve"> </w:t>
      </w:r>
      <w:r>
        <w:t xml:space="preserve">accessibility </w:t>
      </w:r>
      <w:r w:rsidRPr="00FF2535">
        <w:t xml:space="preserve">standards </w:t>
      </w:r>
      <w:r>
        <w:t xml:space="preserve">in place </w:t>
      </w:r>
      <w:r w:rsidRPr="00FF2535">
        <w:t xml:space="preserve">for the construction </w:t>
      </w:r>
      <w:r>
        <w:t xml:space="preserve">and renovation </w:t>
      </w:r>
      <w:r w:rsidRPr="00FF2535">
        <w:t>of public buildings</w:t>
      </w:r>
      <w:r>
        <w:t>, while around half have accessibility standards for polling stations.</w:t>
      </w:r>
      <w:r w:rsidRPr="00FF2535">
        <w:t xml:space="preserve"> </w:t>
      </w:r>
      <w:r w:rsidR="00F41735">
        <w:t>It</w:t>
      </w:r>
      <w:r>
        <w:t xml:space="preserve"> is very difficult</w:t>
      </w:r>
      <w:r w:rsidR="00F41735">
        <w:t>, however,</w:t>
      </w:r>
      <w:r>
        <w:t xml:space="preserve"> to assess the extent to which these standards </w:t>
      </w:r>
      <w:r w:rsidR="00BD7F81">
        <w:t>are properly implemented</w:t>
      </w:r>
      <w:r>
        <w:t>, due to a lack of robust and comparable data</w:t>
      </w:r>
      <w:r w:rsidR="00BD7F81">
        <w:t xml:space="preserve"> on the accessibility of bulidings in practice</w:t>
      </w:r>
      <w:r>
        <w:t>.</w:t>
      </w:r>
      <w:r w:rsidRPr="00FF2535">
        <w:t xml:space="preserve"> </w:t>
      </w:r>
      <w:r>
        <w:t xml:space="preserve">The absence of data means it is not possible </w:t>
      </w:r>
      <w:r w:rsidRPr="00FF2535">
        <w:t>to determine the proportion of polling stations, or public buildings, w</w:t>
      </w:r>
      <w:r>
        <w:t>hich are accessible to persons with disabilities</w:t>
      </w:r>
      <w:r w:rsidRPr="00FF2535">
        <w:t>.</w:t>
      </w:r>
      <w:r>
        <w:t xml:space="preserve"> Moreover, even where data </w:t>
      </w:r>
      <w:r w:rsidR="006C7E4F">
        <w:t xml:space="preserve">are </w:t>
      </w:r>
      <w:r>
        <w:t>available, its reliability is undermined by a lack of consistent criteria for assessing accessibility and a focus on the needs of persons with physical impairments to the exclusion of other persons with disabilities.</w:t>
      </w:r>
    </w:p>
    <w:p w14:paraId="5937AEB1" w14:textId="6E7DC374" w:rsidR="00464F8E" w:rsidRDefault="00464F8E" w:rsidP="006D0865">
      <w:pPr>
        <w:pStyle w:val="FRABodyText"/>
        <w:spacing w:before="120" w:after="120"/>
      </w:pPr>
      <w:r>
        <w:t xml:space="preserve">An important part of enhancing accessibility is the provision of reasonable accommodation. While electoral legislation in most EU Member States requires that assistance in voting is available to persons with disabilities, in some this is only available to persons with physical or sensory impairments. Moreover, it is not always possible for the person with a disability </w:t>
      </w:r>
      <w:r w:rsidR="00816FCA">
        <w:t xml:space="preserve">themselves </w:t>
      </w:r>
      <w:r>
        <w:t xml:space="preserve">to choose </w:t>
      </w:r>
      <w:r w:rsidR="00816FCA">
        <w:t>who they would like to</w:t>
      </w:r>
      <w:r>
        <w:t xml:space="preserve"> assist</w:t>
      </w:r>
      <w:r w:rsidR="00816FCA">
        <w:t xml:space="preserve"> them</w:t>
      </w:r>
      <w:r>
        <w:t>.</w:t>
      </w:r>
    </w:p>
    <w:p w14:paraId="5937AEB2" w14:textId="727753D8" w:rsidR="00464F8E" w:rsidRDefault="00464F8E" w:rsidP="006D0865">
      <w:pPr>
        <w:pStyle w:val="FRABodyText"/>
        <w:spacing w:before="120" w:after="120"/>
      </w:pPr>
      <w:r>
        <w:t>Being involved in electoral processes</w:t>
      </w:r>
      <w:r w:rsidRPr="00FF2535">
        <w:t xml:space="preserve"> is contingent on access to information, commonly through </w:t>
      </w:r>
      <w:r>
        <w:t>radio, television and the internet, as well as printed material</w:t>
      </w:r>
      <w:r w:rsidRPr="00FF2535">
        <w:t xml:space="preserve">. </w:t>
      </w:r>
      <w:r>
        <w:t>As with the built environment, many EU</w:t>
      </w:r>
      <w:r w:rsidR="005F35FE">
        <w:t> </w:t>
      </w:r>
      <w:r>
        <w:t xml:space="preserve">Member </w:t>
      </w:r>
      <w:r>
        <w:lastRenderedPageBreak/>
        <w:t xml:space="preserve">States have established legal accessibility </w:t>
      </w:r>
      <w:r w:rsidR="004A0254">
        <w:t xml:space="preserve">requirements </w:t>
      </w:r>
      <w:r>
        <w:t xml:space="preserve">for providers of information over the internet and the broadcast media, although in a large number of cases these </w:t>
      </w:r>
      <w:r w:rsidR="00213AB8">
        <w:t xml:space="preserve">requirements </w:t>
      </w:r>
      <w:r>
        <w:t xml:space="preserve">only apply to public information providers. In practice, however, </w:t>
      </w:r>
      <w:r w:rsidR="0030319D">
        <w:t xml:space="preserve">the existing data </w:t>
      </w:r>
      <w:r>
        <w:t>show that election-related media remain largely inaccessible to persons with disabilities. In most Member States</w:t>
      </w:r>
      <w:r w:rsidR="005F35FE">
        <w:t>,</w:t>
      </w:r>
      <w:r>
        <w:t xml:space="preserve"> the official website to provide instructions for voting and information on candidates does not </w:t>
      </w:r>
      <w:r w:rsidR="00D610E9">
        <w:t>state that it</w:t>
      </w:r>
      <w:r>
        <w:t xml:space="preserve"> meet</w:t>
      </w:r>
      <w:r w:rsidR="00D610E9">
        <w:t>s</w:t>
      </w:r>
      <w:r>
        <w:t xml:space="preserve"> the </w:t>
      </w:r>
      <w:r w:rsidRPr="001513E3">
        <w:rPr>
          <w:szCs w:val="18"/>
        </w:rPr>
        <w:t>World Wide Web Consortium</w:t>
      </w:r>
      <w:r>
        <w:rPr>
          <w:szCs w:val="18"/>
        </w:rPr>
        <w:t xml:space="preserve">’s </w:t>
      </w:r>
      <w:r w:rsidRPr="001513E3">
        <w:rPr>
          <w:szCs w:val="18"/>
        </w:rPr>
        <w:t>Web Content Accessibility Guidelines (WCAG) 2.0</w:t>
      </w:r>
      <w:r>
        <w:rPr>
          <w:szCs w:val="18"/>
        </w:rPr>
        <w:t xml:space="preserve"> AA</w:t>
      </w:r>
      <w:r>
        <w:rPr>
          <w:rStyle w:val="FootnoteReference"/>
        </w:rPr>
        <w:footnoteReference w:id="7"/>
      </w:r>
      <w:r>
        <w:t xml:space="preserve"> standard for internet accessibility, although most have taken some steps to make the information more accessible. While there</w:t>
      </w:r>
      <w:r w:rsidRPr="00FF2535">
        <w:t xml:space="preserve"> has been an increase in the availability of subtitling that make</w:t>
      </w:r>
      <w:r>
        <w:t>s</w:t>
      </w:r>
      <w:r w:rsidRPr="00FF2535">
        <w:t xml:space="preserve"> </w:t>
      </w:r>
      <w:r>
        <w:t xml:space="preserve">television programmes providing election information </w:t>
      </w:r>
      <w:r w:rsidRPr="00FF2535">
        <w:t>more accessible to many people</w:t>
      </w:r>
      <w:r>
        <w:t xml:space="preserve"> with hearing impairments,</w:t>
      </w:r>
      <w:r w:rsidRPr="00FF2535">
        <w:t xml:space="preserve"> the av</w:t>
      </w:r>
      <w:r>
        <w:t>ailability of audio description</w:t>
      </w:r>
      <w:r w:rsidRPr="00FF2535">
        <w:t xml:space="preserve"> or </w:t>
      </w:r>
      <w:r>
        <w:t xml:space="preserve">national </w:t>
      </w:r>
      <w:r w:rsidRPr="00FF2535">
        <w:t xml:space="preserve">sign language </w:t>
      </w:r>
      <w:r>
        <w:t>interpretation</w:t>
      </w:r>
      <w:r w:rsidRPr="00FF2535">
        <w:t xml:space="preserve"> is less widespread.</w:t>
      </w:r>
    </w:p>
    <w:p w14:paraId="080FF1F9" w14:textId="66D8678C" w:rsidR="0074059A" w:rsidRDefault="0074059A" w:rsidP="0074059A">
      <w:pPr>
        <w:pStyle w:val="FRAFigureTitle"/>
      </w:pPr>
      <w:bookmarkStart w:id="4" w:name="_Toc381174174"/>
      <w:bookmarkStart w:id="5" w:name="_Toc379391245"/>
      <w:bookmarkStart w:id="6" w:name="_Toc379383163"/>
      <w:bookmarkStart w:id="7" w:name="_Toc378951650"/>
      <w:bookmarkStart w:id="8" w:name="_Toc377474495"/>
      <w:r>
        <w:t xml:space="preserve">Figure </w:t>
      </w:r>
      <w:r w:rsidR="00BB33A1">
        <w:t>2</w:t>
      </w:r>
      <w:r>
        <w:t xml:space="preserve">: </w:t>
      </w:r>
      <w:bookmarkEnd w:id="4"/>
      <w:bookmarkEnd w:id="5"/>
      <w:bookmarkEnd w:id="6"/>
      <w:bookmarkEnd w:id="7"/>
      <w:bookmarkEnd w:id="8"/>
      <w:r w:rsidR="00BC5354">
        <w:t xml:space="preserve">Does the website providing instructions for voting and information on candidates </w:t>
      </w:r>
      <w:r w:rsidR="00E36858">
        <w:t xml:space="preserve">state that it meets </w:t>
      </w:r>
      <w:r w:rsidR="00BC5354">
        <w:t>accessibility standards</w:t>
      </w:r>
      <w:r w:rsidR="00157A50">
        <w:t>, by EU Member State</w:t>
      </w:r>
      <w:r w:rsidR="00BC5354">
        <w:t>?</w:t>
      </w:r>
    </w:p>
    <w:p w14:paraId="66C293DA" w14:textId="1C872D81" w:rsidR="0074059A" w:rsidRDefault="0074059A" w:rsidP="0074059A">
      <w:pPr>
        <w:pStyle w:val="FRAFigureNote"/>
        <w:tabs>
          <w:tab w:val="left" w:pos="1635"/>
        </w:tabs>
      </w:pPr>
      <w:r>
        <w:tab/>
      </w:r>
      <w:r w:rsidR="00157A50">
        <w:rPr>
          <w:noProof/>
          <w:lang w:val="en-US" w:bidi="ar-SA"/>
        </w:rPr>
        <w:drawing>
          <wp:inline distT="0" distB="0" distL="0" distR="0" wp14:anchorId="08E96038" wp14:editId="7C1CFA37">
            <wp:extent cx="5324475" cy="3181350"/>
            <wp:effectExtent l="0" t="0" r="9525"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3A3ED43" w14:textId="77777777" w:rsidR="0074059A" w:rsidRDefault="0074059A" w:rsidP="0074059A">
      <w:pPr>
        <w:pStyle w:val="FRAFigureNote"/>
      </w:pPr>
      <w:r>
        <w:t>Source: FRA, 2014</w:t>
      </w:r>
    </w:p>
    <w:p w14:paraId="5937AEB3" w14:textId="080ED3E9" w:rsidR="00464F8E" w:rsidRDefault="00A82677" w:rsidP="006D0865">
      <w:pPr>
        <w:pStyle w:val="FRABodyText"/>
        <w:spacing w:before="120" w:after="120"/>
      </w:pPr>
      <w:r>
        <w:t>It is important that p</w:t>
      </w:r>
      <w:r w:rsidR="00332687">
        <w:t>olitical parties, a</w:t>
      </w:r>
      <w:r w:rsidR="00464F8E">
        <w:t>s primary vehicles for policy</w:t>
      </w:r>
      <w:r w:rsidR="00E866C4">
        <w:t xml:space="preserve"> </w:t>
      </w:r>
      <w:r w:rsidR="00464F8E">
        <w:t xml:space="preserve">making at all levels of government, </w:t>
      </w:r>
      <w:r w:rsidR="0012587D">
        <w:t xml:space="preserve">make </w:t>
      </w:r>
      <w:r w:rsidR="00464F8E">
        <w:t xml:space="preserve">their campaign material accessible to persons with disabilities. </w:t>
      </w:r>
      <w:r w:rsidR="00464F8E" w:rsidRPr="00FF2535">
        <w:t xml:space="preserve">Examples of party manifestos in accessible formats were identified in half </w:t>
      </w:r>
      <w:r w:rsidR="00464F8E">
        <w:t>of</w:t>
      </w:r>
      <w:r w:rsidR="00464F8E" w:rsidRPr="00FF2535">
        <w:t xml:space="preserve"> </w:t>
      </w:r>
      <w:r w:rsidR="00E866C4">
        <w:t>the EU </w:t>
      </w:r>
      <w:r w:rsidR="00464F8E" w:rsidRPr="00FF2535">
        <w:t>Member States but with a lack of consistency</w:t>
      </w:r>
      <w:r w:rsidR="00464F8E">
        <w:t>; in a number of Member States only one or two parties provided information in accessible formats, and then often only in a format suitable for certain types of impairment</w:t>
      </w:r>
      <w:r w:rsidR="00464F8E" w:rsidRPr="00FF2535">
        <w:t>.</w:t>
      </w:r>
      <w:r w:rsidR="00464F8E">
        <w:t xml:space="preserve"> Significantly, commitments by the pan-European political parties to produce their campaign materials for the European Parliament elections in</w:t>
      </w:r>
      <w:r w:rsidR="00C4370C">
        <w:t> </w:t>
      </w:r>
      <w:r w:rsidR="00464F8E">
        <w:t xml:space="preserve">2014 largely stemmed from campaigns by </w:t>
      </w:r>
      <w:r w:rsidR="00C4370C" w:rsidRPr="00194F44">
        <w:rPr>
          <w:lang w:val="en-IE" w:bidi="ar-SA"/>
        </w:rPr>
        <w:t>disabled persons organisations</w:t>
      </w:r>
      <w:r w:rsidR="00C4370C">
        <w:rPr>
          <w:i/>
          <w:lang w:val="en-IE" w:bidi="ar-SA"/>
        </w:rPr>
        <w:t> </w:t>
      </w:r>
      <w:r w:rsidR="00C4370C">
        <w:t>(</w:t>
      </w:r>
      <w:r w:rsidR="00464F8E">
        <w:t>DPOs</w:t>
      </w:r>
      <w:r w:rsidR="00C4370C">
        <w:t>)</w:t>
      </w:r>
      <w:r w:rsidR="00464F8E">
        <w:t xml:space="preserve"> to increase the accessibility of elections.</w:t>
      </w:r>
    </w:p>
    <w:p w14:paraId="5937AEB4" w14:textId="3BE45801" w:rsidR="00464F8E" w:rsidRDefault="000B3302" w:rsidP="00194F44">
      <w:pPr>
        <w:pStyle w:val="FRATextboxTitle"/>
        <w:pBdr>
          <w:top w:val="none" w:sz="0" w:space="0" w:color="auto"/>
          <w:left w:val="none" w:sz="0" w:space="0" w:color="auto"/>
          <w:bottom w:val="none" w:sz="0" w:space="0" w:color="auto"/>
          <w:right w:val="none" w:sz="0" w:space="0" w:color="auto"/>
        </w:pBdr>
        <w:spacing w:before="120" w:after="120"/>
        <w:jc w:val="left"/>
      </w:pPr>
      <w:r>
        <w:t>O</w:t>
      </w:r>
      <w:r w:rsidR="00464F8E">
        <w:t>pinions</w:t>
      </w:r>
    </w:p>
    <w:p w14:paraId="5937AEB5" w14:textId="47502C84" w:rsidR="00464F8E" w:rsidRDefault="00464F8E" w:rsidP="00194F44">
      <w:pPr>
        <w:pStyle w:val="FRATextbox"/>
        <w:pBdr>
          <w:top w:val="none" w:sz="0" w:space="0" w:color="auto"/>
          <w:left w:val="none" w:sz="0" w:space="0" w:color="auto"/>
          <w:bottom w:val="none" w:sz="0" w:space="0" w:color="auto"/>
          <w:right w:val="none" w:sz="0" w:space="0" w:color="auto"/>
        </w:pBdr>
        <w:spacing w:before="120" w:after="120"/>
        <w:rPr>
          <w:i/>
          <w:lang w:bidi="ar-SA"/>
        </w:rPr>
      </w:pPr>
      <w:r>
        <w:rPr>
          <w:i/>
          <w:lang w:bidi="ar-SA"/>
        </w:rPr>
        <w:t>Although legal accessibility standards are in place in many EU</w:t>
      </w:r>
      <w:r w:rsidR="00C4370C">
        <w:rPr>
          <w:i/>
          <w:lang w:bidi="ar-SA"/>
        </w:rPr>
        <w:t> </w:t>
      </w:r>
      <w:r>
        <w:rPr>
          <w:i/>
          <w:lang w:bidi="ar-SA"/>
        </w:rPr>
        <w:t>Member States, m</w:t>
      </w:r>
      <w:r w:rsidRPr="008067B1">
        <w:rPr>
          <w:i/>
          <w:lang w:bidi="ar-SA"/>
        </w:rPr>
        <w:t xml:space="preserve">easuring the accessibility of the environment is hindered by a lack of </w:t>
      </w:r>
      <w:r>
        <w:rPr>
          <w:i/>
          <w:lang w:bidi="ar-SA"/>
        </w:rPr>
        <w:t>common</w:t>
      </w:r>
      <w:r w:rsidRPr="008067B1">
        <w:rPr>
          <w:i/>
          <w:lang w:bidi="ar-SA"/>
        </w:rPr>
        <w:t xml:space="preserve"> </w:t>
      </w:r>
      <w:r w:rsidR="001866F7">
        <w:rPr>
          <w:i/>
          <w:lang w:bidi="ar-SA"/>
        </w:rPr>
        <w:t>EU</w:t>
      </w:r>
      <w:r w:rsidR="00C4370C">
        <w:rPr>
          <w:i/>
          <w:lang w:bidi="ar-SA"/>
        </w:rPr>
        <w:t> </w:t>
      </w:r>
      <w:r w:rsidRPr="008067B1">
        <w:rPr>
          <w:i/>
          <w:lang w:bidi="ar-SA"/>
        </w:rPr>
        <w:t>criteria setting out what constitutes</w:t>
      </w:r>
      <w:r>
        <w:rPr>
          <w:i/>
          <w:lang w:bidi="ar-SA"/>
        </w:rPr>
        <w:t xml:space="preserve"> an accessible building</w:t>
      </w:r>
      <w:r w:rsidRPr="008067B1">
        <w:rPr>
          <w:i/>
          <w:lang w:bidi="ar-SA"/>
        </w:rPr>
        <w:t>. In keeping with their responsibilities under Article 9 (2) (a)</w:t>
      </w:r>
      <w:r>
        <w:rPr>
          <w:i/>
          <w:lang w:bidi="ar-SA"/>
        </w:rPr>
        <w:t xml:space="preserve"> of the CRPD</w:t>
      </w:r>
      <w:r w:rsidRPr="008067B1">
        <w:rPr>
          <w:i/>
          <w:lang w:bidi="ar-SA"/>
        </w:rPr>
        <w:t xml:space="preserve">, </w:t>
      </w:r>
      <w:r w:rsidR="001866F7">
        <w:rPr>
          <w:i/>
          <w:lang w:bidi="ar-SA"/>
        </w:rPr>
        <w:t>s</w:t>
      </w:r>
      <w:r w:rsidRPr="008067B1">
        <w:rPr>
          <w:i/>
          <w:lang w:bidi="ar-SA"/>
        </w:rPr>
        <w:t xml:space="preserve">tate </w:t>
      </w:r>
      <w:r w:rsidR="001866F7">
        <w:rPr>
          <w:i/>
          <w:lang w:bidi="ar-SA"/>
        </w:rPr>
        <w:t xml:space="preserve">parties </w:t>
      </w:r>
      <w:r w:rsidR="006E12B1">
        <w:rPr>
          <w:i/>
          <w:lang w:bidi="ar-SA"/>
        </w:rPr>
        <w:t xml:space="preserve">– both the EU and the Member States </w:t>
      </w:r>
      <w:r w:rsidR="00861230">
        <w:rPr>
          <w:i/>
          <w:lang w:bidi="ar-SA"/>
        </w:rPr>
        <w:t>–</w:t>
      </w:r>
      <w:r w:rsidRPr="008067B1">
        <w:rPr>
          <w:i/>
          <w:lang w:bidi="ar-SA"/>
        </w:rPr>
        <w:t xml:space="preserve"> should develop, promulgate and monitor the </w:t>
      </w:r>
      <w:r w:rsidRPr="008067B1">
        <w:rPr>
          <w:i/>
          <w:lang w:bidi="ar-SA"/>
        </w:rPr>
        <w:lastRenderedPageBreak/>
        <w:t>implementation of minimum standards and guidelines for the accessibility of facilities and services open or provided to the public</w:t>
      </w:r>
      <w:r>
        <w:rPr>
          <w:i/>
          <w:lang w:bidi="ar-SA"/>
        </w:rPr>
        <w:t>, including public authority buildings</w:t>
      </w:r>
      <w:r w:rsidRPr="008067B1">
        <w:rPr>
          <w:i/>
          <w:lang w:bidi="ar-SA"/>
        </w:rPr>
        <w:t>.</w:t>
      </w:r>
      <w:r w:rsidRPr="00924F9A">
        <w:rPr>
          <w:i/>
          <w:lang w:bidi="ar-SA"/>
        </w:rPr>
        <w:t xml:space="preserve"> </w:t>
      </w:r>
      <w:r w:rsidRPr="00B464D0">
        <w:rPr>
          <w:i/>
          <w:lang w:bidi="ar-SA"/>
        </w:rPr>
        <w:t xml:space="preserve">These criteria should encompass </w:t>
      </w:r>
      <w:r>
        <w:rPr>
          <w:i/>
          <w:lang w:bidi="ar-SA"/>
        </w:rPr>
        <w:t xml:space="preserve">the accessibility needs of </w:t>
      </w:r>
      <w:r w:rsidRPr="00B464D0">
        <w:rPr>
          <w:i/>
          <w:lang w:bidi="ar-SA"/>
        </w:rPr>
        <w:t>all persons with disabilities, not just those with physical impairments.</w:t>
      </w:r>
      <w:r w:rsidRPr="008067B1">
        <w:rPr>
          <w:i/>
          <w:lang w:bidi="ar-SA"/>
        </w:rPr>
        <w:t xml:space="preserve"> The European Commission </w:t>
      </w:r>
      <w:r w:rsidR="00BD5491">
        <w:rPr>
          <w:i/>
          <w:lang w:bidi="ar-SA"/>
        </w:rPr>
        <w:t xml:space="preserve">continues </w:t>
      </w:r>
      <w:r w:rsidR="000C551B">
        <w:rPr>
          <w:i/>
          <w:lang w:bidi="ar-SA"/>
        </w:rPr>
        <w:t>to</w:t>
      </w:r>
      <w:r w:rsidRPr="008067B1">
        <w:rPr>
          <w:i/>
          <w:lang w:bidi="ar-SA"/>
        </w:rPr>
        <w:t xml:space="preserve"> support and supplement national activities, including through the </w:t>
      </w:r>
      <w:r w:rsidR="000C551B">
        <w:rPr>
          <w:i/>
          <w:lang w:bidi="ar-SA"/>
        </w:rPr>
        <w:t xml:space="preserve">second phase </w:t>
      </w:r>
      <w:r w:rsidRPr="008067B1">
        <w:rPr>
          <w:i/>
          <w:lang w:bidi="ar-SA"/>
        </w:rPr>
        <w:t>of</w:t>
      </w:r>
      <w:r w:rsidRPr="006E4B90">
        <w:rPr>
          <w:i/>
          <w:lang w:val="en-GB" w:bidi="ar-SA"/>
        </w:rPr>
        <w:t xml:space="preserve"> </w:t>
      </w:r>
      <w:r w:rsidR="000C551B">
        <w:rPr>
          <w:i/>
          <w:lang w:val="en-GB" w:bidi="ar-SA"/>
        </w:rPr>
        <w:t xml:space="preserve">the </w:t>
      </w:r>
      <w:r w:rsidRPr="006E4B90">
        <w:rPr>
          <w:i/>
          <w:lang w:val="en-GB" w:bidi="ar-SA"/>
        </w:rPr>
        <w:t>Standardisation</w:t>
      </w:r>
      <w:r w:rsidRPr="008067B1">
        <w:rPr>
          <w:i/>
          <w:lang w:bidi="ar-SA"/>
        </w:rPr>
        <w:t xml:space="preserve"> Mandate </w:t>
      </w:r>
      <w:r>
        <w:rPr>
          <w:i/>
          <w:lang w:bidi="ar-SA"/>
        </w:rPr>
        <w:t>M/</w:t>
      </w:r>
      <w:r w:rsidRPr="008067B1">
        <w:rPr>
          <w:i/>
          <w:lang w:bidi="ar-SA"/>
        </w:rPr>
        <w:t>4</w:t>
      </w:r>
      <w:r>
        <w:rPr>
          <w:i/>
          <w:lang w:bidi="ar-SA"/>
        </w:rPr>
        <w:t>2</w:t>
      </w:r>
      <w:r w:rsidRPr="008067B1">
        <w:rPr>
          <w:i/>
          <w:lang w:bidi="ar-SA"/>
        </w:rPr>
        <w:t>0 on accessibility to the buil</w:t>
      </w:r>
      <w:r>
        <w:rPr>
          <w:i/>
          <w:lang w:bidi="ar-SA"/>
        </w:rPr>
        <w:t>t</w:t>
      </w:r>
      <w:r w:rsidRPr="008067B1">
        <w:rPr>
          <w:i/>
          <w:lang w:bidi="ar-SA"/>
        </w:rPr>
        <w:t xml:space="preserve"> environment.</w:t>
      </w:r>
    </w:p>
    <w:p w14:paraId="5937AEB6" w14:textId="77777777" w:rsidR="00464F8E" w:rsidRDefault="00464F8E" w:rsidP="00194F44">
      <w:pPr>
        <w:pStyle w:val="FRATextbox"/>
        <w:pBdr>
          <w:top w:val="none" w:sz="0" w:space="0" w:color="auto"/>
          <w:left w:val="none" w:sz="0" w:space="0" w:color="auto"/>
          <w:bottom w:val="none" w:sz="0" w:space="0" w:color="auto"/>
          <w:right w:val="none" w:sz="0" w:space="0" w:color="auto"/>
        </w:pBdr>
        <w:spacing w:before="120" w:after="120"/>
        <w:rPr>
          <w:i/>
          <w:lang w:bidi="ar-SA"/>
        </w:rPr>
      </w:pPr>
      <w:r>
        <w:rPr>
          <w:i/>
          <w:lang w:bidi="ar-SA"/>
        </w:rPr>
        <w:t>Where persons with disabilities require support to vote, the law should provide for assistance in voting by a person of their choice. Such assistance should be available to all persons with disabilities, at their request.</w:t>
      </w:r>
    </w:p>
    <w:p w14:paraId="5937AEB7" w14:textId="608EB391" w:rsidR="00464F8E" w:rsidRPr="008067B1" w:rsidRDefault="00986DE8" w:rsidP="00194F44">
      <w:pPr>
        <w:pStyle w:val="FRATextbox"/>
        <w:pBdr>
          <w:top w:val="none" w:sz="0" w:space="0" w:color="auto"/>
          <w:left w:val="none" w:sz="0" w:space="0" w:color="auto"/>
          <w:bottom w:val="none" w:sz="0" w:space="0" w:color="auto"/>
          <w:right w:val="none" w:sz="0" w:space="0" w:color="auto"/>
        </w:pBdr>
        <w:spacing w:before="120" w:after="120"/>
        <w:rPr>
          <w:i/>
          <w:lang w:bidi="ar-SA"/>
        </w:rPr>
      </w:pPr>
      <w:r>
        <w:rPr>
          <w:i/>
          <w:lang w:bidi="ar-SA"/>
        </w:rPr>
        <w:t>EU </w:t>
      </w:r>
      <w:r w:rsidR="008C7C0A">
        <w:rPr>
          <w:i/>
          <w:lang w:bidi="ar-SA"/>
        </w:rPr>
        <w:t>Member States should encourage m</w:t>
      </w:r>
      <w:r w:rsidR="00464F8E">
        <w:rPr>
          <w:i/>
          <w:lang w:bidi="ar-SA"/>
        </w:rPr>
        <w:t>edia providers to increase the accessibility of their output. W</w:t>
      </w:r>
      <w:r w:rsidR="00464F8E" w:rsidRPr="00B464D0">
        <w:rPr>
          <w:i/>
          <w:lang w:bidi="ar-SA"/>
        </w:rPr>
        <w:t xml:space="preserve">ebsites should be designed in line with </w:t>
      </w:r>
      <w:r w:rsidR="00895D40">
        <w:rPr>
          <w:i/>
          <w:lang w:bidi="ar-SA"/>
        </w:rPr>
        <w:t xml:space="preserve">EU </w:t>
      </w:r>
      <w:r w:rsidR="000E0A1E" w:rsidRPr="00B464D0">
        <w:rPr>
          <w:i/>
          <w:lang w:bidi="ar-SA"/>
        </w:rPr>
        <w:t xml:space="preserve">accessibility </w:t>
      </w:r>
      <w:r w:rsidR="00895D40">
        <w:rPr>
          <w:i/>
          <w:lang w:bidi="ar-SA"/>
        </w:rPr>
        <w:t>standard EN 301549</w:t>
      </w:r>
      <w:r w:rsidR="00464F8E" w:rsidRPr="00B464D0">
        <w:rPr>
          <w:i/>
          <w:lang w:bidi="ar-SA"/>
        </w:rPr>
        <w:t xml:space="preserve">, while </w:t>
      </w:r>
      <w:r w:rsidR="00464F8E">
        <w:rPr>
          <w:i/>
          <w:lang w:bidi="ar-SA"/>
        </w:rPr>
        <w:t>media outputs</w:t>
      </w:r>
      <w:r w:rsidR="00464F8E" w:rsidRPr="00B464D0">
        <w:rPr>
          <w:i/>
          <w:lang w:bidi="ar-SA"/>
        </w:rPr>
        <w:t xml:space="preserve"> can be made more accessible through subtitles, sign language interpretation and audio description</w:t>
      </w:r>
      <w:r w:rsidR="00425492">
        <w:rPr>
          <w:i/>
          <w:lang w:bidi="ar-SA"/>
        </w:rPr>
        <w:t>s, preferably following EU</w:t>
      </w:r>
      <w:r>
        <w:rPr>
          <w:i/>
          <w:lang w:bidi="ar-SA"/>
        </w:rPr>
        <w:t> </w:t>
      </w:r>
      <w:r w:rsidR="00425492">
        <w:rPr>
          <w:i/>
          <w:lang w:bidi="ar-SA"/>
        </w:rPr>
        <w:t>standard</w:t>
      </w:r>
      <w:r w:rsidR="00491F33">
        <w:rPr>
          <w:i/>
          <w:lang w:bidi="ar-SA"/>
        </w:rPr>
        <w:t>s</w:t>
      </w:r>
      <w:r w:rsidR="00464F8E" w:rsidRPr="00B464D0">
        <w:rPr>
          <w:i/>
          <w:lang w:bidi="ar-SA"/>
        </w:rPr>
        <w:t xml:space="preserve">. To achieve this, Member States could consider strengthening </w:t>
      </w:r>
      <w:r w:rsidR="00A93E57">
        <w:rPr>
          <w:i/>
          <w:lang w:bidi="ar-SA"/>
        </w:rPr>
        <w:t xml:space="preserve">legal and policy measures </w:t>
      </w:r>
      <w:r w:rsidR="00464F8E" w:rsidRPr="00B464D0">
        <w:rPr>
          <w:i/>
          <w:lang w:bidi="ar-SA"/>
        </w:rPr>
        <w:t>on media access</w:t>
      </w:r>
      <w:r w:rsidR="00464F8E" w:rsidRPr="00EC36BC">
        <w:rPr>
          <w:i/>
          <w:lang w:bidi="ar-SA"/>
        </w:rPr>
        <w:t>ibility, for example by sett</w:t>
      </w:r>
      <w:r w:rsidR="00464F8E">
        <w:rPr>
          <w:i/>
          <w:lang w:bidi="ar-SA"/>
        </w:rPr>
        <w:t>ing measurable targets for accessibility</w:t>
      </w:r>
      <w:r w:rsidR="00464F8E" w:rsidRPr="00B464D0">
        <w:rPr>
          <w:i/>
          <w:lang w:bidi="ar-SA"/>
        </w:rPr>
        <w:t xml:space="preserve"> and broadening the scope of existing legislation to cover private as well as public providers.</w:t>
      </w:r>
      <w:r w:rsidR="00464F8E">
        <w:rPr>
          <w:i/>
          <w:lang w:bidi="ar-SA"/>
        </w:rPr>
        <w:t xml:space="preserve"> The</w:t>
      </w:r>
      <w:r>
        <w:rPr>
          <w:i/>
          <w:lang w:bidi="ar-SA"/>
        </w:rPr>
        <w:t> </w:t>
      </w:r>
      <w:r w:rsidR="00464F8E">
        <w:rPr>
          <w:i/>
          <w:lang w:bidi="ar-SA"/>
        </w:rPr>
        <w:t xml:space="preserve">EU can </w:t>
      </w:r>
      <w:r w:rsidR="00117C3E">
        <w:rPr>
          <w:i/>
          <w:lang w:bidi="ar-SA"/>
        </w:rPr>
        <w:t>facilitate</w:t>
      </w:r>
      <w:r w:rsidR="00464F8E">
        <w:rPr>
          <w:i/>
          <w:lang w:bidi="ar-SA"/>
        </w:rPr>
        <w:t xml:space="preserve"> this process by </w:t>
      </w:r>
      <w:r w:rsidR="00073897">
        <w:rPr>
          <w:i/>
          <w:lang w:bidi="ar-SA"/>
        </w:rPr>
        <w:t>s</w:t>
      </w:r>
      <w:r w:rsidR="005222F9">
        <w:rPr>
          <w:i/>
          <w:lang w:bidi="ar-SA"/>
        </w:rPr>
        <w:t>upporting</w:t>
      </w:r>
      <w:r w:rsidR="00073897">
        <w:rPr>
          <w:i/>
          <w:lang w:bidi="ar-SA"/>
        </w:rPr>
        <w:t xml:space="preserve"> </w:t>
      </w:r>
      <w:r w:rsidR="00464F8E">
        <w:rPr>
          <w:i/>
          <w:lang w:bidi="ar-SA"/>
        </w:rPr>
        <w:t>the implementation of the Audiovisual Media Service Directive</w:t>
      </w:r>
      <w:r w:rsidR="008C415C">
        <w:rPr>
          <w:i/>
          <w:lang w:bidi="ar-SA"/>
        </w:rPr>
        <w:t xml:space="preserve"> </w:t>
      </w:r>
      <w:r w:rsidR="000C353A">
        <w:rPr>
          <w:i/>
          <w:lang w:bidi="ar-SA"/>
        </w:rPr>
        <w:t xml:space="preserve">which </w:t>
      </w:r>
      <w:r w:rsidR="000C353A" w:rsidRPr="000C353A">
        <w:rPr>
          <w:i/>
          <w:lang w:val="en-IE" w:bidi="ar-SA"/>
        </w:rPr>
        <w:t>prompts Member States to encourage media service providers to ensure that their services are made more accessible to people with visual or hearing impairments</w:t>
      </w:r>
      <w:r w:rsidR="008247BB">
        <w:rPr>
          <w:i/>
          <w:lang w:bidi="ar-SA"/>
        </w:rPr>
        <w:t xml:space="preserve">. </w:t>
      </w:r>
    </w:p>
    <w:p w14:paraId="5937AEB8" w14:textId="77777777" w:rsidR="00464F8E" w:rsidRPr="008067B1" w:rsidRDefault="00464F8E" w:rsidP="00194F44">
      <w:pPr>
        <w:pStyle w:val="FRATextbox"/>
        <w:pBdr>
          <w:top w:val="none" w:sz="0" w:space="0" w:color="auto"/>
          <w:left w:val="none" w:sz="0" w:space="0" w:color="auto"/>
          <w:bottom w:val="none" w:sz="0" w:space="0" w:color="auto"/>
          <w:right w:val="none" w:sz="0" w:space="0" w:color="auto"/>
        </w:pBdr>
        <w:spacing w:before="120" w:after="120"/>
        <w:rPr>
          <w:i/>
          <w:lang w:bidi="ar-SA"/>
        </w:rPr>
      </w:pPr>
      <w:r>
        <w:rPr>
          <w:i/>
          <w:lang w:bidi="ar-SA"/>
        </w:rPr>
        <w:t>In the run up to elections, c</w:t>
      </w:r>
      <w:r w:rsidRPr="008067B1">
        <w:rPr>
          <w:i/>
          <w:lang w:bidi="ar-SA"/>
        </w:rPr>
        <w:t>ommunication material which provide</w:t>
      </w:r>
      <w:r w:rsidR="00F33BEA">
        <w:rPr>
          <w:i/>
          <w:lang w:bidi="ar-SA"/>
        </w:rPr>
        <w:t>s</w:t>
      </w:r>
      <w:r w:rsidRPr="008067B1">
        <w:rPr>
          <w:i/>
          <w:lang w:bidi="ar-SA"/>
        </w:rPr>
        <w:t xml:space="preserve"> instructions for voting and information on candidates should offer clear explanations in simple language, and be </w:t>
      </w:r>
      <w:r>
        <w:rPr>
          <w:i/>
          <w:lang w:bidi="ar-SA"/>
        </w:rPr>
        <w:t xml:space="preserve">easily </w:t>
      </w:r>
      <w:r w:rsidRPr="008067B1">
        <w:rPr>
          <w:i/>
          <w:lang w:bidi="ar-SA"/>
        </w:rPr>
        <w:t xml:space="preserve">available in different formats. Member States </w:t>
      </w:r>
      <w:r>
        <w:rPr>
          <w:i/>
          <w:lang w:bidi="ar-SA"/>
        </w:rPr>
        <w:t xml:space="preserve">should also </w:t>
      </w:r>
      <w:r w:rsidRPr="008067B1">
        <w:rPr>
          <w:i/>
          <w:lang w:bidi="ar-SA"/>
        </w:rPr>
        <w:t>ensure that funding is available for the provision of accessible information throughout the electoral process.</w:t>
      </w:r>
    </w:p>
    <w:p w14:paraId="5937AEB9" w14:textId="77777777" w:rsidR="00464F8E" w:rsidRDefault="00464F8E" w:rsidP="00194F44">
      <w:pPr>
        <w:pStyle w:val="FRATextbox"/>
        <w:pBdr>
          <w:top w:val="none" w:sz="0" w:space="0" w:color="auto"/>
          <w:left w:val="none" w:sz="0" w:space="0" w:color="auto"/>
          <w:bottom w:val="none" w:sz="0" w:space="0" w:color="auto"/>
          <w:right w:val="none" w:sz="0" w:space="0" w:color="auto"/>
        </w:pBdr>
        <w:spacing w:before="120" w:after="120"/>
        <w:rPr>
          <w:i/>
          <w:lang w:bidi="ar-SA"/>
        </w:rPr>
      </w:pPr>
      <w:r w:rsidRPr="008067B1">
        <w:rPr>
          <w:i/>
          <w:lang w:bidi="ar-SA"/>
        </w:rPr>
        <w:t>Political parties should provide their manifestos and other campaign materials in alternative formats,</w:t>
      </w:r>
      <w:r w:rsidRPr="00D659EF">
        <w:rPr>
          <w:i/>
          <w:lang w:bidi="ar-SA"/>
        </w:rPr>
        <w:t xml:space="preserve"> </w:t>
      </w:r>
      <w:r w:rsidRPr="00B464D0">
        <w:rPr>
          <w:i/>
          <w:lang w:bidi="ar-SA"/>
        </w:rPr>
        <w:t>which reflect the needs of persons with different types of impairments</w:t>
      </w:r>
      <w:r w:rsidRPr="008067B1">
        <w:rPr>
          <w:i/>
          <w:lang w:bidi="ar-SA"/>
        </w:rPr>
        <w:t xml:space="preserve"> including easy-to-read, videos with subtitles or sign language interpretation, brai</w:t>
      </w:r>
      <w:r w:rsidRPr="00D659EF">
        <w:rPr>
          <w:i/>
          <w:lang w:bidi="ar-SA"/>
        </w:rPr>
        <w:t>lle and large prin</w:t>
      </w:r>
      <w:r>
        <w:rPr>
          <w:i/>
          <w:lang w:bidi="ar-SA"/>
        </w:rPr>
        <w:t>t</w:t>
      </w:r>
      <w:r w:rsidRPr="008067B1">
        <w:rPr>
          <w:i/>
          <w:lang w:bidi="ar-SA"/>
        </w:rPr>
        <w:t xml:space="preserve">. </w:t>
      </w:r>
      <w:r>
        <w:rPr>
          <w:i/>
          <w:lang w:bidi="ar-SA"/>
        </w:rPr>
        <w:t>Political parties can also increase the opportunities for persons with disabilities to participate in their activities by taking steps to make their events more accessible, for example by checking the accessibility of meeting places and providing sign language interpretation.</w:t>
      </w:r>
    </w:p>
    <w:p w14:paraId="5937AEBA" w14:textId="77777777" w:rsidR="00464F8E" w:rsidRPr="00194F44" w:rsidRDefault="00464F8E" w:rsidP="00194F44">
      <w:pPr>
        <w:pStyle w:val="FRABodyText"/>
        <w:spacing w:before="120" w:after="120"/>
        <w:rPr>
          <w:rFonts w:ascii="Verdana" w:hAnsi="Verdana"/>
          <w:color w:val="00565B"/>
          <w:sz w:val="28"/>
          <w:lang w:eastAsia="en-GB"/>
        </w:rPr>
      </w:pPr>
      <w:bookmarkStart w:id="9" w:name="_Toc381174220"/>
      <w:r w:rsidRPr="00194F44">
        <w:rPr>
          <w:rFonts w:ascii="Verdana" w:hAnsi="Verdana"/>
          <w:color w:val="00565B"/>
          <w:sz w:val="28"/>
          <w:lang w:eastAsia="en-GB"/>
        </w:rPr>
        <w:t>Expanding opportunities for participation in political life</w:t>
      </w:r>
      <w:bookmarkEnd w:id="9"/>
    </w:p>
    <w:p w14:paraId="79F8DF82" w14:textId="340FFAD8" w:rsidR="00C04D86" w:rsidRDefault="00C04D86" w:rsidP="00194F44">
      <w:pPr>
        <w:pStyle w:val="FRABodyText"/>
        <w:shd w:val="pct15" w:color="auto" w:fill="auto"/>
        <w:spacing w:before="120" w:after="120"/>
      </w:pPr>
      <w:r>
        <w:t xml:space="preserve">The active involvement of persons with disabilities, </w:t>
      </w:r>
      <w:r w:rsidR="001C71D3">
        <w:t xml:space="preserve">including </w:t>
      </w:r>
      <w:r>
        <w:t>through their representative organisations, in policy development and law making has not yet been formalised as a requirement or put in practi</w:t>
      </w:r>
      <w:r w:rsidR="001C71D3">
        <w:t>c</w:t>
      </w:r>
      <w:r>
        <w:t>e in all EU Member States.</w:t>
      </w:r>
      <w:r w:rsidR="003E06D7">
        <w:t xml:space="preserve"> </w:t>
      </w:r>
      <w:r w:rsidR="005C77DE">
        <w:t>Moreover, there is little information about the number of elected officials who identify as having a disability.</w:t>
      </w:r>
    </w:p>
    <w:p w14:paraId="5937AEBB" w14:textId="2A35B44D" w:rsidR="00464F8E" w:rsidRDefault="00960AF9" w:rsidP="006D0865">
      <w:pPr>
        <w:pStyle w:val="FRABodyText"/>
        <w:spacing w:before="120" w:after="120"/>
      </w:pPr>
      <w:r>
        <w:t>T</w:t>
      </w:r>
      <w:r w:rsidR="00464F8E" w:rsidRPr="00FF2535">
        <w:t xml:space="preserve">he </w:t>
      </w:r>
      <w:r w:rsidR="000C353A">
        <w:t>research</w:t>
      </w:r>
      <w:r w:rsidR="000C353A" w:rsidRPr="00FF2535">
        <w:t xml:space="preserve"> </w:t>
      </w:r>
      <w:r w:rsidR="00464F8E" w:rsidRPr="00FF2535">
        <w:t xml:space="preserve">also </w:t>
      </w:r>
      <w:r w:rsidR="00A115E4">
        <w:t>examine</w:t>
      </w:r>
      <w:r w:rsidR="000C353A">
        <w:t>s</w:t>
      </w:r>
      <w:r w:rsidR="00A115E4">
        <w:t xml:space="preserve"> the opportunities </w:t>
      </w:r>
      <w:r w:rsidR="00464F8E">
        <w:t>giv</w:t>
      </w:r>
      <w:r w:rsidR="00A115E4">
        <w:t>en</w:t>
      </w:r>
      <w:r w:rsidR="00464F8E">
        <w:t xml:space="preserve"> </w:t>
      </w:r>
      <w:r w:rsidR="00A115E4">
        <w:t xml:space="preserve">to </w:t>
      </w:r>
      <w:r w:rsidR="00464F8E">
        <w:t>persons with disabilities and their representative organisations to participate in political life</w:t>
      </w:r>
      <w:r w:rsidRPr="00960AF9">
        <w:t xml:space="preserve"> </w:t>
      </w:r>
      <w:r>
        <w:t>more broadly, b</w:t>
      </w:r>
      <w:r w:rsidRPr="00FF2535">
        <w:t>eyond voting and elections</w:t>
      </w:r>
      <w:r w:rsidR="00464F8E">
        <w:t>.</w:t>
      </w:r>
    </w:p>
    <w:p w14:paraId="5937AEBC" w14:textId="1428F2A2" w:rsidR="00464F8E" w:rsidRPr="00FF2535" w:rsidRDefault="00464F8E" w:rsidP="006D0865">
      <w:pPr>
        <w:pStyle w:val="FRABodyText"/>
        <w:spacing w:before="120" w:after="120"/>
      </w:pPr>
      <w:r>
        <w:t>Closely consulting and actively involving persons with disabilities, through their representative organisations,</w:t>
      </w:r>
      <w:r w:rsidRPr="00FF2535">
        <w:t xml:space="preserve"> in policy development and </w:t>
      </w:r>
      <w:r>
        <w:t>law making</w:t>
      </w:r>
      <w:r w:rsidRPr="00FF2535">
        <w:t xml:space="preserve"> is a</w:t>
      </w:r>
      <w:r>
        <w:t>n obligation under the</w:t>
      </w:r>
      <w:r w:rsidRPr="00FF2535">
        <w:t xml:space="preserve"> CRPD</w:t>
      </w:r>
      <w:r w:rsidR="00C04D86">
        <w:t>;</w:t>
      </w:r>
      <w:r w:rsidRPr="00FF2535">
        <w:t xml:space="preserve"> yet</w:t>
      </w:r>
      <w:r w:rsidR="00C04D86">
        <w:t>,</w:t>
      </w:r>
      <w:r w:rsidRPr="00FF2535">
        <w:t xml:space="preserve"> it is not formalised as a requirement</w:t>
      </w:r>
      <w:r>
        <w:t xml:space="preserve"> or systematic practice</w:t>
      </w:r>
      <w:r w:rsidRPr="00FF2535">
        <w:t xml:space="preserve"> in </w:t>
      </w:r>
      <w:r>
        <w:t>all</w:t>
      </w:r>
      <w:r w:rsidRPr="00FF2535">
        <w:t xml:space="preserve"> EU Member States. </w:t>
      </w:r>
      <w:r w:rsidR="002F732F">
        <w:t xml:space="preserve">The analysis shows </w:t>
      </w:r>
      <w:r>
        <w:t>that</w:t>
      </w:r>
      <w:r w:rsidR="00CD5A6E">
        <w:t> </w:t>
      </w:r>
      <w:r>
        <w:t>DPOs are increasingly being consulted and involved by public authorities as they take steps to implement the</w:t>
      </w:r>
      <w:r w:rsidR="00CD5A6E">
        <w:t> </w:t>
      </w:r>
      <w:r>
        <w:t>CRPD</w:t>
      </w:r>
      <w:r w:rsidR="00C04D86">
        <w:t xml:space="preserve"> –</w:t>
      </w:r>
      <w:r w:rsidR="00CD5A6E">
        <w:t> </w:t>
      </w:r>
      <w:r>
        <w:t xml:space="preserve">a Europe-wide promising practice that should be expanded and deepened further. </w:t>
      </w:r>
      <w:r w:rsidRPr="00FF2535">
        <w:t xml:space="preserve">There is great scope to engage organisations </w:t>
      </w:r>
      <w:r>
        <w:t xml:space="preserve">of persons with disabilities </w:t>
      </w:r>
      <w:r w:rsidRPr="00FF2535">
        <w:t>in reviewing and resolving the challenges outlined in this report.</w:t>
      </w:r>
    </w:p>
    <w:p w14:paraId="5937AEBD" w14:textId="5D433C2C" w:rsidR="00464F8E" w:rsidRDefault="00E73512" w:rsidP="006D0865">
      <w:pPr>
        <w:pStyle w:val="FRABodyText"/>
        <w:spacing w:before="120" w:after="120"/>
      </w:pPr>
      <w:r>
        <w:t xml:space="preserve">An </w:t>
      </w:r>
      <w:r w:rsidR="00E20AB5">
        <w:t xml:space="preserve">important </w:t>
      </w:r>
      <w:r w:rsidR="00464F8E">
        <w:t>indication of the opportunity for persons with disabilities to participate in public life is the number of persons with disabilities elected to public office. This research shows, however,</w:t>
      </w:r>
      <w:r w:rsidR="00464F8E" w:rsidRPr="00FF2535">
        <w:t xml:space="preserve"> a lack of clear evidence about the extent to which people with disabilities have been able to take advantage of </w:t>
      </w:r>
      <w:r w:rsidR="00464F8E" w:rsidRPr="00FF2535">
        <w:lastRenderedPageBreak/>
        <w:t xml:space="preserve">the opportunity to </w:t>
      </w:r>
      <w:r>
        <w:t>be</w:t>
      </w:r>
      <w:r w:rsidR="00464F8E" w:rsidRPr="00FF2535">
        <w:t xml:space="preserve"> elected to the European Parliament, national </w:t>
      </w:r>
      <w:r w:rsidR="00464F8E">
        <w:t>p</w:t>
      </w:r>
      <w:r w:rsidR="00464F8E" w:rsidRPr="00FF2535">
        <w:t>arliaments or municipal government</w:t>
      </w:r>
      <w:r>
        <w:t>s</w:t>
      </w:r>
      <w:r w:rsidR="00464F8E" w:rsidRPr="00FF2535">
        <w:t>.</w:t>
      </w:r>
    </w:p>
    <w:p w14:paraId="5937AEBE" w14:textId="01F0DF3C" w:rsidR="00464F8E" w:rsidRDefault="000B3302" w:rsidP="00194F44">
      <w:pPr>
        <w:pStyle w:val="FRATextboxTitle"/>
        <w:pBdr>
          <w:top w:val="none" w:sz="0" w:space="0" w:color="auto"/>
          <w:left w:val="none" w:sz="0" w:space="0" w:color="auto"/>
          <w:bottom w:val="none" w:sz="0" w:space="0" w:color="auto"/>
          <w:right w:val="none" w:sz="0" w:space="0" w:color="auto"/>
        </w:pBdr>
        <w:spacing w:before="120" w:after="120"/>
        <w:jc w:val="left"/>
      </w:pPr>
      <w:r>
        <w:t>O</w:t>
      </w:r>
      <w:r w:rsidR="00464F8E">
        <w:t>pinions</w:t>
      </w:r>
    </w:p>
    <w:p w14:paraId="5937AEBF" w14:textId="7715C67A" w:rsidR="00464F8E" w:rsidRDefault="00532195" w:rsidP="00194F44">
      <w:pPr>
        <w:pStyle w:val="FRATextbox"/>
        <w:pBdr>
          <w:top w:val="none" w:sz="0" w:space="0" w:color="auto"/>
          <w:left w:val="none" w:sz="0" w:space="0" w:color="auto"/>
          <w:bottom w:val="none" w:sz="0" w:space="0" w:color="auto"/>
          <w:right w:val="none" w:sz="0" w:space="0" w:color="auto"/>
        </w:pBdr>
        <w:spacing w:before="120" w:after="120"/>
        <w:rPr>
          <w:i/>
        </w:rPr>
      </w:pPr>
      <w:r>
        <w:rPr>
          <w:i/>
        </w:rPr>
        <w:t>EU </w:t>
      </w:r>
      <w:r w:rsidR="00464F8E">
        <w:rPr>
          <w:i/>
        </w:rPr>
        <w:t>Member States and the EU</w:t>
      </w:r>
      <w:r w:rsidR="00CD5A6E">
        <w:rPr>
          <w:i/>
        </w:rPr>
        <w:t> </w:t>
      </w:r>
      <w:r w:rsidR="00464F8E">
        <w:rPr>
          <w:i/>
        </w:rPr>
        <w:t>institutions should closely engage persons with disabilities</w:t>
      </w:r>
      <w:r w:rsidR="00C67045">
        <w:rPr>
          <w:i/>
        </w:rPr>
        <w:t>, including</w:t>
      </w:r>
      <w:r w:rsidR="00464F8E">
        <w:rPr>
          <w:i/>
        </w:rPr>
        <w:t xml:space="preserve"> through their representative</w:t>
      </w:r>
      <w:r w:rsidR="00464F8E" w:rsidRPr="006E4B90">
        <w:rPr>
          <w:i/>
          <w:lang w:val="en-GB"/>
        </w:rPr>
        <w:t xml:space="preserve"> organisations</w:t>
      </w:r>
      <w:r w:rsidR="00C67045">
        <w:rPr>
          <w:i/>
          <w:lang w:val="en-GB"/>
        </w:rPr>
        <w:t>,</w:t>
      </w:r>
      <w:r w:rsidR="00464F8E">
        <w:rPr>
          <w:i/>
        </w:rPr>
        <w:t xml:space="preserve"> in decision-making processes concerning issues relating to persons with disabilities. To this end, Member States and EU</w:t>
      </w:r>
      <w:r w:rsidR="00EA6427">
        <w:rPr>
          <w:i/>
        </w:rPr>
        <w:t> </w:t>
      </w:r>
      <w:r w:rsidR="00464F8E">
        <w:rPr>
          <w:i/>
        </w:rPr>
        <w:t xml:space="preserve">institutions </w:t>
      </w:r>
      <w:r w:rsidR="00A85A2D">
        <w:rPr>
          <w:i/>
        </w:rPr>
        <w:t>sh</w:t>
      </w:r>
      <w:r w:rsidR="00464F8E">
        <w:rPr>
          <w:i/>
        </w:rPr>
        <w:t>ould strengthen existing mechanisms for involving</w:t>
      </w:r>
      <w:r>
        <w:rPr>
          <w:i/>
        </w:rPr>
        <w:t> </w:t>
      </w:r>
      <w:r w:rsidR="00464F8E">
        <w:rPr>
          <w:i/>
        </w:rPr>
        <w:t>DPOs, including by setting up advisory or consultation bodies. These should include a significant proportion of</w:t>
      </w:r>
      <w:r>
        <w:rPr>
          <w:i/>
        </w:rPr>
        <w:t> </w:t>
      </w:r>
      <w:r w:rsidR="00464F8E">
        <w:rPr>
          <w:i/>
        </w:rPr>
        <w:t xml:space="preserve">DPOs reflecting different groups of persons with disabilities. Representatives of persons with disabilities should be full members of such bodies, on an equal basis with others, and should be provided with the necessary </w:t>
      </w:r>
      <w:r w:rsidR="00526835">
        <w:rPr>
          <w:i/>
        </w:rPr>
        <w:t xml:space="preserve">resources </w:t>
      </w:r>
      <w:r w:rsidR="00DE06BF">
        <w:rPr>
          <w:i/>
        </w:rPr>
        <w:t xml:space="preserve">in a way that supports </w:t>
      </w:r>
      <w:r w:rsidR="00464F8E">
        <w:rPr>
          <w:i/>
        </w:rPr>
        <w:t xml:space="preserve">them to </w:t>
      </w:r>
      <w:r w:rsidR="00526835">
        <w:rPr>
          <w:i/>
        </w:rPr>
        <w:t xml:space="preserve">participate in </w:t>
      </w:r>
      <w:r w:rsidR="00464F8E">
        <w:rPr>
          <w:i/>
        </w:rPr>
        <w:t xml:space="preserve">a </w:t>
      </w:r>
      <w:r w:rsidR="00526835">
        <w:rPr>
          <w:i/>
        </w:rPr>
        <w:t>meaningful way</w:t>
      </w:r>
      <w:r w:rsidR="00D60B00">
        <w:rPr>
          <w:i/>
        </w:rPr>
        <w:t xml:space="preserve"> </w:t>
      </w:r>
      <w:r w:rsidR="00FD3BCE">
        <w:rPr>
          <w:i/>
        </w:rPr>
        <w:t xml:space="preserve">without </w:t>
      </w:r>
      <w:r w:rsidR="00464F8E">
        <w:rPr>
          <w:i/>
        </w:rPr>
        <w:t>compromising the</w:t>
      </w:r>
      <w:r w:rsidR="00FD3BCE">
        <w:rPr>
          <w:i/>
        </w:rPr>
        <w:t>ir</w:t>
      </w:r>
      <w:r w:rsidR="00464F8E">
        <w:rPr>
          <w:i/>
        </w:rPr>
        <w:t xml:space="preserve"> independence.</w:t>
      </w:r>
    </w:p>
    <w:p w14:paraId="5937AEC0" w14:textId="7768550C" w:rsidR="00464F8E" w:rsidRDefault="000906BF" w:rsidP="00194F44">
      <w:pPr>
        <w:pStyle w:val="FRATextbox"/>
        <w:pBdr>
          <w:top w:val="none" w:sz="0" w:space="0" w:color="auto"/>
          <w:left w:val="none" w:sz="0" w:space="0" w:color="auto"/>
          <w:bottom w:val="none" w:sz="0" w:space="0" w:color="auto"/>
          <w:right w:val="none" w:sz="0" w:space="0" w:color="auto"/>
        </w:pBdr>
        <w:spacing w:before="120" w:after="120"/>
        <w:rPr>
          <w:i/>
        </w:rPr>
      </w:pPr>
      <w:r>
        <w:rPr>
          <w:i/>
        </w:rPr>
        <w:t xml:space="preserve">EU </w:t>
      </w:r>
      <w:r w:rsidR="00E105DA">
        <w:rPr>
          <w:i/>
        </w:rPr>
        <w:t>Member States and  EU</w:t>
      </w:r>
      <w:r w:rsidR="00532195">
        <w:rPr>
          <w:i/>
        </w:rPr>
        <w:t> </w:t>
      </w:r>
      <w:r w:rsidR="00E105DA">
        <w:rPr>
          <w:i/>
        </w:rPr>
        <w:t>in</w:t>
      </w:r>
      <w:r w:rsidR="00E73512">
        <w:rPr>
          <w:i/>
        </w:rPr>
        <w:t>s</w:t>
      </w:r>
      <w:r w:rsidR="00E105DA">
        <w:rPr>
          <w:i/>
        </w:rPr>
        <w:t>ti</w:t>
      </w:r>
      <w:r w:rsidR="00E73512">
        <w:rPr>
          <w:i/>
        </w:rPr>
        <w:t>tutions should ensure that o</w:t>
      </w:r>
      <w:r w:rsidR="00464F8E">
        <w:rPr>
          <w:i/>
        </w:rPr>
        <w:t xml:space="preserve">pportunities to participate in consultation processes </w:t>
      </w:r>
      <w:r w:rsidR="00E105DA">
        <w:rPr>
          <w:i/>
        </w:rPr>
        <w:t xml:space="preserve">concerning the development of law and policy affecting persons with disabilities </w:t>
      </w:r>
      <w:r w:rsidR="00E73512">
        <w:rPr>
          <w:i/>
        </w:rPr>
        <w:t>are</w:t>
      </w:r>
      <w:r w:rsidR="00464F8E">
        <w:rPr>
          <w:i/>
        </w:rPr>
        <w:t xml:space="preserve"> clearly and widely</w:t>
      </w:r>
      <w:r w:rsidR="00464F8E" w:rsidRPr="006E4B90">
        <w:rPr>
          <w:i/>
          <w:lang w:val="en-GB"/>
        </w:rPr>
        <w:t xml:space="preserve"> publicised</w:t>
      </w:r>
      <w:r w:rsidR="00464F8E">
        <w:rPr>
          <w:i/>
        </w:rPr>
        <w:t xml:space="preserve"> using accessible communications</w:t>
      </w:r>
      <w:r w:rsidR="00E105DA">
        <w:rPr>
          <w:i/>
        </w:rPr>
        <w:t>.</w:t>
      </w:r>
      <w:r w:rsidR="00464F8E">
        <w:rPr>
          <w:i/>
        </w:rPr>
        <w:t xml:space="preserve"> </w:t>
      </w:r>
      <w:r w:rsidR="00476C87">
        <w:rPr>
          <w:i/>
        </w:rPr>
        <w:t>Member States</w:t>
      </w:r>
      <w:r w:rsidR="00464F8E">
        <w:rPr>
          <w:i/>
        </w:rPr>
        <w:t xml:space="preserve"> </w:t>
      </w:r>
      <w:r w:rsidR="00E105DA">
        <w:rPr>
          <w:i/>
        </w:rPr>
        <w:t xml:space="preserve">should </w:t>
      </w:r>
      <w:r w:rsidR="00476C87">
        <w:rPr>
          <w:i/>
        </w:rPr>
        <w:t xml:space="preserve">ensure </w:t>
      </w:r>
      <w:r w:rsidR="00CC0920">
        <w:rPr>
          <w:i/>
        </w:rPr>
        <w:t>that</w:t>
      </w:r>
      <w:r w:rsidR="00EA6427">
        <w:rPr>
          <w:i/>
        </w:rPr>
        <w:t> </w:t>
      </w:r>
      <w:r w:rsidR="00464F8E">
        <w:rPr>
          <w:i/>
        </w:rPr>
        <w:t xml:space="preserve">DPOs </w:t>
      </w:r>
      <w:r w:rsidR="00A24E3F">
        <w:rPr>
          <w:i/>
        </w:rPr>
        <w:t>can</w:t>
      </w:r>
      <w:r w:rsidR="00464F8E">
        <w:rPr>
          <w:i/>
        </w:rPr>
        <w:t xml:space="preserve"> provide input in other formats such as braille or easy-to-read. Public hearings and committee meetings discussing proposed legislation should be made accessible through, for example, the removal of physical barriers and the provision of sign language interpreters.</w:t>
      </w:r>
    </w:p>
    <w:p w14:paraId="5937AEC2" w14:textId="0FD91F82" w:rsidR="00464F8E" w:rsidRDefault="00464F8E" w:rsidP="00194F44">
      <w:pPr>
        <w:pStyle w:val="FRATextbox"/>
        <w:pBdr>
          <w:top w:val="none" w:sz="0" w:space="0" w:color="auto"/>
          <w:left w:val="none" w:sz="0" w:space="0" w:color="auto"/>
          <w:bottom w:val="none" w:sz="0" w:space="0" w:color="auto"/>
          <w:right w:val="none" w:sz="0" w:space="0" w:color="auto"/>
        </w:pBdr>
        <w:spacing w:before="120" w:after="120"/>
        <w:rPr>
          <w:i/>
          <w:lang w:val="en-IE"/>
        </w:rPr>
      </w:pPr>
      <w:r>
        <w:rPr>
          <w:i/>
          <w:lang w:val="en-IE"/>
        </w:rPr>
        <w:t>Schemes to ensure that candidates or prospective candidates have the same opportunities to run for elected office as others should be considered by EU</w:t>
      </w:r>
      <w:r w:rsidR="00EA6427">
        <w:rPr>
          <w:i/>
          <w:lang w:val="en-IE"/>
        </w:rPr>
        <w:t> </w:t>
      </w:r>
      <w:r>
        <w:rPr>
          <w:i/>
          <w:lang w:val="en-IE"/>
        </w:rPr>
        <w:t xml:space="preserve">Member States. These could include financial and other support to account for the additional resources persons with disabilities may </w:t>
      </w:r>
      <w:r w:rsidR="00CA78BE">
        <w:rPr>
          <w:i/>
          <w:lang w:val="en-IE"/>
        </w:rPr>
        <w:t xml:space="preserve">need </w:t>
      </w:r>
      <w:r>
        <w:rPr>
          <w:i/>
          <w:lang w:val="en-IE"/>
        </w:rPr>
        <w:t>to campaign effectively, as well as steps to remove physical and other obstacles which impede access to buildings where political activities take place. Once in office, elected officials with disabilities should be provided with the reasonable accommodations required to allow them to carry out their tasks on an equal basis with others.</w:t>
      </w:r>
    </w:p>
    <w:p w14:paraId="5937AEC3" w14:textId="77777777" w:rsidR="00464F8E" w:rsidRDefault="00464F8E" w:rsidP="00194F44">
      <w:pPr>
        <w:pStyle w:val="FRATextbox"/>
        <w:pBdr>
          <w:top w:val="none" w:sz="0" w:space="0" w:color="auto"/>
          <w:left w:val="none" w:sz="0" w:space="0" w:color="auto"/>
          <w:bottom w:val="none" w:sz="0" w:space="0" w:color="auto"/>
          <w:right w:val="none" w:sz="0" w:space="0" w:color="auto"/>
        </w:pBdr>
        <w:spacing w:before="120" w:after="120"/>
        <w:rPr>
          <w:i/>
          <w:lang w:val="en-IE"/>
        </w:rPr>
      </w:pPr>
      <w:r>
        <w:rPr>
          <w:i/>
          <w:lang w:val="en-IE"/>
        </w:rPr>
        <w:t>Reasonable accommodations tailored to the needs of the specific individual may be necessary even in an environment that is accessible. Making these accommodations requires information on the needs of elected officials. Such data collection must, however, comply with legally established safeguards to ensure confidentiality and respect for the privacy of persons with disabilities.</w:t>
      </w:r>
    </w:p>
    <w:p w14:paraId="5937AEC4" w14:textId="77777777" w:rsidR="00464F8E" w:rsidRPr="00194F44" w:rsidRDefault="00464F8E" w:rsidP="00194F44">
      <w:pPr>
        <w:pStyle w:val="FRABodyText"/>
        <w:spacing w:before="120" w:after="120"/>
        <w:rPr>
          <w:rFonts w:ascii="Verdana" w:hAnsi="Verdana"/>
          <w:color w:val="00565B"/>
          <w:sz w:val="28"/>
          <w:lang w:eastAsia="en-GB"/>
        </w:rPr>
      </w:pPr>
      <w:bookmarkStart w:id="10" w:name="_Toc381174221"/>
      <w:r w:rsidRPr="00194F44">
        <w:rPr>
          <w:rFonts w:ascii="Verdana" w:hAnsi="Verdana"/>
          <w:color w:val="00565B"/>
          <w:sz w:val="28"/>
          <w:lang w:eastAsia="en-GB"/>
        </w:rPr>
        <w:t>Increasing awareness of the right to political participation of persons with disabilities</w:t>
      </w:r>
      <w:bookmarkEnd w:id="10"/>
    </w:p>
    <w:p w14:paraId="5937AEC5" w14:textId="1CDD5A7C" w:rsidR="00464F8E" w:rsidRDefault="00004FA4" w:rsidP="00194F44">
      <w:pPr>
        <w:pStyle w:val="FRABodyText"/>
        <w:shd w:val="pct15" w:color="auto" w:fill="auto"/>
        <w:spacing w:before="120" w:after="120"/>
      </w:pPr>
      <w:r>
        <w:t xml:space="preserve">The </w:t>
      </w:r>
      <w:r w:rsidR="00FE3DD7">
        <w:t xml:space="preserve">FRA </w:t>
      </w:r>
      <w:r w:rsidR="007E249B">
        <w:t>and ANED analysis</w:t>
      </w:r>
      <w:r w:rsidR="00C57A88">
        <w:t xml:space="preserve"> show</w:t>
      </w:r>
      <w:r w:rsidR="001A5136">
        <w:t>s</w:t>
      </w:r>
      <w:r w:rsidR="00C57A88">
        <w:t xml:space="preserve"> </w:t>
      </w:r>
      <w:r w:rsidR="00464F8E">
        <w:t xml:space="preserve">a lack of </w:t>
      </w:r>
      <w:r w:rsidR="006A2E75">
        <w:t xml:space="preserve">training and </w:t>
      </w:r>
      <w:r w:rsidR="00464F8E">
        <w:t xml:space="preserve">awareness </w:t>
      </w:r>
      <w:r w:rsidR="006A2E75">
        <w:t xml:space="preserve">raising </w:t>
      </w:r>
      <w:r w:rsidR="00686773">
        <w:t xml:space="preserve">efforts for important </w:t>
      </w:r>
      <w:r w:rsidR="006A2E75">
        <w:t xml:space="preserve">actors, </w:t>
      </w:r>
      <w:r w:rsidR="00464F8E">
        <w:t>such as election officials, political parties, public authorities and media providers</w:t>
      </w:r>
      <w:r w:rsidR="006C7E4F">
        <w:t>,</w:t>
      </w:r>
      <w:r w:rsidR="00464F8E">
        <w:t xml:space="preserve"> </w:t>
      </w:r>
      <w:r w:rsidR="006B5FEE">
        <w:t xml:space="preserve">on </w:t>
      </w:r>
      <w:r w:rsidR="00464F8E">
        <w:t xml:space="preserve">how to </w:t>
      </w:r>
      <w:r w:rsidR="006B5FEE">
        <w:t xml:space="preserve">fulfil </w:t>
      </w:r>
      <w:r w:rsidR="00464F8E">
        <w:t xml:space="preserve">the right </w:t>
      </w:r>
      <w:r w:rsidR="006B5FEE">
        <w:t xml:space="preserve">of persons with disabilities </w:t>
      </w:r>
      <w:r w:rsidR="00464F8E">
        <w:t>to political participation.</w:t>
      </w:r>
      <w:r w:rsidR="008129CE">
        <w:t xml:space="preserve"> In addition, the capacity of relevant actors to meet the needs of persons with disabilities needs to be built up.</w:t>
      </w:r>
    </w:p>
    <w:p w14:paraId="5937AEC6" w14:textId="77777777" w:rsidR="00464F8E" w:rsidRDefault="00464F8E" w:rsidP="006D0865">
      <w:pPr>
        <w:pStyle w:val="FRABodyText"/>
        <w:spacing w:before="120" w:after="120"/>
      </w:pPr>
      <w:r w:rsidRPr="00FF2535">
        <w:t xml:space="preserve">To ensure that rights become a reality there is a need for </w:t>
      </w:r>
      <w:r w:rsidR="000A5AB9">
        <w:t xml:space="preserve">public officials and other </w:t>
      </w:r>
      <w:r w:rsidRPr="00FF2535">
        <w:t>key person</w:t>
      </w:r>
      <w:r>
        <w:t>ne</w:t>
      </w:r>
      <w:r w:rsidRPr="00FF2535">
        <w:t>l to be well informed on disability equality</w:t>
      </w:r>
      <w:r>
        <w:t xml:space="preserve"> in general, as well as core CRPD principles such as accessibility and the duty to provide reasonable accommodation</w:t>
      </w:r>
      <w:r w:rsidRPr="00FF2535">
        <w:t xml:space="preserve">. </w:t>
      </w:r>
      <w:r w:rsidR="004260D0">
        <w:t>The data show that</w:t>
      </w:r>
      <w:r>
        <w:t xml:space="preserve"> training for election officials which covers non-discrimination on the grounds of disability, accessibility and reasonable accommodation is not required by law</w:t>
      </w:r>
      <w:r w:rsidR="004260D0" w:rsidRPr="004260D0">
        <w:t xml:space="preserve"> </w:t>
      </w:r>
      <w:r w:rsidR="004260D0">
        <w:t>in all but one EU Member State</w:t>
      </w:r>
      <w:r>
        <w:t>. DPOs play a major part in raising awareness among public authorities of the rights of persons with disabilities, and can continue to do so through the further development of consultation mechanisms at all levels of government.</w:t>
      </w:r>
    </w:p>
    <w:p w14:paraId="5937AEC7" w14:textId="77777777" w:rsidR="00464F8E" w:rsidRDefault="00464F8E" w:rsidP="006D0865">
      <w:pPr>
        <w:pStyle w:val="FRABodyText"/>
        <w:spacing w:before="120" w:after="120"/>
      </w:pPr>
      <w:r>
        <w:t xml:space="preserve">The importance of raising awareness is not restricted to </w:t>
      </w:r>
      <w:r w:rsidR="00EA0B25">
        <w:t xml:space="preserve">public authorities and other actors </w:t>
      </w:r>
      <w:r>
        <w:t xml:space="preserve">involved in elections. It is also essential that persons with disabilities themselves, particularly those with more severe impairments who are often most excluded from political life, are aware of the right to vote and </w:t>
      </w:r>
      <w:r>
        <w:lastRenderedPageBreak/>
        <w:t xml:space="preserve">participate in political life. Once aware of these rights, persons with disabilities can then </w:t>
      </w:r>
      <w:r w:rsidR="001566B7">
        <w:t>more effectively identify</w:t>
      </w:r>
      <w:r w:rsidR="00A8109A">
        <w:t xml:space="preserve"> themselves</w:t>
      </w:r>
      <w:r w:rsidR="001566B7">
        <w:t xml:space="preserve"> </w:t>
      </w:r>
      <w:r>
        <w:t xml:space="preserve">practices and procedures which </w:t>
      </w:r>
      <w:r w:rsidR="00DB7CFD">
        <w:t xml:space="preserve">prevent them from fulfilling </w:t>
      </w:r>
      <w:r>
        <w:t>the</w:t>
      </w:r>
      <w:r w:rsidR="00EC22F5">
        <w:t>se</w:t>
      </w:r>
      <w:r>
        <w:t xml:space="preserve"> right</w:t>
      </w:r>
      <w:r w:rsidR="00DB7CFD">
        <w:t>s</w:t>
      </w:r>
      <w:r>
        <w:t>.</w:t>
      </w:r>
    </w:p>
    <w:p w14:paraId="5937AEC9" w14:textId="0B85E4FB" w:rsidR="00464F8E" w:rsidRDefault="00464F8E" w:rsidP="006D0865">
      <w:pPr>
        <w:pStyle w:val="FRABodyText"/>
        <w:spacing w:before="120" w:after="120"/>
      </w:pPr>
      <w:r>
        <w:t xml:space="preserve">Alongside awareness-raising, building up the capacities of relevant actors to meet the needs </w:t>
      </w:r>
      <w:r w:rsidR="00F5647C">
        <w:t xml:space="preserve">of </w:t>
      </w:r>
      <w:r>
        <w:t xml:space="preserve">voters with disabilities is an important activity. The data on the accessibility of information and campaign materials suggest a </w:t>
      </w:r>
      <w:r w:rsidRPr="0084015E">
        <w:t xml:space="preserve">need </w:t>
      </w:r>
      <w:r w:rsidRPr="008067B1">
        <w:t>to increase the capacity of political parties and media organisations to make their outputs more accessible</w:t>
      </w:r>
      <w:r w:rsidRPr="0084015E">
        <w:t xml:space="preserve">. Similarly, the inaccessibility of polling stations and public authority buildings indicates a need to </w:t>
      </w:r>
      <w:r w:rsidRPr="008067B1">
        <w:t>increase the capacity of relevant public authorities to check</w:t>
      </w:r>
      <w:r w:rsidR="000906BF">
        <w:t xml:space="preserve"> the</w:t>
      </w:r>
      <w:r w:rsidRPr="008067B1">
        <w:t xml:space="preserve"> implementation of building regulations </w:t>
      </w:r>
      <w:r w:rsidR="009C2269">
        <w:t>on accessibility</w:t>
      </w:r>
      <w:r w:rsidR="000B42DA">
        <w:t>,</w:t>
      </w:r>
      <w:r w:rsidR="009C2269">
        <w:t xml:space="preserve"> </w:t>
      </w:r>
      <w:r w:rsidRPr="008067B1">
        <w:t>as well as to develop detailed and standardised guidelines for assessing building accessibility in practice</w:t>
      </w:r>
      <w:r>
        <w:t>.</w:t>
      </w:r>
    </w:p>
    <w:p w14:paraId="5937AECA" w14:textId="23A64342" w:rsidR="00464F8E" w:rsidRDefault="000B3302" w:rsidP="00194F44">
      <w:pPr>
        <w:pStyle w:val="FRATextboxTitle"/>
        <w:pBdr>
          <w:top w:val="none" w:sz="0" w:space="0" w:color="auto"/>
          <w:left w:val="none" w:sz="0" w:space="0" w:color="auto"/>
          <w:bottom w:val="none" w:sz="0" w:space="0" w:color="auto"/>
          <w:right w:val="none" w:sz="0" w:space="0" w:color="auto"/>
        </w:pBdr>
        <w:spacing w:before="120" w:after="120"/>
        <w:jc w:val="left"/>
      </w:pPr>
      <w:r>
        <w:t>O</w:t>
      </w:r>
      <w:r w:rsidR="00464F8E">
        <w:t>pinions</w:t>
      </w:r>
    </w:p>
    <w:p w14:paraId="582F5154" w14:textId="06CA294D" w:rsidR="004B0838" w:rsidRPr="008067B1" w:rsidRDefault="000B42DA" w:rsidP="00194F44">
      <w:pPr>
        <w:pStyle w:val="FRATextbox"/>
        <w:pBdr>
          <w:top w:val="none" w:sz="0" w:space="0" w:color="auto"/>
          <w:left w:val="none" w:sz="0" w:space="0" w:color="auto"/>
          <w:bottom w:val="none" w:sz="0" w:space="0" w:color="auto"/>
          <w:right w:val="none" w:sz="0" w:space="0" w:color="auto"/>
        </w:pBdr>
        <w:spacing w:before="120" w:after="120"/>
        <w:rPr>
          <w:i/>
          <w:lang w:bidi="ar-SA"/>
        </w:rPr>
      </w:pPr>
      <w:r>
        <w:rPr>
          <w:i/>
          <w:lang w:bidi="ar-SA"/>
        </w:rPr>
        <w:t>EU </w:t>
      </w:r>
      <w:r w:rsidR="004B0838">
        <w:rPr>
          <w:i/>
          <w:lang w:bidi="ar-SA"/>
        </w:rPr>
        <w:t xml:space="preserve">Member States should take concrete steps to develop the capacity of public authorities to monitor effectively the implementation of building regulations concerning accessibility ensuring that adequate resources are allocated to bodies responsible for ensuring compliance with </w:t>
      </w:r>
      <w:r w:rsidR="00C2445C">
        <w:rPr>
          <w:i/>
          <w:lang w:bidi="ar-SA"/>
        </w:rPr>
        <w:t>accessibility requirements</w:t>
      </w:r>
      <w:r w:rsidR="004B0838">
        <w:rPr>
          <w:i/>
          <w:lang w:bidi="ar-SA"/>
        </w:rPr>
        <w:t xml:space="preserve">. The European Commission should assist this process by </w:t>
      </w:r>
      <w:r w:rsidR="00F347ED">
        <w:rPr>
          <w:i/>
          <w:lang w:bidi="ar-SA"/>
        </w:rPr>
        <w:t xml:space="preserve">continuing to </w:t>
      </w:r>
      <w:r w:rsidR="004B0838">
        <w:rPr>
          <w:i/>
          <w:lang w:bidi="ar-SA"/>
        </w:rPr>
        <w:t>support the development of</w:t>
      </w:r>
      <w:r w:rsidR="004B0838" w:rsidRPr="006E4B90">
        <w:rPr>
          <w:i/>
          <w:lang w:val="en-GB" w:bidi="ar-SA"/>
        </w:rPr>
        <w:t xml:space="preserve"> </w:t>
      </w:r>
      <w:r w:rsidR="003047E1">
        <w:rPr>
          <w:i/>
          <w:lang w:val="en-GB" w:bidi="ar-SA"/>
        </w:rPr>
        <w:t xml:space="preserve">EU </w:t>
      </w:r>
      <w:r w:rsidR="004B0838" w:rsidRPr="006E4B90">
        <w:rPr>
          <w:i/>
          <w:lang w:val="en-GB" w:bidi="ar-SA"/>
        </w:rPr>
        <w:t>standardised</w:t>
      </w:r>
      <w:r w:rsidR="004B0838">
        <w:rPr>
          <w:i/>
          <w:lang w:bidi="ar-SA"/>
        </w:rPr>
        <w:t xml:space="preserve"> guidelines for assessing the accessibility of buildings, taking into account the needs of all persons with disabilities.</w:t>
      </w:r>
    </w:p>
    <w:p w14:paraId="5937AECB" w14:textId="2B7563CF" w:rsidR="00464F8E" w:rsidRDefault="00130F73" w:rsidP="00194F44">
      <w:pPr>
        <w:pStyle w:val="FRATextbox"/>
        <w:pBdr>
          <w:top w:val="none" w:sz="0" w:space="0" w:color="auto"/>
          <w:left w:val="none" w:sz="0" w:space="0" w:color="auto"/>
          <w:bottom w:val="none" w:sz="0" w:space="0" w:color="auto"/>
          <w:right w:val="none" w:sz="0" w:space="0" w:color="auto"/>
        </w:pBdr>
        <w:spacing w:before="120" w:after="120"/>
        <w:rPr>
          <w:i/>
          <w:lang w:bidi="ar-SA"/>
        </w:rPr>
      </w:pPr>
      <w:r>
        <w:rPr>
          <w:i/>
          <w:lang w:bidi="ar-SA"/>
        </w:rPr>
        <w:t>Member States should ensure that e</w:t>
      </w:r>
      <w:r w:rsidR="00464F8E">
        <w:rPr>
          <w:i/>
          <w:lang w:bidi="ar-SA"/>
        </w:rPr>
        <w:t>lection authorities as well as officials charged with supervising elections at the local level receive comprehensive training on non-discrimination on the grounds of disability, accessibility and reasonable accommodation. The training should also cover the respective national legal provisions regarding the provision of assistance to persons with disabilities during voting, as well as the procedures for requesting assistance or support. To ensure that training addresses the barriers experienced by persons with disabilities, DPOs should be involved in its design and implementation, including through joint initiatives by election authorities and DPOs.</w:t>
      </w:r>
    </w:p>
    <w:p w14:paraId="5937AECC" w14:textId="149F1185" w:rsidR="00464F8E" w:rsidRDefault="00464F8E" w:rsidP="00194F44">
      <w:pPr>
        <w:pStyle w:val="FRATextbox"/>
        <w:pBdr>
          <w:top w:val="none" w:sz="0" w:space="0" w:color="auto"/>
          <w:left w:val="none" w:sz="0" w:space="0" w:color="auto"/>
          <w:bottom w:val="none" w:sz="0" w:space="0" w:color="auto"/>
          <w:right w:val="none" w:sz="0" w:space="0" w:color="auto"/>
        </w:pBdr>
        <w:spacing w:before="120" w:after="120"/>
        <w:rPr>
          <w:i/>
          <w:lang w:val="en-IE" w:bidi="ar-SA"/>
        </w:rPr>
      </w:pPr>
      <w:r>
        <w:rPr>
          <w:i/>
          <w:lang w:bidi="ar-SA"/>
        </w:rPr>
        <w:t xml:space="preserve">Member States </w:t>
      </w:r>
      <w:r w:rsidR="006E7BB2">
        <w:rPr>
          <w:i/>
          <w:lang w:bidi="ar-SA"/>
        </w:rPr>
        <w:t>sh</w:t>
      </w:r>
      <w:r>
        <w:rPr>
          <w:i/>
          <w:lang w:bidi="ar-SA"/>
        </w:rPr>
        <w:t xml:space="preserve">ould undertake activities to increase awareness among persons with disabilities </w:t>
      </w:r>
      <w:r w:rsidR="007F2473">
        <w:rPr>
          <w:i/>
          <w:lang w:bidi="ar-SA"/>
        </w:rPr>
        <w:t xml:space="preserve">about </w:t>
      </w:r>
      <w:r>
        <w:rPr>
          <w:i/>
          <w:lang w:bidi="ar-SA"/>
        </w:rPr>
        <w:t xml:space="preserve">the electoral process. </w:t>
      </w:r>
      <w:r w:rsidRPr="00C04312">
        <w:rPr>
          <w:i/>
          <w:lang w:val="en-IE" w:bidi="ar-SA"/>
        </w:rPr>
        <w:t>This can be achieved through citizenship education projects</w:t>
      </w:r>
      <w:r w:rsidR="007E28EB" w:rsidRPr="007E28EB">
        <w:rPr>
          <w:i/>
          <w:lang w:val="en-IE" w:bidi="ar-SA"/>
        </w:rPr>
        <w:t xml:space="preserve"> </w:t>
      </w:r>
      <w:r w:rsidR="007E28EB">
        <w:rPr>
          <w:i/>
          <w:lang w:val="en-IE" w:bidi="ar-SA"/>
        </w:rPr>
        <w:t>to educate persons with disabilities about their political rights</w:t>
      </w:r>
      <w:r w:rsidR="007F2473">
        <w:rPr>
          <w:i/>
          <w:lang w:val="en-IE" w:bidi="ar-SA"/>
        </w:rPr>
        <w:t xml:space="preserve">, </w:t>
      </w:r>
      <w:r w:rsidRPr="00C04312">
        <w:rPr>
          <w:i/>
          <w:lang w:val="en-IE" w:bidi="ar-SA"/>
        </w:rPr>
        <w:t>as well as the development of self-advocacy groups.</w:t>
      </w:r>
      <w:r>
        <w:rPr>
          <w:i/>
          <w:lang w:val="en-IE" w:bidi="ar-SA"/>
        </w:rPr>
        <w:t xml:space="preserve"> </w:t>
      </w:r>
      <w:r w:rsidR="007E28EB">
        <w:rPr>
          <w:i/>
          <w:lang w:val="en-IE" w:bidi="ar-SA"/>
        </w:rPr>
        <w:t>Awareness-raising activities</w:t>
      </w:r>
      <w:r>
        <w:rPr>
          <w:i/>
          <w:lang w:val="en-IE" w:bidi="ar-SA"/>
        </w:rPr>
        <w:t xml:space="preserve"> should also cover long-term institutions where persons with disabilities live.</w:t>
      </w:r>
    </w:p>
    <w:p w14:paraId="2F40B211" w14:textId="5A208D20" w:rsidR="000B3302" w:rsidRDefault="000B3302" w:rsidP="00194F44">
      <w:pPr>
        <w:pStyle w:val="FRATextbox"/>
        <w:pBdr>
          <w:top w:val="none" w:sz="0" w:space="0" w:color="auto"/>
          <w:left w:val="none" w:sz="0" w:space="0" w:color="auto"/>
          <w:bottom w:val="none" w:sz="0" w:space="0" w:color="auto"/>
          <w:right w:val="none" w:sz="0" w:space="0" w:color="auto"/>
        </w:pBdr>
        <w:spacing w:before="120" w:after="120"/>
        <w:rPr>
          <w:i/>
          <w:lang w:bidi="ar-SA"/>
        </w:rPr>
      </w:pPr>
      <w:r w:rsidRPr="008067B1">
        <w:rPr>
          <w:i/>
          <w:lang w:bidi="ar-SA"/>
        </w:rPr>
        <w:t>To increase the capacity of political parties and media</w:t>
      </w:r>
      <w:r w:rsidRPr="006E4B90">
        <w:rPr>
          <w:i/>
        </w:rPr>
        <w:t xml:space="preserve"> organisations</w:t>
      </w:r>
      <w:r w:rsidRPr="008067B1">
        <w:rPr>
          <w:i/>
          <w:lang w:bidi="ar-SA"/>
        </w:rPr>
        <w:t xml:space="preserve"> to </w:t>
      </w:r>
      <w:r>
        <w:rPr>
          <w:i/>
          <w:lang w:bidi="ar-SA"/>
        </w:rPr>
        <w:t>make their outputs accessible for persons with disabilities, Member States could develop – in conjunction with DPOs – practical guidelines on how to produce accessible manifestos, communication materials and broadcasts.</w:t>
      </w:r>
    </w:p>
    <w:p w14:paraId="5937AECF" w14:textId="356FC4AE" w:rsidR="00464F8E" w:rsidRPr="00194F44" w:rsidRDefault="00C15D53" w:rsidP="00194F44">
      <w:pPr>
        <w:pStyle w:val="FRABodyText"/>
        <w:spacing w:before="120" w:after="120"/>
        <w:rPr>
          <w:rFonts w:ascii="Verdana" w:hAnsi="Verdana"/>
          <w:color w:val="00565B"/>
          <w:sz w:val="28"/>
          <w:lang w:eastAsia="en-GB"/>
        </w:rPr>
      </w:pPr>
      <w:bookmarkStart w:id="11" w:name="_Toc381174222"/>
      <w:r w:rsidRPr="00194F44">
        <w:rPr>
          <w:rFonts w:ascii="Verdana" w:hAnsi="Verdana"/>
          <w:color w:val="00565B"/>
          <w:sz w:val="28"/>
          <w:lang w:eastAsia="en-GB"/>
        </w:rPr>
        <w:t>Collecting d</w:t>
      </w:r>
      <w:r w:rsidR="00464F8E" w:rsidRPr="00194F44">
        <w:rPr>
          <w:rFonts w:ascii="Verdana" w:hAnsi="Verdana"/>
          <w:color w:val="00565B"/>
          <w:sz w:val="28"/>
          <w:lang w:eastAsia="en-GB"/>
        </w:rPr>
        <w:t>ata to measure the political participation of persons with disabilities</w:t>
      </w:r>
      <w:bookmarkEnd w:id="11"/>
    </w:p>
    <w:p w14:paraId="6FDF40F3" w14:textId="04DE3CB1" w:rsidR="00130F73" w:rsidRDefault="00884301" w:rsidP="00194F44">
      <w:pPr>
        <w:pStyle w:val="FRABodyText"/>
        <w:shd w:val="pct15" w:color="auto" w:fill="auto"/>
        <w:spacing w:before="120" w:after="120"/>
      </w:pPr>
      <w:r>
        <w:t>The research was based on</w:t>
      </w:r>
      <w:r w:rsidR="002840BE">
        <w:t xml:space="preserve"> </w:t>
      </w:r>
      <w:r w:rsidR="00464F8E">
        <w:t xml:space="preserve">existing data </w:t>
      </w:r>
      <w:r w:rsidR="00130F73">
        <w:t xml:space="preserve">collected </w:t>
      </w:r>
      <w:r w:rsidR="00464F8E">
        <w:t>from publicly available sources</w:t>
      </w:r>
      <w:r w:rsidR="00130F73">
        <w:t xml:space="preserve"> in the 28</w:t>
      </w:r>
      <w:r w:rsidR="00602122">
        <w:t> </w:t>
      </w:r>
      <w:r w:rsidR="00130F73">
        <w:t>EU</w:t>
      </w:r>
      <w:r w:rsidR="00602122">
        <w:t> </w:t>
      </w:r>
      <w:r w:rsidR="00130F73">
        <w:t>Member States</w:t>
      </w:r>
      <w:r w:rsidR="00F94922">
        <w:t xml:space="preserve">. </w:t>
      </w:r>
      <w:r w:rsidR="00E446FD">
        <w:t>T</w:t>
      </w:r>
      <w:r w:rsidR="00464F8E">
        <w:t>he data collection process</w:t>
      </w:r>
      <w:r w:rsidR="00E446FD">
        <w:t xml:space="preserve"> and analysis revealed </w:t>
      </w:r>
      <w:r w:rsidR="00464F8E">
        <w:t xml:space="preserve">three key issues: </w:t>
      </w:r>
    </w:p>
    <w:p w14:paraId="3519DA94" w14:textId="77F79E9F" w:rsidR="00130F73" w:rsidRDefault="00464F8E" w:rsidP="00194F44">
      <w:pPr>
        <w:pStyle w:val="FRABodyText"/>
        <w:numPr>
          <w:ilvl w:val="0"/>
          <w:numId w:val="15"/>
        </w:numPr>
        <w:shd w:val="pct15" w:color="auto" w:fill="auto"/>
        <w:spacing w:before="120" w:after="120"/>
      </w:pPr>
      <w:r>
        <w:t xml:space="preserve">a lack of systematic data collection; </w:t>
      </w:r>
    </w:p>
    <w:p w14:paraId="7522B79B" w14:textId="5CCB1283" w:rsidR="00130F73" w:rsidRDefault="00464F8E" w:rsidP="00194F44">
      <w:pPr>
        <w:pStyle w:val="FRABodyText"/>
        <w:numPr>
          <w:ilvl w:val="0"/>
          <w:numId w:val="15"/>
        </w:numPr>
        <w:shd w:val="pct15" w:color="auto" w:fill="auto"/>
        <w:spacing w:before="120" w:after="120"/>
      </w:pPr>
      <w:r>
        <w:t>an absence of standards and guidelines for measuring accessibility</w:t>
      </w:r>
      <w:r w:rsidR="003702E2">
        <w:t>, especially in a way that can yield comparable results across the EU</w:t>
      </w:r>
      <w:r>
        <w:t xml:space="preserve">; </w:t>
      </w:r>
    </w:p>
    <w:p w14:paraId="5937AED0" w14:textId="75921EFA" w:rsidR="00464F8E" w:rsidRDefault="00FB3DE8" w:rsidP="00194F44">
      <w:pPr>
        <w:pStyle w:val="FRABodyText"/>
        <w:numPr>
          <w:ilvl w:val="0"/>
          <w:numId w:val="15"/>
        </w:numPr>
        <w:shd w:val="pct15" w:color="auto" w:fill="auto"/>
        <w:spacing w:before="120" w:after="120"/>
      </w:pPr>
      <w:r>
        <w:t>c</w:t>
      </w:r>
      <w:r w:rsidR="005C4051">
        <w:t>oncerns</w:t>
      </w:r>
      <w:r w:rsidR="00464F8E">
        <w:t xml:space="preserve"> about existing methodologies for capturing the experiences of persons with disabilities.</w:t>
      </w:r>
    </w:p>
    <w:p w14:paraId="5E9AE328" w14:textId="7893B13B" w:rsidR="00DA3321" w:rsidRPr="006E4B90" w:rsidRDefault="003B0C9C" w:rsidP="006D0865">
      <w:pPr>
        <w:pStyle w:val="FRABodyText"/>
        <w:spacing w:before="120" w:after="120"/>
        <w:rPr>
          <w:lang w:val="en-IE"/>
        </w:rPr>
      </w:pPr>
      <w:r>
        <w:t xml:space="preserve">Overall, the research </w:t>
      </w:r>
      <w:r w:rsidRPr="006E4B90">
        <w:rPr>
          <w:lang w:val="en-IE"/>
        </w:rPr>
        <w:t xml:space="preserve">demonstrates that it is not yet possible to assess accurately the </w:t>
      </w:r>
      <w:r w:rsidR="008B7346">
        <w:rPr>
          <w:lang w:val="en-IE"/>
        </w:rPr>
        <w:t>situation of the political participation of persons with disabilities in the</w:t>
      </w:r>
      <w:r w:rsidR="00FB3DE8">
        <w:rPr>
          <w:lang w:val="en-IE"/>
        </w:rPr>
        <w:t> </w:t>
      </w:r>
      <w:r w:rsidR="008B7346">
        <w:rPr>
          <w:lang w:val="en-IE"/>
        </w:rPr>
        <w:t>EU</w:t>
      </w:r>
      <w:r w:rsidRPr="006E4B90">
        <w:rPr>
          <w:lang w:val="en-IE"/>
        </w:rPr>
        <w:t xml:space="preserve"> due to a lack of reliable and comparable </w:t>
      </w:r>
      <w:r w:rsidRPr="006E4B90">
        <w:rPr>
          <w:lang w:val="en-IE"/>
        </w:rPr>
        <w:lastRenderedPageBreak/>
        <w:t>data.</w:t>
      </w:r>
      <w:r w:rsidRPr="003B0C9C">
        <w:rPr>
          <w:i/>
          <w:lang w:val="en-IE"/>
        </w:rPr>
        <w:t xml:space="preserve"> </w:t>
      </w:r>
      <w:r w:rsidR="009F0FEB">
        <w:rPr>
          <w:lang w:val="en-IE"/>
        </w:rPr>
        <w:t xml:space="preserve">Little systematic data </w:t>
      </w:r>
      <w:r w:rsidR="006C7E4F">
        <w:rPr>
          <w:lang w:val="en-IE"/>
        </w:rPr>
        <w:t>are</w:t>
      </w:r>
      <w:r w:rsidR="009F0FEB">
        <w:rPr>
          <w:lang w:val="en-IE"/>
        </w:rPr>
        <w:t xml:space="preserve"> collected </w:t>
      </w:r>
      <w:r w:rsidR="006B4472">
        <w:rPr>
          <w:lang w:val="en-IE"/>
        </w:rPr>
        <w:t xml:space="preserve">at the Member State or the EU level </w:t>
      </w:r>
      <w:r w:rsidR="009F0FEB">
        <w:rPr>
          <w:lang w:val="en-IE"/>
        </w:rPr>
        <w:t>about persons with disabilities’ experiences of taking part in elections</w:t>
      </w:r>
      <w:r w:rsidR="006B4472">
        <w:rPr>
          <w:lang w:val="en-IE"/>
        </w:rPr>
        <w:t>.</w:t>
      </w:r>
    </w:p>
    <w:p w14:paraId="5937AED1" w14:textId="28C9943C" w:rsidR="00464F8E" w:rsidRPr="00FF2535" w:rsidRDefault="00F94922" w:rsidP="006D0865">
      <w:pPr>
        <w:pStyle w:val="FRABodyText"/>
        <w:spacing w:before="120" w:after="120"/>
      </w:pPr>
      <w:r>
        <w:t xml:space="preserve">Even where data </w:t>
      </w:r>
      <w:r w:rsidR="006C7E4F">
        <w:t xml:space="preserve">were </w:t>
      </w:r>
      <w:r>
        <w:t xml:space="preserve">available, the lack of </w:t>
      </w:r>
      <w:r w:rsidR="005362CE">
        <w:t xml:space="preserve">a common understanding of disability and the absence of </w:t>
      </w:r>
      <w:r w:rsidR="00167DB5">
        <w:t>harm</w:t>
      </w:r>
      <w:r w:rsidR="00DF203D">
        <w:t>o</w:t>
      </w:r>
      <w:r w:rsidR="00167DB5">
        <w:t xml:space="preserve">nised EU </w:t>
      </w:r>
      <w:r>
        <w:t>standards for assessing accessibility made cross-country comparison difficult.</w:t>
      </w:r>
      <w:r w:rsidR="005362CE">
        <w:t xml:space="preserve"> Frequently</w:t>
      </w:r>
      <w:r w:rsidR="006B4472">
        <w:t>,</w:t>
      </w:r>
      <w:r w:rsidR="005362CE">
        <w:t xml:space="preserve"> </w:t>
      </w:r>
      <w:r w:rsidR="006B4472">
        <w:t>existing</w:t>
      </w:r>
      <w:r w:rsidR="005362CE">
        <w:t xml:space="preserve"> data focus on the situation for persons with physical impairments </w:t>
      </w:r>
      <w:r w:rsidR="0092122E">
        <w:t xml:space="preserve">and do not include </w:t>
      </w:r>
      <w:r w:rsidR="005362CE">
        <w:t>other persons with disabilities</w:t>
      </w:r>
      <w:r w:rsidR="006B4472">
        <w:t xml:space="preserve"> who may face less visible barriers</w:t>
      </w:r>
      <w:r w:rsidR="00E80CDD">
        <w:t xml:space="preserve"> to political participation</w:t>
      </w:r>
      <w:r w:rsidR="006B4472">
        <w:t>.</w:t>
      </w:r>
      <w:r>
        <w:t xml:space="preserve"> </w:t>
      </w:r>
    </w:p>
    <w:p w14:paraId="5937AED2" w14:textId="58488202" w:rsidR="00464F8E" w:rsidRDefault="00464F8E" w:rsidP="006E4B90">
      <w:pPr>
        <w:pStyle w:val="FRABodyText"/>
      </w:pPr>
      <w:r>
        <w:t xml:space="preserve">Collecting reliable and accurate statistical data regarding the experiences of persons with disabilities is challenging. The </w:t>
      </w:r>
      <w:r w:rsidR="0061363E" w:rsidRPr="006E4B90">
        <w:rPr>
          <w:i/>
        </w:rPr>
        <w:t>de facto</w:t>
      </w:r>
      <w:r w:rsidR="0061363E">
        <w:t xml:space="preserve"> </w:t>
      </w:r>
      <w:r>
        <w:t>exclusion of certain persons with disabilities</w:t>
      </w:r>
      <w:r w:rsidR="003B0C9C">
        <w:t xml:space="preserve"> – for example persons livi</w:t>
      </w:r>
      <w:r w:rsidR="0061363E">
        <w:t>ng in institutions or persons who do not communicate through verbal speech –</w:t>
      </w:r>
      <w:r>
        <w:t xml:space="preserve"> from current survey</w:t>
      </w:r>
      <w:r w:rsidR="002E2332">
        <w:t>s</w:t>
      </w:r>
      <w:r>
        <w:t xml:space="preserve"> underlines the need to improve </w:t>
      </w:r>
      <w:r w:rsidR="002E2332">
        <w:t xml:space="preserve">the existing </w:t>
      </w:r>
      <w:r>
        <w:t>methodological arsenal</w:t>
      </w:r>
      <w:r w:rsidR="002E2332">
        <w:t xml:space="preserve"> and provide adequate resources</w:t>
      </w:r>
      <w:r>
        <w:t xml:space="preserve"> to ensure that targeted, disaggregated and comparable data accurately and relia</w:t>
      </w:r>
      <w:r w:rsidR="00670621">
        <w:t>bly capture their experiences.</w:t>
      </w:r>
      <w:r w:rsidR="003B0C9C" w:rsidRPr="003B0C9C">
        <w:rPr>
          <w:i/>
          <w:lang w:val="en-IE" w:bidi="ar-SA"/>
        </w:rPr>
        <w:t xml:space="preserve"> </w:t>
      </w:r>
      <w:r w:rsidR="003B0C9C" w:rsidRPr="006E4B90">
        <w:rPr>
          <w:lang w:val="en-IE"/>
        </w:rPr>
        <w:t>Efforts to this end are already being undertaken globally by the Washington Group on Disability Statistics, in which the FRA and the European Commission participate</w:t>
      </w:r>
      <w:r w:rsidR="00107E8F">
        <w:rPr>
          <w:lang w:val="en-IE"/>
        </w:rPr>
        <w:t>,</w:t>
      </w:r>
      <w:r w:rsidR="003B0C9C" w:rsidRPr="006E4B90">
        <w:rPr>
          <w:lang w:val="en-IE"/>
        </w:rPr>
        <w:t xml:space="preserve"> and at EU level by Eurostat among others. FRA will continue to engage with the European Commission</w:t>
      </w:r>
      <w:r w:rsidR="00107E8F">
        <w:rPr>
          <w:lang w:val="en-IE"/>
        </w:rPr>
        <w:t>, ANED</w:t>
      </w:r>
      <w:r w:rsidR="003B0C9C" w:rsidRPr="006E4B90">
        <w:rPr>
          <w:lang w:val="en-IE"/>
        </w:rPr>
        <w:t xml:space="preserve"> and relevant actors to support the improvement of relevant data collection.</w:t>
      </w:r>
    </w:p>
    <w:p w14:paraId="41B8AE0B" w14:textId="77777777" w:rsidR="00034711" w:rsidRDefault="00034711" w:rsidP="00034711">
      <w:pPr>
        <w:pStyle w:val="FRABodyText"/>
        <w:rPr>
          <w:highlight w:val="yellow"/>
        </w:rPr>
      </w:pPr>
    </w:p>
    <w:p w14:paraId="5937AED3" w14:textId="3C98FBC4" w:rsidR="00464F8E" w:rsidRDefault="000B3302" w:rsidP="00194F44">
      <w:pPr>
        <w:pStyle w:val="FRATextboxTitle"/>
        <w:pBdr>
          <w:top w:val="none" w:sz="0" w:space="0" w:color="auto"/>
          <w:left w:val="none" w:sz="0" w:space="0" w:color="auto"/>
          <w:bottom w:val="none" w:sz="0" w:space="0" w:color="auto"/>
          <w:right w:val="none" w:sz="0" w:space="0" w:color="auto"/>
        </w:pBdr>
        <w:spacing w:before="120" w:after="120"/>
        <w:jc w:val="left"/>
      </w:pPr>
      <w:r>
        <w:t>O</w:t>
      </w:r>
      <w:r w:rsidR="00464F8E">
        <w:t>pinions</w:t>
      </w:r>
    </w:p>
    <w:p w14:paraId="5937AED4" w14:textId="53FF6137" w:rsidR="00464F8E" w:rsidRPr="008067B1" w:rsidRDefault="00464F8E" w:rsidP="00194F44">
      <w:pPr>
        <w:pStyle w:val="FRATextbox"/>
        <w:pBdr>
          <w:top w:val="none" w:sz="0" w:space="0" w:color="auto"/>
          <w:left w:val="none" w:sz="0" w:space="0" w:color="auto"/>
          <w:bottom w:val="none" w:sz="0" w:space="0" w:color="auto"/>
          <w:right w:val="none" w:sz="0" w:space="0" w:color="auto"/>
        </w:pBdr>
        <w:spacing w:before="120" w:after="120"/>
        <w:rPr>
          <w:i/>
          <w:lang w:bidi="ar-SA"/>
        </w:rPr>
      </w:pPr>
      <w:r w:rsidRPr="008067B1">
        <w:rPr>
          <w:i/>
          <w:lang w:bidi="ar-SA"/>
        </w:rPr>
        <w:t>In keeping with their obligations under Article</w:t>
      </w:r>
      <w:r w:rsidR="00FB3DE8">
        <w:rPr>
          <w:i/>
          <w:lang w:bidi="ar-SA"/>
        </w:rPr>
        <w:t> </w:t>
      </w:r>
      <w:r w:rsidRPr="008067B1">
        <w:rPr>
          <w:i/>
          <w:lang w:bidi="ar-SA"/>
        </w:rPr>
        <w:t xml:space="preserve">31 of the CRPD, the EU and the Member States should </w:t>
      </w:r>
      <w:r>
        <w:rPr>
          <w:i/>
          <w:lang w:bidi="ar-SA"/>
        </w:rPr>
        <w:t>undertake to collect appropriate information, including statistical and research data, to enable them to formulate and implement policies to give effect to the provisions of the convention relating to political participation.</w:t>
      </w:r>
    </w:p>
    <w:p w14:paraId="5937AED5" w14:textId="3CBDC263" w:rsidR="00464F8E" w:rsidRDefault="00464F8E" w:rsidP="00194F44">
      <w:pPr>
        <w:pStyle w:val="FRATextbox"/>
        <w:pBdr>
          <w:top w:val="none" w:sz="0" w:space="0" w:color="auto"/>
          <w:left w:val="none" w:sz="0" w:space="0" w:color="auto"/>
          <w:bottom w:val="none" w:sz="0" w:space="0" w:color="auto"/>
          <w:right w:val="none" w:sz="0" w:space="0" w:color="auto"/>
        </w:pBdr>
        <w:spacing w:before="120" w:after="120"/>
        <w:rPr>
          <w:i/>
          <w:lang w:bidi="ar-SA"/>
        </w:rPr>
      </w:pPr>
      <w:r w:rsidRPr="008067B1">
        <w:rPr>
          <w:i/>
          <w:lang w:bidi="ar-SA"/>
        </w:rPr>
        <w:t>Reflecting the actions outlined in the European Disability Strategy 2010</w:t>
      </w:r>
      <w:r>
        <w:rPr>
          <w:i/>
          <w:lang w:bidi="ar-SA"/>
        </w:rPr>
        <w:t>–</w:t>
      </w:r>
      <w:r w:rsidRPr="008067B1">
        <w:rPr>
          <w:i/>
          <w:lang w:bidi="ar-SA"/>
        </w:rPr>
        <w:t>2020</w:t>
      </w:r>
      <w:r w:rsidR="00C57C41">
        <w:rPr>
          <w:i/>
          <w:lang w:bidi="ar-SA"/>
        </w:rPr>
        <w:t xml:space="preserve"> and</w:t>
      </w:r>
      <w:r w:rsidRPr="008067B1">
        <w:rPr>
          <w:i/>
          <w:lang w:bidi="ar-SA"/>
        </w:rPr>
        <w:t xml:space="preserve"> </w:t>
      </w:r>
      <w:r w:rsidR="008E4DF6">
        <w:rPr>
          <w:i/>
          <w:lang w:bidi="ar-SA"/>
        </w:rPr>
        <w:t xml:space="preserve">the </w:t>
      </w:r>
      <w:r w:rsidR="004F4244">
        <w:rPr>
          <w:i/>
          <w:lang w:bidi="ar-SA"/>
        </w:rPr>
        <w:t xml:space="preserve">social inclusion </w:t>
      </w:r>
      <w:r w:rsidR="00C57C41">
        <w:rPr>
          <w:i/>
          <w:lang w:bidi="ar-SA"/>
        </w:rPr>
        <w:t>objective</w:t>
      </w:r>
      <w:r w:rsidR="008E4DF6">
        <w:rPr>
          <w:i/>
          <w:lang w:bidi="ar-SA"/>
        </w:rPr>
        <w:t xml:space="preserve"> of the EU</w:t>
      </w:r>
      <w:r w:rsidR="00FB3DE8">
        <w:rPr>
          <w:i/>
          <w:lang w:bidi="ar-SA"/>
        </w:rPr>
        <w:t> </w:t>
      </w:r>
      <w:r w:rsidR="008E4DF6">
        <w:rPr>
          <w:i/>
          <w:lang w:bidi="ar-SA"/>
        </w:rPr>
        <w:t>2020</w:t>
      </w:r>
      <w:r w:rsidR="00FB3DE8">
        <w:rPr>
          <w:i/>
          <w:lang w:bidi="ar-SA"/>
        </w:rPr>
        <w:t> </w:t>
      </w:r>
      <w:r w:rsidR="008E4DF6">
        <w:rPr>
          <w:i/>
          <w:lang w:bidi="ar-SA"/>
        </w:rPr>
        <w:t xml:space="preserve">strategy, </w:t>
      </w:r>
      <w:r w:rsidRPr="008067B1">
        <w:rPr>
          <w:i/>
          <w:lang w:bidi="ar-SA"/>
        </w:rPr>
        <w:t xml:space="preserve">the European Commission </w:t>
      </w:r>
      <w:r w:rsidR="004D5B64">
        <w:rPr>
          <w:i/>
          <w:lang w:bidi="ar-SA"/>
        </w:rPr>
        <w:t>sh</w:t>
      </w:r>
      <w:r w:rsidRPr="008067B1">
        <w:rPr>
          <w:i/>
          <w:lang w:bidi="ar-SA"/>
        </w:rPr>
        <w:t xml:space="preserve">ould work to </w:t>
      </w:r>
      <w:r w:rsidR="00DA3321" w:rsidRPr="006E4B90">
        <w:rPr>
          <w:i/>
          <w:lang w:val="en-GB" w:bidi="ar-SA"/>
        </w:rPr>
        <w:t>harmonise</w:t>
      </w:r>
      <w:r w:rsidR="00DA3321" w:rsidRPr="008067B1">
        <w:rPr>
          <w:i/>
          <w:lang w:bidi="ar-SA"/>
        </w:rPr>
        <w:t xml:space="preserve"> </w:t>
      </w:r>
      <w:r w:rsidRPr="008067B1">
        <w:rPr>
          <w:i/>
          <w:lang w:bidi="ar-SA"/>
        </w:rPr>
        <w:t>information on disability collected through EU</w:t>
      </w:r>
      <w:r w:rsidR="00FB3DE8">
        <w:rPr>
          <w:i/>
          <w:lang w:bidi="ar-SA"/>
        </w:rPr>
        <w:t> </w:t>
      </w:r>
      <w:r w:rsidRPr="008067B1">
        <w:rPr>
          <w:i/>
          <w:lang w:bidi="ar-SA"/>
        </w:rPr>
        <w:t>social surveys (EU</w:t>
      </w:r>
      <w:r w:rsidR="00FB3DE8">
        <w:rPr>
          <w:i/>
          <w:lang w:bidi="ar-SA"/>
        </w:rPr>
        <w:t> </w:t>
      </w:r>
      <w:r w:rsidRPr="008067B1">
        <w:rPr>
          <w:i/>
          <w:lang w:bidi="ar-SA"/>
        </w:rPr>
        <w:t>Statistics on Income and Living Conditions, Labour Force Survey ad hoc module, European Health Interview Survey</w:t>
      </w:r>
      <w:r w:rsidRPr="00227CE8">
        <w:rPr>
          <w:i/>
          <w:lang w:bidi="ar-SA"/>
        </w:rPr>
        <w:t>)</w:t>
      </w:r>
      <w:r w:rsidR="0020323E" w:rsidRPr="00227CE8">
        <w:rPr>
          <w:i/>
          <w:iCs/>
        </w:rPr>
        <w:t>, with regular collection of comparable data on barriers to the social inclusion of persons with disabilities, including political participation.</w:t>
      </w:r>
    </w:p>
    <w:p w14:paraId="5937AED6" w14:textId="70B07A1D" w:rsidR="00464F8E" w:rsidRPr="008067B1" w:rsidRDefault="00464F8E" w:rsidP="00194F44">
      <w:pPr>
        <w:pStyle w:val="FRATextbox"/>
        <w:pBdr>
          <w:top w:val="none" w:sz="0" w:space="0" w:color="auto"/>
          <w:left w:val="none" w:sz="0" w:space="0" w:color="auto"/>
          <w:bottom w:val="none" w:sz="0" w:space="0" w:color="auto"/>
          <w:right w:val="none" w:sz="0" w:space="0" w:color="auto"/>
        </w:pBdr>
        <w:spacing w:before="120" w:after="120"/>
        <w:rPr>
          <w:i/>
          <w:lang w:bidi="ar-SA"/>
        </w:rPr>
      </w:pPr>
      <w:r>
        <w:rPr>
          <w:i/>
          <w:lang w:bidi="ar-SA"/>
        </w:rPr>
        <w:t xml:space="preserve">To ensure that data </w:t>
      </w:r>
      <w:r w:rsidR="006C7E4F">
        <w:rPr>
          <w:i/>
          <w:lang w:bidi="ar-SA"/>
        </w:rPr>
        <w:t>are</w:t>
      </w:r>
      <w:r>
        <w:rPr>
          <w:i/>
          <w:lang w:bidi="ar-SA"/>
        </w:rPr>
        <w:t xml:space="preserve"> comparable across the EU, EU</w:t>
      </w:r>
      <w:r w:rsidR="00FB3DE8">
        <w:rPr>
          <w:i/>
          <w:lang w:bidi="ar-SA"/>
        </w:rPr>
        <w:t> </w:t>
      </w:r>
      <w:r>
        <w:rPr>
          <w:i/>
          <w:lang w:bidi="ar-SA"/>
        </w:rPr>
        <w:t xml:space="preserve">institutions and the Member States could work together to develop commonly agreed guidelines for measuring the fundamental rights situation of persons with disabilities. This could start with </w:t>
      </w:r>
      <w:r w:rsidR="001A4CA5">
        <w:rPr>
          <w:i/>
          <w:lang w:bidi="ar-SA"/>
        </w:rPr>
        <w:t xml:space="preserve">further </w:t>
      </w:r>
      <w:r w:rsidR="005F1020">
        <w:rPr>
          <w:i/>
          <w:lang w:bidi="ar-SA"/>
        </w:rPr>
        <w:t xml:space="preserve">developing </w:t>
      </w:r>
      <w:r>
        <w:rPr>
          <w:i/>
          <w:lang w:bidi="ar-SA"/>
        </w:rPr>
        <w:t>common guidelines for measuring accessibility.</w:t>
      </w:r>
    </w:p>
    <w:p w14:paraId="5937AED8" w14:textId="3D49A03F" w:rsidR="006154E7" w:rsidRDefault="00464F8E" w:rsidP="00194F44">
      <w:pPr>
        <w:pStyle w:val="FRATextbox"/>
        <w:pBdr>
          <w:top w:val="none" w:sz="0" w:space="0" w:color="auto"/>
          <w:left w:val="none" w:sz="0" w:space="0" w:color="auto"/>
          <w:bottom w:val="none" w:sz="0" w:space="0" w:color="auto"/>
          <w:right w:val="none" w:sz="0" w:space="0" w:color="auto"/>
        </w:pBdr>
        <w:spacing w:before="120" w:after="120"/>
        <w:rPr>
          <w:i/>
          <w:lang w:bidi="ar-SA"/>
        </w:rPr>
      </w:pPr>
      <w:r w:rsidRPr="008067B1">
        <w:rPr>
          <w:i/>
          <w:lang w:bidi="ar-SA"/>
        </w:rPr>
        <w:t>EU</w:t>
      </w:r>
      <w:r w:rsidR="00FB3DE8">
        <w:rPr>
          <w:i/>
          <w:lang w:bidi="ar-SA"/>
        </w:rPr>
        <w:t> </w:t>
      </w:r>
      <w:r w:rsidRPr="008067B1">
        <w:rPr>
          <w:i/>
          <w:lang w:bidi="ar-SA"/>
        </w:rPr>
        <w:t xml:space="preserve">institutions with a mandate to collect data should support and supplement Member States’ efforts to collect statistics and data that reflect the barriers which prevent persons with disabilities from participating fully in political </w:t>
      </w:r>
      <w:r>
        <w:rPr>
          <w:i/>
          <w:lang w:bidi="ar-SA"/>
        </w:rPr>
        <w:t xml:space="preserve">and public </w:t>
      </w:r>
      <w:r w:rsidRPr="008067B1">
        <w:rPr>
          <w:i/>
          <w:lang w:bidi="ar-SA"/>
        </w:rPr>
        <w:t xml:space="preserve">life. This should include the further development and implementation of data collection methodologies </w:t>
      </w:r>
      <w:r w:rsidR="006C7E4F">
        <w:rPr>
          <w:i/>
          <w:lang w:bidi="ar-SA"/>
        </w:rPr>
        <w:t>that</w:t>
      </w:r>
      <w:r w:rsidR="006C7E4F" w:rsidRPr="008067B1">
        <w:rPr>
          <w:i/>
          <w:lang w:bidi="ar-SA"/>
        </w:rPr>
        <w:t xml:space="preserve"> </w:t>
      </w:r>
      <w:r w:rsidRPr="008067B1">
        <w:rPr>
          <w:i/>
          <w:lang w:bidi="ar-SA"/>
        </w:rPr>
        <w:t>are inclusive of all persons with disabilities, including those with more severe impairments.</w:t>
      </w:r>
    </w:p>
    <w:p w14:paraId="7780834E" w14:textId="77777777" w:rsidR="004D57D4" w:rsidRDefault="004D57D4" w:rsidP="006E4B90">
      <w:pPr>
        <w:pStyle w:val="FRABodyText"/>
        <w:rPr>
          <w:highlight w:val="yellow"/>
          <w:lang w:val="en-IE"/>
        </w:rPr>
      </w:pPr>
      <w:r>
        <w:rPr>
          <w:highlight w:val="yellow"/>
          <w:lang w:val="en-IE"/>
        </w:rPr>
        <w:br w:type="page"/>
      </w:r>
    </w:p>
    <w:p w14:paraId="6EFC69CA" w14:textId="07DCA8AE" w:rsidR="00E8181D" w:rsidRPr="008F2B9E" w:rsidRDefault="00E8181D" w:rsidP="00E8181D">
      <w:pPr>
        <w:pStyle w:val="FRABodyText"/>
        <w:rPr>
          <w:highlight w:val="yellow"/>
          <w:lang w:val="en-IE"/>
        </w:rPr>
      </w:pPr>
    </w:p>
    <w:p w14:paraId="64734F62" w14:textId="14D0A3B8" w:rsidR="00E8181D" w:rsidRPr="00B537CF" w:rsidRDefault="00E8181D" w:rsidP="00194F44">
      <w:pPr>
        <w:pStyle w:val="FRABodyText"/>
        <w:ind w:left="2977"/>
        <w:rPr>
          <w:lang w:val="en-US"/>
        </w:rPr>
      </w:pPr>
      <w:r w:rsidRPr="00B537CF">
        <w:rPr>
          <w:lang w:val="en-US"/>
        </w:rPr>
        <w:t>The opportunity to be involved in political life, whether by standing for elected office, joining a political party, or following political news stories in the media, is at the heart of what it means to li</w:t>
      </w:r>
      <w:r>
        <w:rPr>
          <w:lang w:val="en-US"/>
        </w:rPr>
        <w:t>ve in a democratic society. The</w:t>
      </w:r>
      <w:r w:rsidRPr="00B537CF">
        <w:rPr>
          <w:lang w:val="en-US"/>
        </w:rPr>
        <w:t xml:space="preserve"> </w:t>
      </w:r>
      <w:r>
        <w:rPr>
          <w:lang w:val="en-US"/>
        </w:rPr>
        <w:t>report</w:t>
      </w:r>
      <w:r w:rsidRPr="00B537CF">
        <w:rPr>
          <w:lang w:val="en-US"/>
        </w:rPr>
        <w:t xml:space="preserve"> analyses data on the situation of political participation of persons with disabiliti</w:t>
      </w:r>
      <w:r>
        <w:rPr>
          <w:lang w:val="en-US"/>
        </w:rPr>
        <w:t>es collected from across the 28 E</w:t>
      </w:r>
      <w:r w:rsidR="001D47FA">
        <w:rPr>
          <w:lang w:val="en-US"/>
        </w:rPr>
        <w:t xml:space="preserve">uropean </w:t>
      </w:r>
      <w:r>
        <w:rPr>
          <w:lang w:val="en-US"/>
        </w:rPr>
        <w:t>U</w:t>
      </w:r>
      <w:r w:rsidR="001D47FA">
        <w:rPr>
          <w:lang w:val="en-US"/>
        </w:rPr>
        <w:t xml:space="preserve">nion (EU) </w:t>
      </w:r>
      <w:r w:rsidRPr="00B537CF">
        <w:rPr>
          <w:lang w:val="en-US"/>
        </w:rPr>
        <w:t xml:space="preserve">Member States by </w:t>
      </w:r>
      <w:r>
        <w:rPr>
          <w:lang w:val="en-US"/>
        </w:rPr>
        <w:t>the European Union Agency for Fundamental Rights (</w:t>
      </w:r>
      <w:r w:rsidRPr="00B537CF">
        <w:rPr>
          <w:lang w:val="en-US"/>
        </w:rPr>
        <w:t>FRA</w:t>
      </w:r>
      <w:r>
        <w:rPr>
          <w:lang w:val="en-US"/>
        </w:rPr>
        <w:t>)</w:t>
      </w:r>
      <w:r w:rsidRPr="00B537CF">
        <w:rPr>
          <w:lang w:val="en-US"/>
        </w:rPr>
        <w:t xml:space="preserve"> and the </w:t>
      </w:r>
      <w:r w:rsidR="000B3302">
        <w:rPr>
          <w:lang w:bidi="ar-SA"/>
        </w:rPr>
        <w:t xml:space="preserve">European Commission-funded </w:t>
      </w:r>
      <w:r w:rsidR="000B3302">
        <w:t>Academic Network of European Disability Experts (ANED)</w:t>
      </w:r>
      <w:r w:rsidRPr="00B537CF">
        <w:rPr>
          <w:lang w:val="en-US"/>
        </w:rPr>
        <w:t xml:space="preserve">. The </w:t>
      </w:r>
      <w:r>
        <w:rPr>
          <w:lang w:val="en-US"/>
        </w:rPr>
        <w:t xml:space="preserve">human rights indicators presented in the report </w:t>
      </w:r>
      <w:r w:rsidRPr="00B537CF">
        <w:rPr>
          <w:lang w:val="en-US"/>
        </w:rPr>
        <w:t>show that legal and administrative barriers, inaccessible processes and information, and a lack of awareness about political rights can deny persons with disabilities the opportunity to participate in the political lives of their communities. The research also reveals the absence of reliable and comparable data about persons with disabilities’ experiences of taking part in elections in the EU. Addressing these challenges as soon as possible is essential for increasing the legitimacy of public institutions and creating more equitable and inclusive societies in which all members can participate fully.</w:t>
      </w:r>
    </w:p>
    <w:p w14:paraId="36B95D1C" w14:textId="77777777" w:rsidR="00E8181D" w:rsidRDefault="00E8181D" w:rsidP="00B619A9">
      <w:pPr>
        <w:pStyle w:val="FRABodyText"/>
        <w:ind w:left="2977"/>
      </w:pPr>
    </w:p>
    <w:p w14:paraId="401D5782" w14:textId="77777777" w:rsidR="00BB070E" w:rsidRDefault="00BB070E" w:rsidP="006E4B90">
      <w:pPr>
        <w:pStyle w:val="FRABodyText"/>
        <w:rPr>
          <w:highlight w:val="yellow"/>
          <w:lang w:val="en-IE"/>
        </w:rPr>
      </w:pPr>
    </w:p>
    <w:p w14:paraId="14412345" w14:textId="5CE2FF9B" w:rsidR="006154E7" w:rsidRPr="00E8181D" w:rsidRDefault="006154E7" w:rsidP="006E4B90">
      <w:pPr>
        <w:pStyle w:val="FRABodyText"/>
        <w:rPr>
          <w:b/>
          <w:sz w:val="32"/>
          <w:lang w:val="en-IE"/>
        </w:rPr>
      </w:pPr>
      <w:r w:rsidRPr="00E8181D">
        <w:rPr>
          <w:b/>
          <w:sz w:val="32"/>
          <w:lang w:val="en-IE"/>
        </w:rPr>
        <w:t>Further information:</w:t>
      </w:r>
    </w:p>
    <w:p w14:paraId="06F0BF2E" w14:textId="142CDAE3" w:rsidR="006154E7" w:rsidRPr="006E4B90" w:rsidRDefault="006154E7" w:rsidP="006E4B90">
      <w:pPr>
        <w:rPr>
          <w:color w:val="1F497D"/>
        </w:rPr>
      </w:pPr>
      <w:r w:rsidRPr="006E4B90">
        <w:rPr>
          <w:rFonts w:ascii="Times New Roman" w:hAnsi="Times New Roman" w:cs="Times New Roman"/>
        </w:rPr>
        <w:t xml:space="preserve">For the full FRA report </w:t>
      </w:r>
      <w:r w:rsidR="00B411C0" w:rsidRPr="00807A99">
        <w:rPr>
          <w:rFonts w:ascii="Times New Roman" w:hAnsi="Times New Roman" w:cs="Times New Roman"/>
          <w:i/>
        </w:rPr>
        <w:t>T</w:t>
      </w:r>
      <w:r w:rsidRPr="00807A99">
        <w:rPr>
          <w:rFonts w:ascii="Times New Roman" w:hAnsi="Times New Roman" w:cs="Times New Roman"/>
          <w:i/>
        </w:rPr>
        <w:t>he right to political participation of persons with disabilities</w:t>
      </w:r>
      <w:r w:rsidR="00B411C0" w:rsidRPr="00807A99">
        <w:rPr>
          <w:rFonts w:ascii="Times New Roman" w:hAnsi="Times New Roman" w:cs="Times New Roman"/>
          <w:i/>
        </w:rPr>
        <w:t>: human rights indicators</w:t>
      </w:r>
      <w:r w:rsidR="00E8181D" w:rsidRPr="00807A99">
        <w:rPr>
          <w:rFonts w:ascii="Times New Roman" w:hAnsi="Times New Roman" w:cs="Times New Roman"/>
        </w:rPr>
        <w:t>,</w:t>
      </w:r>
      <w:r w:rsidRPr="006E4B90">
        <w:rPr>
          <w:rFonts w:ascii="Times New Roman" w:hAnsi="Times New Roman" w:cs="Times New Roman"/>
          <w:i/>
        </w:rPr>
        <w:t xml:space="preserve"> </w:t>
      </w:r>
      <w:r w:rsidRPr="006E4B90">
        <w:rPr>
          <w:rFonts w:ascii="Times New Roman" w:hAnsi="Times New Roman" w:cs="Times New Roman"/>
        </w:rPr>
        <w:t xml:space="preserve">see: </w:t>
      </w:r>
      <w:hyperlink r:id="rId14" w:history="1">
        <w:r w:rsidR="00C14038" w:rsidRPr="006E4B90">
          <w:rPr>
            <w:rStyle w:val="Hyperlink"/>
            <w:rFonts w:ascii="Times New Roman" w:hAnsi="Times New Roman" w:cs="Times New Roman"/>
          </w:rPr>
          <w:t>http://fra.europa.eu/en/publication/2014/indicators-political-participation-persons-disabilities</w:t>
        </w:r>
      </w:hyperlink>
    </w:p>
    <w:p w14:paraId="03622AF1" w14:textId="437F668B" w:rsidR="006154E7" w:rsidRDefault="006154E7" w:rsidP="006E4B90">
      <w:pPr>
        <w:pStyle w:val="FRABodyText"/>
        <w:rPr>
          <w:lang w:val="en-IE"/>
        </w:rPr>
      </w:pPr>
      <w:r>
        <w:rPr>
          <w:lang w:val="en-IE"/>
        </w:rPr>
        <w:t xml:space="preserve">An overview of FRA activities on the rights </w:t>
      </w:r>
      <w:r w:rsidR="005E0126">
        <w:rPr>
          <w:lang w:val="en-IE"/>
        </w:rPr>
        <w:t xml:space="preserve">of persons with disabilities is available at: </w:t>
      </w:r>
      <w:hyperlink r:id="rId15" w:history="1">
        <w:r w:rsidR="005E0126" w:rsidRPr="001806E6">
          <w:rPr>
            <w:rStyle w:val="Hyperlink"/>
            <w:lang w:val="en-IE"/>
          </w:rPr>
          <w:t>http://fra.europa.eu/en/theme/people-disabilities</w:t>
        </w:r>
      </w:hyperlink>
    </w:p>
    <w:p w14:paraId="22ED0D9C" w14:textId="77777777" w:rsidR="005E0126" w:rsidRDefault="005E0126" w:rsidP="006E4B90">
      <w:pPr>
        <w:pStyle w:val="FRABodyText"/>
        <w:rPr>
          <w:lang w:val="en-IE"/>
        </w:rPr>
      </w:pPr>
    </w:p>
    <w:p w14:paraId="098DCB1A" w14:textId="13BF3C51" w:rsidR="005E0126" w:rsidRDefault="005E0126" w:rsidP="006E4B90">
      <w:pPr>
        <w:pStyle w:val="FRABodyText"/>
        <w:rPr>
          <w:lang w:val="en-IE"/>
        </w:rPr>
      </w:pPr>
      <w:r>
        <w:rPr>
          <w:lang w:val="en-IE"/>
        </w:rPr>
        <w:t>Further translations of this summary will be published in 2014.</w:t>
      </w:r>
    </w:p>
    <w:p w14:paraId="20877AE1" w14:textId="4F7D2364" w:rsidR="00B537CF" w:rsidRDefault="00B537CF" w:rsidP="006E4B90">
      <w:pPr>
        <w:pStyle w:val="FRABodyText"/>
        <w:rPr>
          <w:lang w:val="en-IE"/>
        </w:rPr>
      </w:pPr>
    </w:p>
    <w:p w14:paraId="54ADD88A" w14:textId="00E3CC72" w:rsidR="00807A99" w:rsidRDefault="00807A99" w:rsidP="006E4B90">
      <w:pPr>
        <w:pStyle w:val="FRABodyText"/>
        <w:rPr>
          <w:lang w:val="en-IE"/>
        </w:rPr>
      </w:pPr>
    </w:p>
    <w:p w14:paraId="3FC197A8" w14:textId="77777777" w:rsidR="00807A99" w:rsidRDefault="00807A99" w:rsidP="006E4B90">
      <w:pPr>
        <w:pStyle w:val="FRABodyText"/>
        <w:rPr>
          <w:lang w:val="en-IE"/>
        </w:rPr>
      </w:pPr>
    </w:p>
    <w:p w14:paraId="4FE37E2D" w14:textId="77777777" w:rsidR="00BB070E" w:rsidRPr="006230E2" w:rsidRDefault="00BB070E" w:rsidP="00BB070E">
      <w:pPr>
        <w:pStyle w:val="FRABodyText"/>
        <w:rPr>
          <w:rFonts w:eastAsiaTheme="minorHAnsi"/>
          <w:b/>
        </w:rPr>
      </w:pPr>
      <w:r w:rsidRPr="006230E2">
        <w:rPr>
          <w:rFonts w:eastAsiaTheme="minorHAnsi"/>
          <w:b/>
        </w:rPr>
        <w:t>FRA – EUROPEAN UNION AGENCY FOR FUNDAMENTAL RIGHTS</w:t>
      </w:r>
    </w:p>
    <w:p w14:paraId="656C6813" w14:textId="77777777" w:rsidR="00BB070E" w:rsidRPr="00DD0A94" w:rsidRDefault="00BB070E" w:rsidP="00BB070E">
      <w:pPr>
        <w:pStyle w:val="FRABodyText"/>
        <w:rPr>
          <w:rFonts w:eastAsiaTheme="minorHAnsi"/>
          <w:lang w:val="de-DE"/>
        </w:rPr>
      </w:pPr>
      <w:r w:rsidRPr="00DD0A94">
        <w:rPr>
          <w:rFonts w:eastAsiaTheme="minorHAnsi"/>
          <w:lang w:val="de-DE"/>
        </w:rPr>
        <w:t>Schwarzenbergplatz 11 – 1040 Vienna – Austria</w:t>
      </w:r>
    </w:p>
    <w:p w14:paraId="0AE1980B" w14:textId="77777777" w:rsidR="00BB070E" w:rsidRPr="00DD0A94" w:rsidRDefault="00BB070E" w:rsidP="00BB070E">
      <w:pPr>
        <w:pStyle w:val="FRABodyText"/>
        <w:rPr>
          <w:rFonts w:eastAsiaTheme="minorHAnsi"/>
          <w:lang w:val="de-DE"/>
        </w:rPr>
      </w:pPr>
      <w:r w:rsidRPr="00DD0A94">
        <w:rPr>
          <w:rFonts w:eastAsiaTheme="minorHAnsi"/>
          <w:lang w:val="de-DE"/>
        </w:rPr>
        <w:t>Tel: +43 158030-0 – Fax: +43 158030-699</w:t>
      </w:r>
    </w:p>
    <w:p w14:paraId="0B928A22" w14:textId="4C957883" w:rsidR="00BB070E" w:rsidRPr="008F2B9E" w:rsidRDefault="00113CDB" w:rsidP="00BB070E">
      <w:pPr>
        <w:pStyle w:val="FRABodyText"/>
        <w:rPr>
          <w:rFonts w:eastAsiaTheme="minorHAnsi"/>
          <w:lang w:val="en-IE"/>
        </w:rPr>
      </w:pPr>
      <w:hyperlink r:id="rId16" w:history="1">
        <w:r w:rsidR="00BB070E" w:rsidRPr="008F2B9E">
          <w:rPr>
            <w:rStyle w:val="Hyperlink"/>
            <w:rFonts w:eastAsiaTheme="minorHAnsi"/>
            <w:lang w:val="en-IE"/>
          </w:rPr>
          <w:t>fra.europa.eu</w:t>
        </w:r>
      </w:hyperlink>
      <w:r w:rsidR="00BB070E" w:rsidRPr="008F2B9E">
        <w:rPr>
          <w:rFonts w:eastAsiaTheme="minorHAnsi"/>
          <w:lang w:val="en-IE"/>
        </w:rPr>
        <w:t xml:space="preserve"> – </w:t>
      </w:r>
      <w:hyperlink r:id="rId17" w:history="1">
        <w:r w:rsidR="00BB070E" w:rsidRPr="008F2B9E">
          <w:rPr>
            <w:rStyle w:val="Hyperlink"/>
            <w:rFonts w:eastAsiaTheme="minorHAnsi"/>
            <w:lang w:val="en-IE"/>
          </w:rPr>
          <w:t>info@fra.europa.eu</w:t>
        </w:r>
      </w:hyperlink>
    </w:p>
    <w:p w14:paraId="0FC9ED4E" w14:textId="77777777" w:rsidR="00BB070E" w:rsidRPr="008F2B9E" w:rsidRDefault="00113CDB" w:rsidP="00BB070E">
      <w:pPr>
        <w:pStyle w:val="FRABodyText"/>
        <w:rPr>
          <w:rFonts w:eastAsiaTheme="minorHAnsi"/>
          <w:lang w:val="en-IE"/>
        </w:rPr>
      </w:pPr>
      <w:hyperlink r:id="rId18" w:history="1">
        <w:r w:rsidR="00BB070E" w:rsidRPr="008F2B9E">
          <w:rPr>
            <w:rStyle w:val="Hyperlink"/>
            <w:rFonts w:eastAsiaTheme="minorHAnsi"/>
            <w:lang w:val="en-IE"/>
          </w:rPr>
          <w:t>facebook.com/fundamentalrights</w:t>
        </w:r>
      </w:hyperlink>
    </w:p>
    <w:p w14:paraId="50A19098" w14:textId="77777777" w:rsidR="00BB070E" w:rsidRPr="008F2B9E" w:rsidRDefault="00113CDB" w:rsidP="00BB070E">
      <w:pPr>
        <w:pStyle w:val="FRABodyText"/>
        <w:rPr>
          <w:rFonts w:eastAsiaTheme="minorHAnsi"/>
          <w:lang w:val="en-IE"/>
        </w:rPr>
      </w:pPr>
      <w:hyperlink r:id="rId19" w:history="1">
        <w:r w:rsidR="00BB070E" w:rsidRPr="008F2B9E">
          <w:rPr>
            <w:rStyle w:val="Hyperlink"/>
            <w:rFonts w:eastAsiaTheme="minorHAnsi"/>
            <w:lang w:val="en-IE"/>
          </w:rPr>
          <w:t>linkedin.com/company/eu-fundamental-rights-agency</w:t>
        </w:r>
      </w:hyperlink>
    </w:p>
    <w:p w14:paraId="6134E717" w14:textId="77777777" w:rsidR="00BB070E" w:rsidRPr="008F2B9E" w:rsidRDefault="00113CDB" w:rsidP="00BB070E">
      <w:pPr>
        <w:pStyle w:val="FRABodyText"/>
        <w:rPr>
          <w:rFonts w:eastAsiaTheme="minorHAnsi"/>
          <w:lang w:val="en-IE"/>
        </w:rPr>
      </w:pPr>
      <w:hyperlink r:id="rId20" w:history="1">
        <w:r w:rsidR="00BB070E" w:rsidRPr="008F2B9E">
          <w:rPr>
            <w:rStyle w:val="Hyperlink"/>
            <w:rFonts w:eastAsiaTheme="minorHAnsi"/>
            <w:lang w:val="en-IE"/>
          </w:rPr>
          <w:t>twitter.com/EURightsAgency</w:t>
        </w:r>
      </w:hyperlink>
    </w:p>
    <w:p w14:paraId="45924F52" w14:textId="77777777" w:rsidR="00BB070E" w:rsidRPr="008F2B9E" w:rsidRDefault="00BB070E" w:rsidP="00BB070E">
      <w:pPr>
        <w:pStyle w:val="FRABodyText"/>
        <w:rPr>
          <w:rFonts w:eastAsiaTheme="minorHAnsi"/>
          <w:lang w:val="en-IE"/>
        </w:rPr>
      </w:pPr>
    </w:p>
    <w:p w14:paraId="1AFF45F0" w14:textId="77777777" w:rsidR="00807A99" w:rsidRDefault="00807A99" w:rsidP="00BB070E">
      <w:pPr>
        <w:pStyle w:val="FRABodyText"/>
        <w:rPr>
          <w:rFonts w:eastAsiaTheme="minorHAnsi"/>
        </w:rPr>
      </w:pPr>
    </w:p>
    <w:p w14:paraId="4540FDED" w14:textId="2746F7FF" w:rsidR="00BB070E" w:rsidRDefault="00BB070E" w:rsidP="00BB070E">
      <w:pPr>
        <w:pStyle w:val="FRABodyText"/>
        <w:rPr>
          <w:rFonts w:eastAsiaTheme="minorHAnsi"/>
        </w:rPr>
      </w:pPr>
      <w:r w:rsidRPr="006230E2">
        <w:rPr>
          <w:rFonts w:eastAsiaTheme="minorHAnsi"/>
        </w:rPr>
        <w:t>© European Union Age</w:t>
      </w:r>
      <w:r w:rsidR="00807A99">
        <w:rPr>
          <w:rFonts w:eastAsiaTheme="minorHAnsi"/>
        </w:rPr>
        <w:t>ncy for Fundamental Rights, 2014</w:t>
      </w:r>
    </w:p>
    <w:p w14:paraId="695A40DE" w14:textId="203ED4D7" w:rsidR="00BB070E" w:rsidRPr="00194F44" w:rsidRDefault="00BB070E" w:rsidP="00BB070E">
      <w:pPr>
        <w:pStyle w:val="FRABodyText"/>
        <w:rPr>
          <w:rFonts w:eastAsiaTheme="minorHAnsi"/>
          <w:lang w:val="de-DE"/>
        </w:rPr>
      </w:pPr>
      <w:r w:rsidRPr="00194F44">
        <w:rPr>
          <w:rFonts w:eastAsiaTheme="minorHAnsi"/>
          <w:lang w:val="de-DE"/>
        </w:rPr>
        <w:t xml:space="preserve">Photo: © </w:t>
      </w:r>
      <w:r w:rsidR="00807A99">
        <w:rPr>
          <w:rFonts w:eastAsiaTheme="minorHAnsi"/>
          <w:lang w:val="de-DE"/>
        </w:rPr>
        <w:t>Shutterstock</w:t>
      </w:r>
    </w:p>
    <w:p w14:paraId="46776156" w14:textId="77777777" w:rsidR="00BB070E" w:rsidRPr="00194F44" w:rsidRDefault="00BB070E" w:rsidP="00BB070E">
      <w:pPr>
        <w:pStyle w:val="FRABodyText"/>
        <w:rPr>
          <w:rFonts w:eastAsiaTheme="minorHAnsi"/>
          <w:lang w:val="de-DE"/>
        </w:rPr>
      </w:pPr>
    </w:p>
    <w:p w14:paraId="6CDDEE2A" w14:textId="1A384D3F" w:rsidR="00BB070E" w:rsidRPr="00194F44" w:rsidRDefault="00BB070E" w:rsidP="00BB070E">
      <w:pPr>
        <w:pStyle w:val="FRABodyText"/>
        <w:rPr>
          <w:rFonts w:eastAsiaTheme="minorHAnsi"/>
          <w:highlight w:val="yellow"/>
          <w:lang w:val="de-DE"/>
        </w:rPr>
      </w:pPr>
      <w:r w:rsidRPr="00807A99">
        <w:rPr>
          <w:rFonts w:eastAsiaTheme="minorHAnsi"/>
          <w:lang w:val="de-DE"/>
        </w:rPr>
        <w:t>ISBN</w:t>
      </w:r>
      <w:r w:rsidR="00807A99" w:rsidRPr="00807A99">
        <w:rPr>
          <w:rFonts w:eastAsiaTheme="minorHAnsi"/>
          <w:lang w:val="de-DE"/>
        </w:rPr>
        <w:t>: 978-92-9239-462-2</w:t>
      </w:r>
    </w:p>
    <w:p w14:paraId="3A062687" w14:textId="04A86023" w:rsidR="00807A99" w:rsidRPr="008F2B9E" w:rsidRDefault="00807A99" w:rsidP="00BB070E">
      <w:pPr>
        <w:pStyle w:val="FRABodyText"/>
        <w:rPr>
          <w:rFonts w:eastAsiaTheme="minorHAnsi"/>
          <w:highlight w:val="yellow"/>
          <w:lang w:val="de-DE"/>
        </w:rPr>
      </w:pPr>
      <w:r w:rsidRPr="008F2B9E">
        <w:rPr>
          <w:rFonts w:eastAsiaTheme="minorHAnsi"/>
          <w:lang w:val="de-DE"/>
        </w:rPr>
        <w:t>TK-01-14-329-EN-C</w:t>
      </w:r>
    </w:p>
    <w:p w14:paraId="66AC9310" w14:textId="385D0BF8" w:rsidR="00BB070E" w:rsidRPr="00807A99" w:rsidRDefault="00807A99" w:rsidP="00BB070E">
      <w:pPr>
        <w:pStyle w:val="FRABodyText"/>
        <w:rPr>
          <w:rFonts w:eastAsiaTheme="minorHAnsi"/>
          <w:lang w:val="fr-BE"/>
        </w:rPr>
      </w:pPr>
      <w:r w:rsidRPr="00807A99">
        <w:rPr>
          <w:rFonts w:eastAsiaTheme="minorHAnsi"/>
          <w:lang w:val="fr-BE"/>
        </w:rPr>
        <w:t>doi:10.2811/69952</w:t>
      </w:r>
    </w:p>
    <w:p w14:paraId="0F2FC475" w14:textId="77777777" w:rsidR="00E8181D" w:rsidRPr="00807A99" w:rsidRDefault="00E8181D">
      <w:pPr>
        <w:pStyle w:val="FRABodyText"/>
        <w:rPr>
          <w:lang w:val="fr-BE"/>
        </w:rPr>
      </w:pPr>
    </w:p>
    <w:sectPr w:rsidR="00E8181D" w:rsidRPr="00807A99" w:rsidSect="005D7772">
      <w:headerReference w:type="default" r:id="rId21"/>
      <w:footerReference w:type="default" r:id="rId22"/>
      <w:headerReference w:type="first" r:id="rId23"/>
      <w:pgSz w:w="11906" w:h="16838"/>
      <w:pgMar w:top="1869"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712768" w14:textId="77777777" w:rsidR="00F63266" w:rsidRDefault="00F63266" w:rsidP="00464F8E">
      <w:pPr>
        <w:spacing w:after="0" w:line="240" w:lineRule="auto"/>
      </w:pPr>
      <w:r>
        <w:separator/>
      </w:r>
    </w:p>
  </w:endnote>
  <w:endnote w:type="continuationSeparator" w:id="0">
    <w:p w14:paraId="1EBA9EBC" w14:textId="77777777" w:rsidR="00F63266" w:rsidRDefault="00F63266" w:rsidP="00464F8E">
      <w:pPr>
        <w:spacing w:after="0" w:line="240" w:lineRule="auto"/>
      </w:pPr>
      <w:r>
        <w:continuationSeparator/>
      </w:r>
    </w:p>
  </w:endnote>
  <w:endnote w:type="continuationNotice" w:id="1">
    <w:p w14:paraId="55FE4F6F" w14:textId="77777777" w:rsidR="00F63266" w:rsidRDefault="00F6326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249438"/>
      <w:docPartObj>
        <w:docPartGallery w:val="Page Numbers (Bottom of Page)"/>
        <w:docPartUnique/>
      </w:docPartObj>
    </w:sdtPr>
    <w:sdtEndPr/>
    <w:sdtContent>
      <w:p w14:paraId="5937AEDD" w14:textId="77777777" w:rsidR="00FB3DE8" w:rsidRDefault="00FB3DE8">
        <w:pPr>
          <w:pStyle w:val="Footer"/>
          <w:jc w:val="center"/>
        </w:pPr>
        <w:r>
          <w:fldChar w:fldCharType="begin"/>
        </w:r>
        <w:r>
          <w:instrText xml:space="preserve"> PAGE   \* MERGEFORMAT </w:instrText>
        </w:r>
        <w:r>
          <w:fldChar w:fldCharType="separate"/>
        </w:r>
        <w:r w:rsidR="00113CDB">
          <w:rPr>
            <w:noProof/>
          </w:rPr>
          <w:t>10</w:t>
        </w:r>
        <w:r>
          <w:rPr>
            <w:noProof/>
          </w:rPr>
          <w:fldChar w:fldCharType="end"/>
        </w:r>
      </w:p>
    </w:sdtContent>
  </w:sdt>
  <w:p w14:paraId="5937AEDE" w14:textId="77777777" w:rsidR="00FB3DE8" w:rsidRDefault="00FB3DE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27B2CA" w14:textId="77777777" w:rsidR="00F63266" w:rsidRDefault="00F63266" w:rsidP="00464F8E">
      <w:pPr>
        <w:spacing w:after="0" w:line="240" w:lineRule="auto"/>
      </w:pPr>
      <w:r>
        <w:separator/>
      </w:r>
    </w:p>
  </w:footnote>
  <w:footnote w:type="continuationSeparator" w:id="0">
    <w:p w14:paraId="38060E63" w14:textId="77777777" w:rsidR="00F63266" w:rsidRDefault="00F63266" w:rsidP="00464F8E">
      <w:pPr>
        <w:spacing w:after="0" w:line="240" w:lineRule="auto"/>
      </w:pPr>
      <w:r>
        <w:continuationSeparator/>
      </w:r>
    </w:p>
  </w:footnote>
  <w:footnote w:type="continuationNotice" w:id="1">
    <w:p w14:paraId="73ADAB26" w14:textId="77777777" w:rsidR="00F63266" w:rsidRDefault="00F63266">
      <w:pPr>
        <w:spacing w:after="0" w:line="240" w:lineRule="auto"/>
      </w:pPr>
    </w:p>
  </w:footnote>
  <w:footnote w:id="2">
    <w:p w14:paraId="5937AEDF" w14:textId="134B696A" w:rsidR="00FB3DE8" w:rsidRPr="00E632A5" w:rsidRDefault="00FB3DE8" w:rsidP="000B3302">
      <w:pPr>
        <w:pStyle w:val="FootnoteText"/>
        <w:ind w:left="284" w:hanging="284"/>
        <w:rPr>
          <w:sz w:val="18"/>
        </w:rPr>
      </w:pPr>
      <w:r w:rsidRPr="00E632A5">
        <w:rPr>
          <w:rStyle w:val="FootnoteReference"/>
          <w:sz w:val="18"/>
        </w:rPr>
        <w:footnoteRef/>
      </w:r>
      <w:r w:rsidRPr="00E632A5">
        <w:rPr>
          <w:sz w:val="18"/>
        </w:rPr>
        <w:t xml:space="preserve"> </w:t>
      </w:r>
      <w:r>
        <w:rPr>
          <w:sz w:val="18"/>
        </w:rPr>
        <w:tab/>
      </w:r>
      <w:r w:rsidRPr="00E632A5">
        <w:rPr>
          <w:sz w:val="18"/>
        </w:rPr>
        <w:t xml:space="preserve">See FRA (2013), </w:t>
      </w:r>
      <w:r w:rsidRPr="00E632A5">
        <w:rPr>
          <w:i/>
          <w:sz w:val="18"/>
        </w:rPr>
        <w:t xml:space="preserve">Fundamental rights: challenges and achievements in 2012, </w:t>
      </w:r>
      <w:r w:rsidRPr="00E632A5">
        <w:rPr>
          <w:sz w:val="18"/>
        </w:rPr>
        <w:t>Annual Report 2012,</w:t>
      </w:r>
      <w:r w:rsidRPr="00E632A5">
        <w:rPr>
          <w:i/>
          <w:sz w:val="18"/>
        </w:rPr>
        <w:t xml:space="preserve"> </w:t>
      </w:r>
      <w:r w:rsidRPr="00E632A5">
        <w:rPr>
          <w:sz w:val="18"/>
        </w:rPr>
        <w:t>Luxembourg, Publications Office</w:t>
      </w:r>
      <w:r>
        <w:rPr>
          <w:sz w:val="18"/>
        </w:rPr>
        <w:t>;</w:t>
      </w:r>
      <w:r w:rsidRPr="00E632A5">
        <w:rPr>
          <w:sz w:val="18"/>
        </w:rPr>
        <w:t xml:space="preserve"> and FRA (2012)</w:t>
      </w:r>
      <w:r w:rsidRPr="00E632A5">
        <w:rPr>
          <w:i/>
          <w:sz w:val="18"/>
        </w:rPr>
        <w:t xml:space="preserve">, Fundamental rights: challenges and achievements in 2011, </w:t>
      </w:r>
      <w:r w:rsidRPr="00E632A5">
        <w:rPr>
          <w:sz w:val="18"/>
        </w:rPr>
        <w:t>Annual Report 2011,</w:t>
      </w:r>
      <w:r w:rsidRPr="00E632A5">
        <w:rPr>
          <w:i/>
          <w:sz w:val="18"/>
        </w:rPr>
        <w:t xml:space="preserve"> </w:t>
      </w:r>
      <w:r w:rsidRPr="00E632A5">
        <w:rPr>
          <w:sz w:val="18"/>
        </w:rPr>
        <w:t>Luxembourg, Publications Office.</w:t>
      </w:r>
    </w:p>
  </w:footnote>
  <w:footnote w:id="3">
    <w:p w14:paraId="5937AEE0" w14:textId="5E391286" w:rsidR="00FB3DE8" w:rsidRPr="00E632A5" w:rsidRDefault="00FB3DE8" w:rsidP="000B3302">
      <w:pPr>
        <w:pStyle w:val="FootnoteText"/>
        <w:ind w:left="284" w:hanging="284"/>
        <w:rPr>
          <w:sz w:val="18"/>
        </w:rPr>
      </w:pPr>
      <w:r w:rsidRPr="00E632A5">
        <w:rPr>
          <w:rStyle w:val="FootnoteReference"/>
          <w:sz w:val="18"/>
        </w:rPr>
        <w:footnoteRef/>
      </w:r>
      <w:r w:rsidRPr="00E632A5">
        <w:rPr>
          <w:sz w:val="18"/>
        </w:rPr>
        <w:t xml:space="preserve"> </w:t>
      </w:r>
      <w:r>
        <w:rPr>
          <w:sz w:val="18"/>
        </w:rPr>
        <w:tab/>
      </w:r>
      <w:r w:rsidRPr="00E632A5">
        <w:rPr>
          <w:sz w:val="18"/>
        </w:rPr>
        <w:t>See Chapters 5 and 10 of FRA (201</w:t>
      </w:r>
      <w:r>
        <w:rPr>
          <w:sz w:val="18"/>
        </w:rPr>
        <w:t>4</w:t>
      </w:r>
      <w:r w:rsidRPr="00E632A5">
        <w:rPr>
          <w:sz w:val="18"/>
        </w:rPr>
        <w:t xml:space="preserve">), </w:t>
      </w:r>
      <w:r w:rsidRPr="00E632A5">
        <w:rPr>
          <w:i/>
          <w:sz w:val="18"/>
        </w:rPr>
        <w:t xml:space="preserve">Fundamental </w:t>
      </w:r>
      <w:r>
        <w:rPr>
          <w:i/>
          <w:sz w:val="18"/>
        </w:rPr>
        <w:t>r</w:t>
      </w:r>
      <w:r w:rsidRPr="00E632A5">
        <w:rPr>
          <w:i/>
          <w:sz w:val="18"/>
        </w:rPr>
        <w:t>ights</w:t>
      </w:r>
      <w:r>
        <w:rPr>
          <w:i/>
          <w:sz w:val="18"/>
        </w:rPr>
        <w:t>:</w:t>
      </w:r>
      <w:r w:rsidRPr="00E632A5">
        <w:rPr>
          <w:i/>
          <w:sz w:val="18"/>
        </w:rPr>
        <w:t xml:space="preserve"> </w:t>
      </w:r>
      <w:r>
        <w:rPr>
          <w:i/>
          <w:sz w:val="18"/>
        </w:rPr>
        <w:t>c</w:t>
      </w:r>
      <w:r w:rsidRPr="00E632A5">
        <w:rPr>
          <w:i/>
          <w:sz w:val="18"/>
        </w:rPr>
        <w:t>hallenges and achievements in 2013</w:t>
      </w:r>
      <w:r w:rsidRPr="00E632A5">
        <w:rPr>
          <w:sz w:val="18"/>
        </w:rPr>
        <w:t>, Annual Report 2013, Luxembourg, Publications Office.</w:t>
      </w:r>
    </w:p>
  </w:footnote>
  <w:footnote w:id="4">
    <w:p w14:paraId="5937AEE1" w14:textId="691EE2F6" w:rsidR="00FB3DE8" w:rsidRPr="00E632A5" w:rsidRDefault="00FB3DE8" w:rsidP="000B3302">
      <w:pPr>
        <w:pStyle w:val="FootnoteText"/>
        <w:ind w:left="284" w:hanging="284"/>
        <w:rPr>
          <w:sz w:val="18"/>
          <w:szCs w:val="18"/>
        </w:rPr>
      </w:pPr>
      <w:r w:rsidRPr="00E632A5">
        <w:rPr>
          <w:rStyle w:val="FootnoteReference"/>
          <w:sz w:val="18"/>
        </w:rPr>
        <w:footnoteRef/>
      </w:r>
      <w:r>
        <w:rPr>
          <w:sz w:val="18"/>
          <w:szCs w:val="18"/>
        </w:rPr>
        <w:tab/>
      </w:r>
      <w:r w:rsidRPr="00E632A5">
        <w:rPr>
          <w:sz w:val="18"/>
          <w:szCs w:val="18"/>
        </w:rPr>
        <w:t xml:space="preserve">All </w:t>
      </w:r>
      <w:r>
        <w:rPr>
          <w:sz w:val="18"/>
          <w:szCs w:val="18"/>
        </w:rPr>
        <w:t>c</w:t>
      </w:r>
      <w:r w:rsidRPr="00E632A5">
        <w:rPr>
          <w:sz w:val="18"/>
          <w:szCs w:val="18"/>
        </w:rPr>
        <w:t xml:space="preserve">oncluding </w:t>
      </w:r>
      <w:r>
        <w:rPr>
          <w:sz w:val="18"/>
          <w:szCs w:val="18"/>
        </w:rPr>
        <w:t>o</w:t>
      </w:r>
      <w:r w:rsidRPr="00E632A5">
        <w:rPr>
          <w:sz w:val="18"/>
          <w:szCs w:val="18"/>
        </w:rPr>
        <w:t>bservations</w:t>
      </w:r>
      <w:r>
        <w:rPr>
          <w:sz w:val="18"/>
          <w:szCs w:val="18"/>
        </w:rPr>
        <w:t xml:space="preserve"> on the CRDP</w:t>
      </w:r>
      <w:r w:rsidRPr="00E632A5">
        <w:rPr>
          <w:sz w:val="18"/>
          <w:szCs w:val="18"/>
        </w:rPr>
        <w:t xml:space="preserve"> are available at: </w:t>
      </w:r>
      <w:hyperlink r:id="rId1" w:history="1">
        <w:r w:rsidRPr="00E632A5">
          <w:rPr>
            <w:rStyle w:val="Hyperlink"/>
            <w:sz w:val="18"/>
            <w:szCs w:val="18"/>
          </w:rPr>
          <w:t>http://tbinternet.ohchr.org/_layouts/treatybodyexternal/TBSearch.aspx?Lang=en&amp;TreatyID=4</w:t>
        </w:r>
      </w:hyperlink>
      <w:r>
        <w:rPr>
          <w:rStyle w:val="Hyperlink"/>
          <w:sz w:val="18"/>
          <w:szCs w:val="18"/>
        </w:rPr>
        <w:t>.</w:t>
      </w:r>
    </w:p>
  </w:footnote>
  <w:footnote w:id="5">
    <w:p w14:paraId="5937AEE2" w14:textId="678EC0AC" w:rsidR="00FB3DE8" w:rsidRPr="00E632A5" w:rsidRDefault="00FB3DE8" w:rsidP="000B3302">
      <w:pPr>
        <w:pStyle w:val="FootnoteText"/>
        <w:ind w:left="284" w:hanging="284"/>
        <w:rPr>
          <w:sz w:val="18"/>
        </w:rPr>
      </w:pPr>
      <w:r w:rsidRPr="00E632A5">
        <w:rPr>
          <w:rStyle w:val="FootnoteReference"/>
          <w:sz w:val="18"/>
        </w:rPr>
        <w:footnoteRef/>
      </w:r>
      <w:r w:rsidRPr="00E632A5">
        <w:rPr>
          <w:sz w:val="18"/>
        </w:rPr>
        <w:t xml:space="preserve"> </w:t>
      </w:r>
      <w:r>
        <w:rPr>
          <w:sz w:val="18"/>
        </w:rPr>
        <w:tab/>
      </w:r>
      <w:r w:rsidRPr="00E632A5">
        <w:rPr>
          <w:sz w:val="18"/>
        </w:rPr>
        <w:t xml:space="preserve">UN, Committee on the Rights of Persons with Disabilities (2013), Draft General Comment on Article 12 of the Convention – Equal Recognition before the Law, available at: </w:t>
      </w:r>
      <w:hyperlink r:id="rId2" w:history="1">
        <w:r w:rsidRPr="00E632A5">
          <w:rPr>
            <w:rStyle w:val="Hyperlink"/>
            <w:sz w:val="18"/>
          </w:rPr>
          <w:t>www.ohchr.org/EN/HRBodies/CRPD/Pages/DGCArticles12And9.aspx</w:t>
        </w:r>
      </w:hyperlink>
      <w:r w:rsidRPr="00E632A5">
        <w:rPr>
          <w:sz w:val="18"/>
        </w:rPr>
        <w:t xml:space="preserve">. </w:t>
      </w:r>
    </w:p>
  </w:footnote>
  <w:footnote w:id="6">
    <w:p w14:paraId="5937AEE3" w14:textId="4822E9AB" w:rsidR="00FB3DE8" w:rsidRPr="00E632A5" w:rsidRDefault="00FB3DE8" w:rsidP="000B3302">
      <w:pPr>
        <w:pStyle w:val="FootnoteText"/>
        <w:ind w:left="284" w:hanging="284"/>
        <w:rPr>
          <w:sz w:val="18"/>
        </w:rPr>
      </w:pPr>
      <w:r w:rsidRPr="00E632A5">
        <w:rPr>
          <w:rStyle w:val="FootnoteReference"/>
          <w:sz w:val="18"/>
        </w:rPr>
        <w:footnoteRef/>
      </w:r>
      <w:r w:rsidRPr="00E632A5">
        <w:rPr>
          <w:sz w:val="18"/>
        </w:rPr>
        <w:t xml:space="preserve"> </w:t>
      </w:r>
      <w:r>
        <w:rPr>
          <w:sz w:val="18"/>
        </w:rPr>
        <w:tab/>
      </w:r>
      <w:r w:rsidRPr="00E632A5">
        <w:rPr>
          <w:sz w:val="18"/>
        </w:rPr>
        <w:t>See FRA (2009)</w:t>
      </w:r>
      <w:r>
        <w:rPr>
          <w:sz w:val="18"/>
        </w:rPr>
        <w:t>,</w:t>
      </w:r>
      <w:r w:rsidRPr="00E632A5">
        <w:rPr>
          <w:sz w:val="18"/>
        </w:rPr>
        <w:t xml:space="preserve"> </w:t>
      </w:r>
      <w:r w:rsidRPr="00E632A5">
        <w:rPr>
          <w:i/>
          <w:sz w:val="18"/>
        </w:rPr>
        <w:t>EU-MIDIS European Union Minorities and Discrimination Survey</w:t>
      </w:r>
      <w:r w:rsidR="008B3727">
        <w:rPr>
          <w:i/>
          <w:sz w:val="18"/>
        </w:rPr>
        <w:t>.</w:t>
      </w:r>
      <w:r w:rsidRPr="00E632A5">
        <w:rPr>
          <w:i/>
          <w:sz w:val="18"/>
        </w:rPr>
        <w:t xml:space="preserve"> Main Results Report,</w:t>
      </w:r>
      <w:r w:rsidRPr="00E632A5">
        <w:rPr>
          <w:sz w:val="18"/>
        </w:rPr>
        <w:t xml:space="preserve"> Luxembourg, Publications Office, and FRA (2012), </w:t>
      </w:r>
      <w:r w:rsidRPr="00E632A5">
        <w:rPr>
          <w:i/>
          <w:sz w:val="18"/>
        </w:rPr>
        <w:t>Access to justice in cases of discrimination in the EU – Steps to further equality</w:t>
      </w:r>
      <w:r w:rsidRPr="00E632A5">
        <w:rPr>
          <w:sz w:val="18"/>
        </w:rPr>
        <w:t xml:space="preserve">, Luxembourg, Publications Office. </w:t>
      </w:r>
    </w:p>
  </w:footnote>
  <w:footnote w:id="7">
    <w:p w14:paraId="5937AEE6" w14:textId="4C9D98C1" w:rsidR="00FB3DE8" w:rsidRPr="00E632A5" w:rsidRDefault="00FB3DE8" w:rsidP="000B3302">
      <w:pPr>
        <w:pStyle w:val="FootnoteText"/>
        <w:ind w:left="284" w:hanging="284"/>
        <w:rPr>
          <w:sz w:val="18"/>
        </w:rPr>
      </w:pPr>
      <w:r w:rsidRPr="00E632A5">
        <w:rPr>
          <w:rStyle w:val="FootnoteReference"/>
          <w:sz w:val="18"/>
        </w:rPr>
        <w:footnoteRef/>
      </w:r>
      <w:r w:rsidRPr="00E632A5">
        <w:rPr>
          <w:sz w:val="18"/>
        </w:rPr>
        <w:t xml:space="preserve"> </w:t>
      </w:r>
      <w:r>
        <w:rPr>
          <w:sz w:val="18"/>
        </w:rPr>
        <w:tab/>
      </w:r>
      <w:r w:rsidRPr="00E632A5">
        <w:rPr>
          <w:sz w:val="18"/>
          <w:szCs w:val="18"/>
        </w:rPr>
        <w:t xml:space="preserve">World Wide Web Consortium (W3C) (2008), Web Content Accessibility Guidelines (WCAG) 2.0, W3C Recommendation, 11 December 2008, available at: </w:t>
      </w:r>
      <w:hyperlink r:id="rId3" w:history="1">
        <w:r w:rsidRPr="00E632A5">
          <w:rPr>
            <w:rStyle w:val="Hyperlink"/>
            <w:sz w:val="18"/>
            <w:szCs w:val="18"/>
          </w:rPr>
          <w:t>www.w3.org/TR/2008/REC-WCAG20-20081211</w:t>
        </w:r>
      </w:hyperlink>
      <w:r w:rsidRPr="00E632A5">
        <w:rPr>
          <w:sz w:val="18"/>
          <w:szCs w:val="18"/>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98E184" w14:textId="5CC7C35D" w:rsidR="005D7772" w:rsidRDefault="005D7772" w:rsidP="005D7772">
    <w:pPr>
      <w:pStyle w:val="Header"/>
      <w:ind w:right="-4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683188" w14:textId="3DDB536D" w:rsidR="005D7772" w:rsidRDefault="005D7772" w:rsidP="005D7772">
    <w:pPr>
      <w:pStyle w:val="Header"/>
      <w:ind w:left="-993"/>
    </w:pPr>
    <w:r>
      <w:rPr>
        <w:noProof/>
        <w:lang w:val="en-US"/>
      </w:rPr>
      <w:drawing>
        <wp:inline distT="0" distB="0" distL="0" distR="0" wp14:anchorId="221C6307" wp14:editId="1A9E82FF">
          <wp:extent cx="7545788" cy="1256306"/>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A-header.t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2028" cy="125568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073050"/>
    <w:multiLevelType w:val="hybridMultilevel"/>
    <w:tmpl w:val="4080FAF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29724524"/>
    <w:multiLevelType w:val="hybridMultilevel"/>
    <w:tmpl w:val="F11A04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984B46"/>
    <w:multiLevelType w:val="hybridMultilevel"/>
    <w:tmpl w:val="078E29C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nsid w:val="3A353214"/>
    <w:multiLevelType w:val="hybridMultilevel"/>
    <w:tmpl w:val="DED405A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nsid w:val="568448D9"/>
    <w:multiLevelType w:val="multilevel"/>
    <w:tmpl w:val="3ED4B4EE"/>
    <w:styleLink w:val="FRAHeadings"/>
    <w:lvl w:ilvl="0">
      <w:start w:val="1"/>
      <w:numFmt w:val="decimal"/>
      <w:pStyle w:val="FRAHeading1"/>
      <w:lvlText w:val="%1"/>
      <w:lvlJc w:val="left"/>
      <w:pPr>
        <w:ind w:left="907" w:hanging="907"/>
      </w:pPr>
      <w:rPr>
        <w:rFonts w:hint="default"/>
      </w:rPr>
    </w:lvl>
    <w:lvl w:ilvl="1">
      <w:start w:val="1"/>
      <w:numFmt w:val="decimal"/>
      <w:pStyle w:val="FRAHeading2"/>
      <w:lvlText w:val="%1.%2"/>
      <w:lvlJc w:val="left"/>
      <w:pPr>
        <w:ind w:left="907" w:hanging="907"/>
      </w:pPr>
      <w:rPr>
        <w:rFonts w:hint="default"/>
      </w:rPr>
    </w:lvl>
    <w:lvl w:ilvl="2">
      <w:start w:val="1"/>
      <w:numFmt w:val="decimal"/>
      <w:pStyle w:val="FRAHeading3"/>
      <w:lvlText w:val="%1.%2.%3"/>
      <w:lvlJc w:val="left"/>
      <w:pPr>
        <w:ind w:left="907" w:hanging="907"/>
      </w:pPr>
      <w:rPr>
        <w:rFonts w:hint="default"/>
      </w:rPr>
    </w:lvl>
    <w:lvl w:ilvl="3">
      <w:start w:val="1"/>
      <w:numFmt w:val="none"/>
      <w:pStyle w:val="FRAHeading4Unnumbered"/>
      <w:lvlText w:val=""/>
      <w:lvlJc w:val="left"/>
      <w:pPr>
        <w:ind w:left="907" w:hanging="907"/>
      </w:pPr>
      <w:rPr>
        <w:rFonts w:hint="default"/>
      </w:rPr>
    </w:lvl>
    <w:lvl w:ilvl="4">
      <w:start w:val="1"/>
      <w:numFmt w:val="decimal"/>
      <w:pStyle w:val="FRAListNumbered"/>
      <w:lvlText w:val="%5."/>
      <w:lvlJc w:val="left"/>
      <w:pPr>
        <w:ind w:left="284" w:firstLine="0"/>
      </w:pPr>
      <w:rPr>
        <w:rFonts w:hint="default"/>
      </w:rPr>
    </w:lvl>
    <w:lvl w:ilvl="5">
      <w:start w:val="1"/>
      <w:numFmt w:val="bullet"/>
      <w:lvlRestart w:val="0"/>
      <w:pStyle w:val="FRAListBullet"/>
      <w:lvlText w:val=""/>
      <w:lvlJc w:val="left"/>
      <w:pPr>
        <w:ind w:left="284" w:firstLine="0"/>
      </w:pPr>
      <w:rPr>
        <w:rFonts w:ascii="Symbol" w:hAnsi="Symbol" w:hint="default"/>
        <w:color w:val="auto"/>
      </w:rPr>
    </w:lvl>
    <w:lvl w:ilvl="6">
      <w:start w:val="1"/>
      <w:numFmt w:val="none"/>
      <w:lvlText w:val="%7."/>
      <w:lvlJc w:val="left"/>
      <w:pPr>
        <w:ind w:left="907" w:hanging="907"/>
      </w:pPr>
      <w:rPr>
        <w:rFonts w:hint="default"/>
      </w:rPr>
    </w:lvl>
    <w:lvl w:ilvl="7">
      <w:start w:val="1"/>
      <w:numFmt w:val="none"/>
      <w:lvlText w:val="%8."/>
      <w:lvlJc w:val="left"/>
      <w:pPr>
        <w:ind w:left="907" w:hanging="907"/>
      </w:pPr>
      <w:rPr>
        <w:rFonts w:hint="default"/>
      </w:rPr>
    </w:lvl>
    <w:lvl w:ilvl="8">
      <w:start w:val="1"/>
      <w:numFmt w:val="none"/>
      <w:lvlText w:val="%9."/>
      <w:lvlJc w:val="right"/>
      <w:pPr>
        <w:ind w:left="907" w:hanging="907"/>
      </w:pPr>
      <w:rPr>
        <w:rFonts w:hint="default"/>
      </w:rPr>
    </w:lvl>
  </w:abstractNum>
  <w:abstractNum w:abstractNumId="5">
    <w:nsid w:val="63C84D9C"/>
    <w:multiLevelType w:val="hybridMultilevel"/>
    <w:tmpl w:val="53845D0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4"/>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1"/>
  </w:num>
  <w:num w:numId="12">
    <w:abstractNumId w:val="4"/>
  </w:num>
  <w:num w:numId="13">
    <w:abstractNumId w:val="0"/>
  </w:num>
  <w:num w:numId="14">
    <w:abstractNumId w:val="5"/>
  </w:num>
  <w:num w:numId="15">
    <w:abstractNumId w:val="3"/>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F8E"/>
    <w:rsid w:val="00004FA4"/>
    <w:rsid w:val="00033BBB"/>
    <w:rsid w:val="00034711"/>
    <w:rsid w:val="000500DB"/>
    <w:rsid w:val="000679E2"/>
    <w:rsid w:val="00073897"/>
    <w:rsid w:val="000906BF"/>
    <w:rsid w:val="000A5AB9"/>
    <w:rsid w:val="000B25D0"/>
    <w:rsid w:val="000B3302"/>
    <w:rsid w:val="000B40BC"/>
    <w:rsid w:val="000B42DA"/>
    <w:rsid w:val="000C353A"/>
    <w:rsid w:val="000C551B"/>
    <w:rsid w:val="000D134C"/>
    <w:rsid w:val="000D572C"/>
    <w:rsid w:val="000E0A1E"/>
    <w:rsid w:val="000F32F2"/>
    <w:rsid w:val="0010013C"/>
    <w:rsid w:val="00107E8F"/>
    <w:rsid w:val="00113B4F"/>
    <w:rsid w:val="00113CDB"/>
    <w:rsid w:val="001154EB"/>
    <w:rsid w:val="00116FB9"/>
    <w:rsid w:val="00117C3E"/>
    <w:rsid w:val="0012587D"/>
    <w:rsid w:val="00130602"/>
    <w:rsid w:val="00130F73"/>
    <w:rsid w:val="0013190F"/>
    <w:rsid w:val="00145A3C"/>
    <w:rsid w:val="00151070"/>
    <w:rsid w:val="00151975"/>
    <w:rsid w:val="001566B7"/>
    <w:rsid w:val="00157A50"/>
    <w:rsid w:val="00166AAD"/>
    <w:rsid w:val="00167DB5"/>
    <w:rsid w:val="00182795"/>
    <w:rsid w:val="001838EF"/>
    <w:rsid w:val="001866F7"/>
    <w:rsid w:val="00192511"/>
    <w:rsid w:val="00194F44"/>
    <w:rsid w:val="00195897"/>
    <w:rsid w:val="00196333"/>
    <w:rsid w:val="001A4CA5"/>
    <w:rsid w:val="001A5136"/>
    <w:rsid w:val="001A7417"/>
    <w:rsid w:val="001B32AE"/>
    <w:rsid w:val="001C71D3"/>
    <w:rsid w:val="001D1826"/>
    <w:rsid w:val="001D1A7E"/>
    <w:rsid w:val="001D4056"/>
    <w:rsid w:val="001D47FA"/>
    <w:rsid w:val="001D4AD8"/>
    <w:rsid w:val="001D63ED"/>
    <w:rsid w:val="001E0327"/>
    <w:rsid w:val="001E7112"/>
    <w:rsid w:val="001F2145"/>
    <w:rsid w:val="001F587A"/>
    <w:rsid w:val="0020323E"/>
    <w:rsid w:val="00203281"/>
    <w:rsid w:val="00204CC0"/>
    <w:rsid w:val="0020635F"/>
    <w:rsid w:val="00213AB8"/>
    <w:rsid w:val="00215DBC"/>
    <w:rsid w:val="00227CE8"/>
    <w:rsid w:val="00231B33"/>
    <w:rsid w:val="00243695"/>
    <w:rsid w:val="0026389D"/>
    <w:rsid w:val="002651C8"/>
    <w:rsid w:val="00272654"/>
    <w:rsid w:val="0027500D"/>
    <w:rsid w:val="002818CD"/>
    <w:rsid w:val="002840BE"/>
    <w:rsid w:val="0029114E"/>
    <w:rsid w:val="002A2B18"/>
    <w:rsid w:val="002A6E03"/>
    <w:rsid w:val="002B68CA"/>
    <w:rsid w:val="002D465C"/>
    <w:rsid w:val="002D61DC"/>
    <w:rsid w:val="002E2332"/>
    <w:rsid w:val="002F732F"/>
    <w:rsid w:val="00300C79"/>
    <w:rsid w:val="0030319D"/>
    <w:rsid w:val="003047E1"/>
    <w:rsid w:val="00317AE2"/>
    <w:rsid w:val="00322CCE"/>
    <w:rsid w:val="00332687"/>
    <w:rsid w:val="00343BFA"/>
    <w:rsid w:val="00345298"/>
    <w:rsid w:val="00350BA7"/>
    <w:rsid w:val="00352B6F"/>
    <w:rsid w:val="003702E2"/>
    <w:rsid w:val="003745B8"/>
    <w:rsid w:val="00377765"/>
    <w:rsid w:val="00380B7C"/>
    <w:rsid w:val="00381FB1"/>
    <w:rsid w:val="00392869"/>
    <w:rsid w:val="003B0C9C"/>
    <w:rsid w:val="003B7967"/>
    <w:rsid w:val="003C4F93"/>
    <w:rsid w:val="003E06D7"/>
    <w:rsid w:val="003E5B46"/>
    <w:rsid w:val="003E5FFE"/>
    <w:rsid w:val="003F7C89"/>
    <w:rsid w:val="004159A8"/>
    <w:rsid w:val="00416DD9"/>
    <w:rsid w:val="00416EC1"/>
    <w:rsid w:val="0042220D"/>
    <w:rsid w:val="00424A04"/>
    <w:rsid w:val="0042521A"/>
    <w:rsid w:val="00425492"/>
    <w:rsid w:val="004260D0"/>
    <w:rsid w:val="00426A45"/>
    <w:rsid w:val="00426BEB"/>
    <w:rsid w:val="00430DE9"/>
    <w:rsid w:val="00433031"/>
    <w:rsid w:val="00433275"/>
    <w:rsid w:val="00435E2E"/>
    <w:rsid w:val="00441C89"/>
    <w:rsid w:val="00444578"/>
    <w:rsid w:val="00445FC2"/>
    <w:rsid w:val="00452CD8"/>
    <w:rsid w:val="00463697"/>
    <w:rsid w:val="00464F8E"/>
    <w:rsid w:val="004753FD"/>
    <w:rsid w:val="00476C87"/>
    <w:rsid w:val="00491F33"/>
    <w:rsid w:val="00497832"/>
    <w:rsid w:val="004A0254"/>
    <w:rsid w:val="004A4199"/>
    <w:rsid w:val="004B0838"/>
    <w:rsid w:val="004B104D"/>
    <w:rsid w:val="004B5EDF"/>
    <w:rsid w:val="004D57D4"/>
    <w:rsid w:val="004D5B64"/>
    <w:rsid w:val="004D620C"/>
    <w:rsid w:val="004E69D9"/>
    <w:rsid w:val="004F082F"/>
    <w:rsid w:val="004F0983"/>
    <w:rsid w:val="004F4244"/>
    <w:rsid w:val="0050797D"/>
    <w:rsid w:val="00513F2E"/>
    <w:rsid w:val="00514C7D"/>
    <w:rsid w:val="005222F9"/>
    <w:rsid w:val="0052263C"/>
    <w:rsid w:val="00526601"/>
    <w:rsid w:val="00526835"/>
    <w:rsid w:val="00532195"/>
    <w:rsid w:val="00533BF2"/>
    <w:rsid w:val="005362CE"/>
    <w:rsid w:val="00542FDB"/>
    <w:rsid w:val="00544222"/>
    <w:rsid w:val="00553840"/>
    <w:rsid w:val="005572D8"/>
    <w:rsid w:val="00557416"/>
    <w:rsid w:val="00565AA7"/>
    <w:rsid w:val="00570878"/>
    <w:rsid w:val="005738EE"/>
    <w:rsid w:val="0058023F"/>
    <w:rsid w:val="005C188C"/>
    <w:rsid w:val="005C4051"/>
    <w:rsid w:val="005C77DE"/>
    <w:rsid w:val="005D69FE"/>
    <w:rsid w:val="005D6E76"/>
    <w:rsid w:val="005D7772"/>
    <w:rsid w:val="005E0126"/>
    <w:rsid w:val="005E039C"/>
    <w:rsid w:val="005E1030"/>
    <w:rsid w:val="005E358C"/>
    <w:rsid w:val="005F1020"/>
    <w:rsid w:val="005F35FE"/>
    <w:rsid w:val="005F5628"/>
    <w:rsid w:val="006006F6"/>
    <w:rsid w:val="00602122"/>
    <w:rsid w:val="0061363E"/>
    <w:rsid w:val="00613991"/>
    <w:rsid w:val="006154E7"/>
    <w:rsid w:val="006600A1"/>
    <w:rsid w:val="00660BDE"/>
    <w:rsid w:val="006703D1"/>
    <w:rsid w:val="00670621"/>
    <w:rsid w:val="0067598E"/>
    <w:rsid w:val="00680B08"/>
    <w:rsid w:val="00686773"/>
    <w:rsid w:val="0068720E"/>
    <w:rsid w:val="0069010E"/>
    <w:rsid w:val="00694EFF"/>
    <w:rsid w:val="00697699"/>
    <w:rsid w:val="006A2E75"/>
    <w:rsid w:val="006B4472"/>
    <w:rsid w:val="006B5FEE"/>
    <w:rsid w:val="006C1E57"/>
    <w:rsid w:val="006C7E4F"/>
    <w:rsid w:val="006D0865"/>
    <w:rsid w:val="006D3024"/>
    <w:rsid w:val="006D7BA7"/>
    <w:rsid w:val="006E12B1"/>
    <w:rsid w:val="006E38BB"/>
    <w:rsid w:val="006E4B90"/>
    <w:rsid w:val="006E6E91"/>
    <w:rsid w:val="006E7BB2"/>
    <w:rsid w:val="006F4938"/>
    <w:rsid w:val="00703330"/>
    <w:rsid w:val="00711C19"/>
    <w:rsid w:val="00713AB0"/>
    <w:rsid w:val="0072291C"/>
    <w:rsid w:val="007252A6"/>
    <w:rsid w:val="00726CC2"/>
    <w:rsid w:val="007304CB"/>
    <w:rsid w:val="00733828"/>
    <w:rsid w:val="00734757"/>
    <w:rsid w:val="0074059A"/>
    <w:rsid w:val="00740E16"/>
    <w:rsid w:val="007437D8"/>
    <w:rsid w:val="00753D46"/>
    <w:rsid w:val="0076748B"/>
    <w:rsid w:val="00767572"/>
    <w:rsid w:val="00773E56"/>
    <w:rsid w:val="00780AEA"/>
    <w:rsid w:val="00781B9A"/>
    <w:rsid w:val="0078709D"/>
    <w:rsid w:val="007A1855"/>
    <w:rsid w:val="007A6E1A"/>
    <w:rsid w:val="007B16EB"/>
    <w:rsid w:val="007E23CE"/>
    <w:rsid w:val="007E249B"/>
    <w:rsid w:val="007E28EB"/>
    <w:rsid w:val="007F2473"/>
    <w:rsid w:val="00807A99"/>
    <w:rsid w:val="008129CE"/>
    <w:rsid w:val="00815B8C"/>
    <w:rsid w:val="00816065"/>
    <w:rsid w:val="00816FCA"/>
    <w:rsid w:val="00820FCE"/>
    <w:rsid w:val="008233B5"/>
    <w:rsid w:val="008247BB"/>
    <w:rsid w:val="00835A25"/>
    <w:rsid w:val="00844306"/>
    <w:rsid w:val="00850B2D"/>
    <w:rsid w:val="0085312A"/>
    <w:rsid w:val="00853296"/>
    <w:rsid w:val="00856EE1"/>
    <w:rsid w:val="00861230"/>
    <w:rsid w:val="008613E9"/>
    <w:rsid w:val="00864AEF"/>
    <w:rsid w:val="00873805"/>
    <w:rsid w:val="008827E0"/>
    <w:rsid w:val="00884301"/>
    <w:rsid w:val="00895D40"/>
    <w:rsid w:val="008B3727"/>
    <w:rsid w:val="008B7346"/>
    <w:rsid w:val="008C415C"/>
    <w:rsid w:val="008C5862"/>
    <w:rsid w:val="008C7C0A"/>
    <w:rsid w:val="008D1BE2"/>
    <w:rsid w:val="008E4519"/>
    <w:rsid w:val="008E4DF6"/>
    <w:rsid w:val="008F2B9E"/>
    <w:rsid w:val="008F5E01"/>
    <w:rsid w:val="008F7B05"/>
    <w:rsid w:val="009030F4"/>
    <w:rsid w:val="00903D69"/>
    <w:rsid w:val="00907698"/>
    <w:rsid w:val="0092122E"/>
    <w:rsid w:val="00922078"/>
    <w:rsid w:val="00935DF6"/>
    <w:rsid w:val="009504A3"/>
    <w:rsid w:val="00951504"/>
    <w:rsid w:val="00954D86"/>
    <w:rsid w:val="00960AF9"/>
    <w:rsid w:val="00982E5C"/>
    <w:rsid w:val="00986DE8"/>
    <w:rsid w:val="0099396C"/>
    <w:rsid w:val="00994915"/>
    <w:rsid w:val="00995332"/>
    <w:rsid w:val="00995470"/>
    <w:rsid w:val="009A02FF"/>
    <w:rsid w:val="009B115A"/>
    <w:rsid w:val="009C2269"/>
    <w:rsid w:val="009C61C9"/>
    <w:rsid w:val="009D791F"/>
    <w:rsid w:val="009E4C08"/>
    <w:rsid w:val="009F0FEB"/>
    <w:rsid w:val="009F454C"/>
    <w:rsid w:val="00A115E4"/>
    <w:rsid w:val="00A11974"/>
    <w:rsid w:val="00A1592A"/>
    <w:rsid w:val="00A22718"/>
    <w:rsid w:val="00A24B38"/>
    <w:rsid w:val="00A24E3F"/>
    <w:rsid w:val="00A37858"/>
    <w:rsid w:val="00A41410"/>
    <w:rsid w:val="00A5117F"/>
    <w:rsid w:val="00A66975"/>
    <w:rsid w:val="00A74811"/>
    <w:rsid w:val="00A8109A"/>
    <w:rsid w:val="00A81E24"/>
    <w:rsid w:val="00A82677"/>
    <w:rsid w:val="00A838CD"/>
    <w:rsid w:val="00A855B5"/>
    <w:rsid w:val="00A85A2D"/>
    <w:rsid w:val="00A907B9"/>
    <w:rsid w:val="00A93E57"/>
    <w:rsid w:val="00A96B2C"/>
    <w:rsid w:val="00AA70F2"/>
    <w:rsid w:val="00AB2FE9"/>
    <w:rsid w:val="00AB6AD3"/>
    <w:rsid w:val="00AD02AA"/>
    <w:rsid w:val="00AE0D3A"/>
    <w:rsid w:val="00AE1AB8"/>
    <w:rsid w:val="00AE2849"/>
    <w:rsid w:val="00B01CDD"/>
    <w:rsid w:val="00B05BC0"/>
    <w:rsid w:val="00B0743B"/>
    <w:rsid w:val="00B313B7"/>
    <w:rsid w:val="00B37BC5"/>
    <w:rsid w:val="00B411C0"/>
    <w:rsid w:val="00B42702"/>
    <w:rsid w:val="00B4718F"/>
    <w:rsid w:val="00B52507"/>
    <w:rsid w:val="00B537CF"/>
    <w:rsid w:val="00B61764"/>
    <w:rsid w:val="00B619A9"/>
    <w:rsid w:val="00B75B01"/>
    <w:rsid w:val="00B80BFF"/>
    <w:rsid w:val="00BA03D7"/>
    <w:rsid w:val="00BB070E"/>
    <w:rsid w:val="00BB33A1"/>
    <w:rsid w:val="00BB5F73"/>
    <w:rsid w:val="00BB7C49"/>
    <w:rsid w:val="00BC0C93"/>
    <w:rsid w:val="00BC1EE2"/>
    <w:rsid w:val="00BC5354"/>
    <w:rsid w:val="00BD5491"/>
    <w:rsid w:val="00BD6BEF"/>
    <w:rsid w:val="00BD7F81"/>
    <w:rsid w:val="00BE1B3A"/>
    <w:rsid w:val="00BF26F6"/>
    <w:rsid w:val="00BF5FDE"/>
    <w:rsid w:val="00C01411"/>
    <w:rsid w:val="00C04D86"/>
    <w:rsid w:val="00C11090"/>
    <w:rsid w:val="00C14038"/>
    <w:rsid w:val="00C146C1"/>
    <w:rsid w:val="00C15039"/>
    <w:rsid w:val="00C15D53"/>
    <w:rsid w:val="00C16517"/>
    <w:rsid w:val="00C16F8B"/>
    <w:rsid w:val="00C20559"/>
    <w:rsid w:val="00C2445C"/>
    <w:rsid w:val="00C24628"/>
    <w:rsid w:val="00C25386"/>
    <w:rsid w:val="00C3041D"/>
    <w:rsid w:val="00C36FE2"/>
    <w:rsid w:val="00C4370C"/>
    <w:rsid w:val="00C4708F"/>
    <w:rsid w:val="00C53181"/>
    <w:rsid w:val="00C57A88"/>
    <w:rsid w:val="00C57C41"/>
    <w:rsid w:val="00C65686"/>
    <w:rsid w:val="00C65E6A"/>
    <w:rsid w:val="00C67045"/>
    <w:rsid w:val="00C67A63"/>
    <w:rsid w:val="00C74790"/>
    <w:rsid w:val="00C81FE5"/>
    <w:rsid w:val="00CA78BE"/>
    <w:rsid w:val="00CB4BA8"/>
    <w:rsid w:val="00CB5370"/>
    <w:rsid w:val="00CC0920"/>
    <w:rsid w:val="00CC156C"/>
    <w:rsid w:val="00CC4576"/>
    <w:rsid w:val="00CC45AB"/>
    <w:rsid w:val="00CC6478"/>
    <w:rsid w:val="00CD2AFC"/>
    <w:rsid w:val="00CD5A6E"/>
    <w:rsid w:val="00CD66F0"/>
    <w:rsid w:val="00CD7E2B"/>
    <w:rsid w:val="00CE1F69"/>
    <w:rsid w:val="00D00A3A"/>
    <w:rsid w:val="00D16FC0"/>
    <w:rsid w:val="00D37669"/>
    <w:rsid w:val="00D46029"/>
    <w:rsid w:val="00D50121"/>
    <w:rsid w:val="00D60B00"/>
    <w:rsid w:val="00D610E9"/>
    <w:rsid w:val="00D64031"/>
    <w:rsid w:val="00D6433C"/>
    <w:rsid w:val="00D66686"/>
    <w:rsid w:val="00D727AB"/>
    <w:rsid w:val="00D73DA4"/>
    <w:rsid w:val="00D75777"/>
    <w:rsid w:val="00DA3321"/>
    <w:rsid w:val="00DA5CD2"/>
    <w:rsid w:val="00DB6C0F"/>
    <w:rsid w:val="00DB7CFD"/>
    <w:rsid w:val="00DD2350"/>
    <w:rsid w:val="00DD4450"/>
    <w:rsid w:val="00DD50B8"/>
    <w:rsid w:val="00DE06BF"/>
    <w:rsid w:val="00DE773C"/>
    <w:rsid w:val="00DF203D"/>
    <w:rsid w:val="00DF29B1"/>
    <w:rsid w:val="00DF4964"/>
    <w:rsid w:val="00E027FC"/>
    <w:rsid w:val="00E105DA"/>
    <w:rsid w:val="00E1155F"/>
    <w:rsid w:val="00E20AB5"/>
    <w:rsid w:val="00E36858"/>
    <w:rsid w:val="00E446FD"/>
    <w:rsid w:val="00E470FE"/>
    <w:rsid w:val="00E632A5"/>
    <w:rsid w:val="00E73512"/>
    <w:rsid w:val="00E80CDD"/>
    <w:rsid w:val="00E8181D"/>
    <w:rsid w:val="00E83388"/>
    <w:rsid w:val="00E834DF"/>
    <w:rsid w:val="00E866C4"/>
    <w:rsid w:val="00EA0B25"/>
    <w:rsid w:val="00EA2821"/>
    <w:rsid w:val="00EA2DBC"/>
    <w:rsid w:val="00EA6427"/>
    <w:rsid w:val="00EC1F16"/>
    <w:rsid w:val="00EC22F5"/>
    <w:rsid w:val="00EE764E"/>
    <w:rsid w:val="00EE7B17"/>
    <w:rsid w:val="00EF3A69"/>
    <w:rsid w:val="00F0034D"/>
    <w:rsid w:val="00F00EA3"/>
    <w:rsid w:val="00F113CC"/>
    <w:rsid w:val="00F114B3"/>
    <w:rsid w:val="00F32A6D"/>
    <w:rsid w:val="00F33A80"/>
    <w:rsid w:val="00F33BEA"/>
    <w:rsid w:val="00F347ED"/>
    <w:rsid w:val="00F3645B"/>
    <w:rsid w:val="00F3704E"/>
    <w:rsid w:val="00F3764D"/>
    <w:rsid w:val="00F41735"/>
    <w:rsid w:val="00F41F87"/>
    <w:rsid w:val="00F51F98"/>
    <w:rsid w:val="00F540E5"/>
    <w:rsid w:val="00F5647C"/>
    <w:rsid w:val="00F63266"/>
    <w:rsid w:val="00F72702"/>
    <w:rsid w:val="00F76B9F"/>
    <w:rsid w:val="00F94922"/>
    <w:rsid w:val="00F95B58"/>
    <w:rsid w:val="00FA15EF"/>
    <w:rsid w:val="00FA3DFA"/>
    <w:rsid w:val="00FA471D"/>
    <w:rsid w:val="00FB3DE8"/>
    <w:rsid w:val="00FB7D65"/>
    <w:rsid w:val="00FC15E5"/>
    <w:rsid w:val="00FC7167"/>
    <w:rsid w:val="00FD19F1"/>
    <w:rsid w:val="00FD3BCE"/>
    <w:rsid w:val="00FD6582"/>
    <w:rsid w:val="00FE3DD7"/>
    <w:rsid w:val="00FF07DF"/>
    <w:rsid w:val="00FF2D6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937AE98"/>
  <w15:docId w15:val="{32688F73-D64B-4E03-B648-D31E44DC5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08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AListNumbered">
    <w:name w:val="(FRA) List Numbered"/>
    <w:basedOn w:val="FRABodyText"/>
    <w:qFormat/>
    <w:rsid w:val="00464F8E"/>
    <w:pPr>
      <w:numPr>
        <w:ilvl w:val="4"/>
        <w:numId w:val="1"/>
      </w:numPr>
      <w:tabs>
        <w:tab w:val="num" w:pos="360"/>
      </w:tabs>
      <w:ind w:left="0"/>
    </w:pPr>
  </w:style>
  <w:style w:type="paragraph" w:customStyle="1" w:styleId="FRAHeading1">
    <w:name w:val="(FRA) Heading 1"/>
    <w:next w:val="FRAHeading2"/>
    <w:uiPriority w:val="1"/>
    <w:qFormat/>
    <w:locked/>
    <w:rsid w:val="00464F8E"/>
    <w:pPr>
      <w:keepNext/>
      <w:numPr>
        <w:numId w:val="1"/>
      </w:numPr>
      <w:tabs>
        <w:tab w:val="left" w:pos="907"/>
      </w:tabs>
      <w:spacing w:before="240" w:after="60" w:line="240" w:lineRule="auto"/>
      <w:outlineLvl w:val="0"/>
    </w:pPr>
    <w:rPr>
      <w:rFonts w:ascii="Arial" w:eastAsia="Calibri" w:hAnsi="Arial" w:cs="Arial"/>
      <w:b/>
      <w:sz w:val="32"/>
      <w:szCs w:val="32"/>
      <w:lang w:val="en-GB" w:bidi="en-US"/>
    </w:rPr>
  </w:style>
  <w:style w:type="paragraph" w:customStyle="1" w:styleId="FRAHeading2">
    <w:name w:val="(FRA) Heading 2"/>
    <w:basedOn w:val="FRAHeading1"/>
    <w:next w:val="FRAHeading3"/>
    <w:uiPriority w:val="1"/>
    <w:qFormat/>
    <w:locked/>
    <w:rsid w:val="00464F8E"/>
    <w:pPr>
      <w:numPr>
        <w:ilvl w:val="1"/>
      </w:numPr>
      <w:outlineLvl w:val="1"/>
    </w:pPr>
    <w:rPr>
      <w:sz w:val="28"/>
      <w:szCs w:val="28"/>
    </w:rPr>
  </w:style>
  <w:style w:type="paragraph" w:customStyle="1" w:styleId="FRAHeading3">
    <w:name w:val="(FRA) Heading 3"/>
    <w:basedOn w:val="FRAHeading2"/>
    <w:next w:val="FRABodyText"/>
    <w:uiPriority w:val="1"/>
    <w:qFormat/>
    <w:locked/>
    <w:rsid w:val="00464F8E"/>
    <w:pPr>
      <w:numPr>
        <w:ilvl w:val="2"/>
      </w:numPr>
      <w:outlineLvl w:val="2"/>
    </w:pPr>
    <w:rPr>
      <w:sz w:val="24"/>
      <w:szCs w:val="24"/>
    </w:rPr>
  </w:style>
  <w:style w:type="paragraph" w:customStyle="1" w:styleId="FRAHeading4Unnumbered">
    <w:name w:val="(FRA) Heading 4 Unnumbered"/>
    <w:basedOn w:val="FRAHeading3"/>
    <w:next w:val="FRABodyText"/>
    <w:qFormat/>
    <w:rsid w:val="00464F8E"/>
    <w:pPr>
      <w:numPr>
        <w:ilvl w:val="3"/>
      </w:numPr>
      <w:outlineLvl w:val="3"/>
    </w:pPr>
    <w:rPr>
      <w:sz w:val="22"/>
      <w:u w:val="single"/>
    </w:rPr>
  </w:style>
  <w:style w:type="paragraph" w:customStyle="1" w:styleId="FRABodyText">
    <w:name w:val="(FRA) Body Text"/>
    <w:link w:val="FRABodyTextZchn"/>
    <w:qFormat/>
    <w:rsid w:val="00464F8E"/>
    <w:pPr>
      <w:spacing w:after="0" w:line="240" w:lineRule="auto"/>
      <w:jc w:val="both"/>
    </w:pPr>
    <w:rPr>
      <w:rFonts w:ascii="Times New Roman" w:eastAsia="Calibri" w:hAnsi="Times New Roman" w:cs="Times New Roman"/>
      <w:lang w:val="en-GB" w:bidi="en-US"/>
    </w:rPr>
  </w:style>
  <w:style w:type="numbering" w:customStyle="1" w:styleId="FRAHeadings">
    <w:name w:val="(FRA) Headings"/>
    <w:uiPriority w:val="99"/>
    <w:rsid w:val="00464F8E"/>
    <w:pPr>
      <w:numPr>
        <w:numId w:val="1"/>
      </w:numPr>
    </w:pPr>
  </w:style>
  <w:style w:type="paragraph" w:customStyle="1" w:styleId="FRAListBullet">
    <w:name w:val="(FRA) List Bullet"/>
    <w:basedOn w:val="FRABodyText"/>
    <w:qFormat/>
    <w:rsid w:val="00464F8E"/>
    <w:pPr>
      <w:numPr>
        <w:ilvl w:val="5"/>
        <w:numId w:val="1"/>
      </w:numPr>
      <w:tabs>
        <w:tab w:val="num" w:pos="360"/>
      </w:tabs>
      <w:ind w:left="0"/>
    </w:pPr>
  </w:style>
  <w:style w:type="paragraph" w:customStyle="1" w:styleId="FRATextbox">
    <w:name w:val="(FRA) Textbox"/>
    <w:basedOn w:val="FRABodyText"/>
    <w:qFormat/>
    <w:rsid w:val="00464F8E"/>
    <w:pPr>
      <w:pBdr>
        <w:top w:val="single" w:sz="4" w:space="4" w:color="auto" w:shadow="1"/>
        <w:left w:val="single" w:sz="4" w:space="4" w:color="auto" w:shadow="1"/>
        <w:bottom w:val="single" w:sz="4" w:space="4" w:color="auto" w:shadow="1"/>
        <w:right w:val="single" w:sz="4" w:space="4" w:color="auto" w:shadow="1"/>
      </w:pBdr>
      <w:spacing w:before="240" w:line="276" w:lineRule="auto"/>
    </w:pPr>
    <w:rPr>
      <w:lang w:val="en-US"/>
    </w:rPr>
  </w:style>
  <w:style w:type="paragraph" w:customStyle="1" w:styleId="FRATextboxTitle">
    <w:name w:val="(FRA) Textbox Title"/>
    <w:basedOn w:val="Normal"/>
    <w:next w:val="FRATextbox"/>
    <w:qFormat/>
    <w:rsid w:val="00464F8E"/>
    <w:pPr>
      <w:keepNext/>
      <w:pBdr>
        <w:top w:val="single" w:sz="4" w:space="4" w:color="auto" w:shadow="1"/>
        <w:left w:val="single" w:sz="4" w:space="4" w:color="auto" w:shadow="1"/>
        <w:bottom w:val="single" w:sz="4" w:space="4" w:color="auto" w:shadow="1"/>
        <w:right w:val="single" w:sz="4" w:space="4" w:color="auto" w:shadow="1"/>
      </w:pBdr>
      <w:spacing w:before="240" w:after="0" w:line="240" w:lineRule="auto"/>
      <w:jc w:val="center"/>
    </w:pPr>
    <w:rPr>
      <w:rFonts w:ascii="Arial" w:eastAsia="Times New Roman" w:hAnsi="Arial" w:cs="Times New Roman"/>
      <w:b/>
      <w:kern w:val="28"/>
      <w:sz w:val="28"/>
      <w:lang w:val="en-US"/>
    </w:rPr>
  </w:style>
  <w:style w:type="paragraph" w:styleId="FootnoteText">
    <w:name w:val="footnote text"/>
    <w:aliases w:val="footnotes,Footnote Text Char2 Char,Footnote Text Char Char1 Char,Footnote Text Char2 Char Char Char,Footnote Text Char1 Char Char Char Char,Footnote Text Char Char Char Char Char Char,Fußnotentext RAXEN,footnotes Char,fn,Footnote"/>
    <w:basedOn w:val="Normal"/>
    <w:link w:val="FootnoteTextChar"/>
    <w:uiPriority w:val="99"/>
    <w:qFormat/>
    <w:rsid w:val="00464F8E"/>
    <w:pPr>
      <w:spacing w:after="0" w:line="240" w:lineRule="auto"/>
    </w:pPr>
    <w:rPr>
      <w:rFonts w:ascii="Times New Roman" w:eastAsia="Calibri" w:hAnsi="Times New Roman" w:cs="Times New Roman"/>
      <w:sz w:val="20"/>
      <w:szCs w:val="20"/>
    </w:rPr>
  </w:style>
  <w:style w:type="character" w:customStyle="1" w:styleId="FootnoteTextChar">
    <w:name w:val="Footnote Text Char"/>
    <w:aliases w:val="footnotes Char1,Footnote Text Char2 Char Char,Footnote Text Char Char1 Char Char,Footnote Text Char2 Char Char Char Char,Footnote Text Char1 Char Char Char Char Char,Footnote Text Char Char Char Char Char Char Char,footnotes Char Char"/>
    <w:basedOn w:val="DefaultParagraphFont"/>
    <w:link w:val="FootnoteText"/>
    <w:uiPriority w:val="99"/>
    <w:rsid w:val="00464F8E"/>
    <w:rPr>
      <w:rFonts w:ascii="Times New Roman" w:eastAsia="Calibri" w:hAnsi="Times New Roman" w:cs="Times New Roman"/>
      <w:sz w:val="20"/>
      <w:szCs w:val="20"/>
    </w:rPr>
  </w:style>
  <w:style w:type="character" w:styleId="FootnoteReference">
    <w:name w:val="footnote reference"/>
    <w:aliases w:val="Footnote Refernece,Footnote Refernece + (Latein) Arial,10 pt,Blau,Footnote symbol,Footnote reference number,note TESI,nota pié di pagina,Footnote Reference Superscript,Footnotes refss,Appel note de bas de p.,callout,4_G,BVI fnr,FR"/>
    <w:basedOn w:val="DefaultParagraphFont"/>
    <w:link w:val="FootnoteReferneceChar"/>
    <w:uiPriority w:val="99"/>
    <w:qFormat/>
    <w:rsid w:val="00464F8E"/>
    <w:rPr>
      <w:vertAlign w:val="superscript"/>
    </w:rPr>
  </w:style>
  <w:style w:type="character" w:styleId="Hyperlink">
    <w:name w:val="Hyperlink"/>
    <w:basedOn w:val="DefaultParagraphFont"/>
    <w:uiPriority w:val="99"/>
    <w:unhideWhenUsed/>
    <w:rsid w:val="00464F8E"/>
    <w:rPr>
      <w:color w:val="0000FF" w:themeColor="hyperlink"/>
      <w:u w:val="single"/>
    </w:rPr>
  </w:style>
  <w:style w:type="paragraph" w:customStyle="1" w:styleId="FootnoteReferneceChar">
    <w:name w:val="Footnote Refernece Char"/>
    <w:aliases w:val="BVI fnr Char Char Char Char Char Char Char Char Char,BVI fnr Car Car Char Char Char Char Char Char Char Char Char,BVI fnr Car Char Char Char Char Char Char Char Char Char Char"/>
    <w:basedOn w:val="Normal"/>
    <w:link w:val="FootnoteReference"/>
    <w:uiPriority w:val="99"/>
    <w:rsid w:val="00464F8E"/>
    <w:pPr>
      <w:spacing w:after="160" w:line="240" w:lineRule="exact"/>
    </w:pPr>
    <w:rPr>
      <w:vertAlign w:val="superscript"/>
    </w:rPr>
  </w:style>
  <w:style w:type="character" w:customStyle="1" w:styleId="FRABodyTextZchn">
    <w:name w:val="(FRA) Body Text Zchn"/>
    <w:link w:val="FRABodyText"/>
    <w:locked/>
    <w:rsid w:val="00464F8E"/>
    <w:rPr>
      <w:rFonts w:ascii="Times New Roman" w:eastAsia="Calibri" w:hAnsi="Times New Roman" w:cs="Times New Roman"/>
      <w:lang w:val="en-GB" w:bidi="en-US"/>
    </w:rPr>
  </w:style>
  <w:style w:type="paragraph" w:styleId="BalloonText">
    <w:name w:val="Balloon Text"/>
    <w:basedOn w:val="Normal"/>
    <w:link w:val="BalloonTextChar"/>
    <w:uiPriority w:val="99"/>
    <w:semiHidden/>
    <w:unhideWhenUsed/>
    <w:rsid w:val="004F42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4244"/>
    <w:rPr>
      <w:rFonts w:ascii="Tahoma" w:hAnsi="Tahoma" w:cs="Tahoma"/>
      <w:sz w:val="16"/>
      <w:szCs w:val="16"/>
    </w:rPr>
  </w:style>
  <w:style w:type="paragraph" w:styleId="Header">
    <w:name w:val="header"/>
    <w:basedOn w:val="Normal"/>
    <w:link w:val="HeaderChar"/>
    <w:uiPriority w:val="99"/>
    <w:unhideWhenUsed/>
    <w:rsid w:val="006D0865"/>
    <w:pPr>
      <w:tabs>
        <w:tab w:val="center" w:pos="4153"/>
        <w:tab w:val="right" w:pos="8306"/>
      </w:tabs>
      <w:spacing w:after="0" w:line="240" w:lineRule="auto"/>
    </w:pPr>
  </w:style>
  <w:style w:type="character" w:customStyle="1" w:styleId="HeaderChar">
    <w:name w:val="Header Char"/>
    <w:basedOn w:val="DefaultParagraphFont"/>
    <w:link w:val="Header"/>
    <w:uiPriority w:val="99"/>
    <w:rsid w:val="006D0865"/>
  </w:style>
  <w:style w:type="paragraph" w:styleId="Footer">
    <w:name w:val="footer"/>
    <w:basedOn w:val="Normal"/>
    <w:link w:val="FooterChar"/>
    <w:uiPriority w:val="99"/>
    <w:unhideWhenUsed/>
    <w:rsid w:val="006D0865"/>
    <w:pPr>
      <w:tabs>
        <w:tab w:val="center" w:pos="4153"/>
        <w:tab w:val="right" w:pos="8306"/>
      </w:tabs>
      <w:spacing w:after="0" w:line="240" w:lineRule="auto"/>
    </w:pPr>
  </w:style>
  <w:style w:type="character" w:customStyle="1" w:styleId="FooterChar">
    <w:name w:val="Footer Char"/>
    <w:basedOn w:val="DefaultParagraphFont"/>
    <w:link w:val="Footer"/>
    <w:uiPriority w:val="99"/>
    <w:rsid w:val="006D0865"/>
  </w:style>
  <w:style w:type="character" w:styleId="CommentReference">
    <w:name w:val="annotation reference"/>
    <w:basedOn w:val="DefaultParagraphFont"/>
    <w:uiPriority w:val="99"/>
    <w:semiHidden/>
    <w:unhideWhenUsed/>
    <w:rsid w:val="00392869"/>
    <w:rPr>
      <w:sz w:val="16"/>
      <w:szCs w:val="16"/>
    </w:rPr>
  </w:style>
  <w:style w:type="paragraph" w:styleId="CommentText">
    <w:name w:val="annotation text"/>
    <w:basedOn w:val="Normal"/>
    <w:link w:val="CommentTextChar"/>
    <w:uiPriority w:val="99"/>
    <w:semiHidden/>
    <w:unhideWhenUsed/>
    <w:rsid w:val="00392869"/>
    <w:pPr>
      <w:spacing w:line="240" w:lineRule="auto"/>
    </w:pPr>
    <w:rPr>
      <w:sz w:val="20"/>
      <w:szCs w:val="20"/>
    </w:rPr>
  </w:style>
  <w:style w:type="character" w:customStyle="1" w:styleId="CommentTextChar">
    <w:name w:val="Comment Text Char"/>
    <w:basedOn w:val="DefaultParagraphFont"/>
    <w:link w:val="CommentText"/>
    <w:uiPriority w:val="99"/>
    <w:semiHidden/>
    <w:rsid w:val="00392869"/>
    <w:rPr>
      <w:sz w:val="20"/>
      <w:szCs w:val="20"/>
    </w:rPr>
  </w:style>
  <w:style w:type="paragraph" w:styleId="CommentSubject">
    <w:name w:val="annotation subject"/>
    <w:basedOn w:val="CommentText"/>
    <w:next w:val="CommentText"/>
    <w:link w:val="CommentSubjectChar"/>
    <w:uiPriority w:val="99"/>
    <w:semiHidden/>
    <w:unhideWhenUsed/>
    <w:rsid w:val="00392869"/>
    <w:rPr>
      <w:b/>
      <w:bCs/>
    </w:rPr>
  </w:style>
  <w:style w:type="character" w:customStyle="1" w:styleId="CommentSubjectChar">
    <w:name w:val="Comment Subject Char"/>
    <w:basedOn w:val="CommentTextChar"/>
    <w:link w:val="CommentSubject"/>
    <w:uiPriority w:val="99"/>
    <w:semiHidden/>
    <w:rsid w:val="00392869"/>
    <w:rPr>
      <w:b/>
      <w:bCs/>
      <w:sz w:val="20"/>
      <w:szCs w:val="20"/>
    </w:rPr>
  </w:style>
  <w:style w:type="character" w:styleId="FollowedHyperlink">
    <w:name w:val="FollowedHyperlink"/>
    <w:basedOn w:val="DefaultParagraphFont"/>
    <w:uiPriority w:val="99"/>
    <w:semiHidden/>
    <w:unhideWhenUsed/>
    <w:rsid w:val="00835A25"/>
    <w:rPr>
      <w:color w:val="800080" w:themeColor="followedHyperlink"/>
      <w:u w:val="single"/>
    </w:rPr>
  </w:style>
  <w:style w:type="paragraph" w:customStyle="1" w:styleId="FRAFigureNote">
    <w:name w:val="(FRA) Figure Note"/>
    <w:basedOn w:val="Normal"/>
    <w:next w:val="FRABodyText"/>
    <w:qFormat/>
    <w:rsid w:val="0074059A"/>
    <w:pPr>
      <w:keepNext/>
      <w:spacing w:before="60" w:after="60" w:line="240" w:lineRule="auto"/>
      <w:ind w:left="562" w:right="562"/>
      <w:jc w:val="both"/>
    </w:pPr>
    <w:rPr>
      <w:rFonts w:ascii="Arial" w:eastAsia="Times New Roman" w:hAnsi="Arial" w:cs="Times New Roman"/>
      <w:i/>
      <w:sz w:val="20"/>
      <w:szCs w:val="20"/>
      <w:lang w:val="en-GB" w:bidi="en-US"/>
    </w:rPr>
  </w:style>
  <w:style w:type="paragraph" w:customStyle="1" w:styleId="FRAFigureTitle">
    <w:name w:val="(FRA) Figure Title"/>
    <w:basedOn w:val="Normal"/>
    <w:next w:val="FRAFigureNote"/>
    <w:qFormat/>
    <w:rsid w:val="0074059A"/>
    <w:pPr>
      <w:keepNext/>
      <w:tabs>
        <w:tab w:val="left" w:pos="907"/>
      </w:tabs>
      <w:spacing w:before="240" w:after="60" w:line="240" w:lineRule="auto"/>
      <w:jc w:val="center"/>
      <w:outlineLvl w:val="0"/>
    </w:pPr>
    <w:rPr>
      <w:rFonts w:ascii="Arial" w:eastAsia="Times New Roman" w:hAnsi="Arial" w:cs="Arial"/>
      <w:b/>
      <w:szCs w:val="20"/>
      <w:lang w:val="en-GB" w:bidi="en-US"/>
    </w:rPr>
  </w:style>
  <w:style w:type="character" w:customStyle="1" w:styleId="FRABodyTextChar">
    <w:name w:val="(FRA) Body Text Char"/>
    <w:locked/>
    <w:rsid w:val="004D57D4"/>
    <w:rPr>
      <w:rFonts w:ascii="Verdana" w:eastAsia="Calibri" w:hAnsi="Verdana" w:cs="Times New Roman"/>
      <w:sz w:val="20"/>
      <w:lang w:val="en-GB" w:eastAsia="en-GB" w:bidi="en-US"/>
    </w:rPr>
  </w:style>
  <w:style w:type="paragraph" w:styleId="Revision">
    <w:name w:val="Revision"/>
    <w:hidden/>
    <w:uiPriority w:val="99"/>
    <w:semiHidden/>
    <w:rsid w:val="00F4173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9692532">
      <w:bodyDiv w:val="1"/>
      <w:marLeft w:val="0"/>
      <w:marRight w:val="0"/>
      <w:marTop w:val="0"/>
      <w:marBottom w:val="0"/>
      <w:divBdr>
        <w:top w:val="none" w:sz="0" w:space="0" w:color="auto"/>
        <w:left w:val="none" w:sz="0" w:space="0" w:color="auto"/>
        <w:bottom w:val="none" w:sz="0" w:space="0" w:color="auto"/>
        <w:right w:val="none" w:sz="0" w:space="0" w:color="auto"/>
      </w:divBdr>
    </w:div>
    <w:div w:id="481849735">
      <w:bodyDiv w:val="1"/>
      <w:marLeft w:val="0"/>
      <w:marRight w:val="0"/>
      <w:marTop w:val="0"/>
      <w:marBottom w:val="0"/>
      <w:divBdr>
        <w:top w:val="none" w:sz="0" w:space="0" w:color="auto"/>
        <w:left w:val="none" w:sz="0" w:space="0" w:color="auto"/>
        <w:bottom w:val="none" w:sz="0" w:space="0" w:color="auto"/>
        <w:right w:val="none" w:sz="0" w:space="0" w:color="auto"/>
      </w:divBdr>
    </w:div>
    <w:div w:id="983318885">
      <w:bodyDiv w:val="1"/>
      <w:marLeft w:val="0"/>
      <w:marRight w:val="0"/>
      <w:marTop w:val="0"/>
      <w:marBottom w:val="0"/>
      <w:divBdr>
        <w:top w:val="none" w:sz="0" w:space="0" w:color="auto"/>
        <w:left w:val="none" w:sz="0" w:space="0" w:color="auto"/>
        <w:bottom w:val="none" w:sz="0" w:space="0" w:color="auto"/>
        <w:right w:val="none" w:sz="0" w:space="0" w:color="auto"/>
      </w:divBdr>
    </w:div>
    <w:div w:id="1356811203">
      <w:bodyDiv w:val="1"/>
      <w:marLeft w:val="0"/>
      <w:marRight w:val="0"/>
      <w:marTop w:val="0"/>
      <w:marBottom w:val="0"/>
      <w:divBdr>
        <w:top w:val="none" w:sz="0" w:space="0" w:color="auto"/>
        <w:left w:val="none" w:sz="0" w:space="0" w:color="auto"/>
        <w:bottom w:val="none" w:sz="0" w:space="0" w:color="auto"/>
        <w:right w:val="none" w:sz="0" w:space="0" w:color="auto"/>
      </w:divBdr>
    </w:div>
    <w:div w:id="1441334993">
      <w:bodyDiv w:val="1"/>
      <w:marLeft w:val="0"/>
      <w:marRight w:val="0"/>
      <w:marTop w:val="0"/>
      <w:marBottom w:val="0"/>
      <w:divBdr>
        <w:top w:val="none" w:sz="0" w:space="0" w:color="auto"/>
        <w:left w:val="none" w:sz="0" w:space="0" w:color="auto"/>
        <w:bottom w:val="none" w:sz="0" w:space="0" w:color="auto"/>
        <w:right w:val="none" w:sz="0" w:space="0" w:color="auto"/>
      </w:divBdr>
    </w:div>
    <w:div w:id="1667783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chart" Target="charts/chart2.xml"/><Relationship Id="rId18" Type="http://schemas.openxmlformats.org/officeDocument/2006/relationships/hyperlink" Target="http://facebook.com/fundamentalrights"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tyles" Target="styles.xml"/><Relationship Id="rId12" Type="http://schemas.openxmlformats.org/officeDocument/2006/relationships/chart" Target="charts/chart1.xml"/><Relationship Id="rId17" Type="http://schemas.openxmlformats.org/officeDocument/2006/relationships/hyperlink" Target="http://dms/research/editingproduction/Reports/info@fra.europa.eu"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fra.europa.eu" TargetMode="External"/><Relationship Id="rId20" Type="http://schemas.openxmlformats.org/officeDocument/2006/relationships/hyperlink" Target="http://twitter.com/EURightsAgency"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http://fra.europa.eu/en/theme/people-disabilities" TargetMode="External"/><Relationship Id="rId23"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hyperlink" Target="http://linkedin.com/company/eu-fundamental-rights-agency"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fra.europa.eu/en/publication/2014/indicators-political-participation-persons-disabilities" TargetMode="External"/><Relationship Id="rId22"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www.w3.org/TR/2008/REC-WCAG20-20081211" TargetMode="External"/><Relationship Id="rId2" Type="http://schemas.openxmlformats.org/officeDocument/2006/relationships/hyperlink" Target="http://www.ohchr.org/EN/HRBodies/CRPD/Pages/DGCArticles12And9.aspx" TargetMode="External"/><Relationship Id="rId1" Type="http://schemas.openxmlformats.org/officeDocument/2006/relationships/hyperlink" Target="http://tbinternet.ohchr.org/_layouts/treatybodyexternal/TBSearch.aspx?Lang=en&amp;TreatyID=4"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tiff"/></Relationships>
</file>

<file path=word/charts/_rels/chart1.xml.rels><?xml version="1.0" encoding="UTF-8" standalone="yes"?>
<Relationships xmlns="http://schemas.openxmlformats.org/package/2006/relationships"><Relationship Id="rId1" Type="http://schemas.openxmlformats.org/officeDocument/2006/relationships/oleObject" Target="http://dms/research/polparprojectsite/ProjectDeliverables/Master%20data%20Annex_FRA%20revision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http://dms/research/polparprojectsite/ProjectDeliverables/Master%20data%20Annex_FRA%20revision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autoTitleDeleted val="0"/>
    <c:plotArea>
      <c:layout>
        <c:manualLayout>
          <c:layoutTarget val="inner"/>
          <c:xMode val="edge"/>
          <c:yMode val="edge"/>
          <c:x val="9.0270559930008751E-2"/>
          <c:y val="0.11342592592592593"/>
          <c:w val="0.51666666666666672"/>
          <c:h val="0.86111111111111116"/>
        </c:manualLayout>
      </c:layout>
      <c:pieChart>
        <c:varyColors val="1"/>
        <c:ser>
          <c:idx val="0"/>
          <c:order val="0"/>
          <c:dLbls>
            <c:spPr>
              <a:noFill/>
              <a:ln>
                <a:noFill/>
              </a:ln>
              <a:effectLst/>
            </c:spPr>
            <c:txPr>
              <a:bodyPr/>
              <a:lstStyle/>
              <a:p>
                <a:pPr>
                  <a:defRPr sz="1600"/>
                </a:pPr>
                <a:endParaRPr lang="en-US"/>
              </a:p>
            </c:txPr>
            <c:showLegendKey val="0"/>
            <c:showVal val="1"/>
            <c:showCatName val="0"/>
            <c:showSerName val="0"/>
            <c:showPercent val="0"/>
            <c:showBubbleSize val="0"/>
            <c:showLeaderLines val="1"/>
            <c:extLst>
              <c:ext xmlns:c15="http://schemas.microsoft.com/office/drawing/2012/chart" uri="{CE6537A1-D6FC-4f65-9D91-7224C49458BB}">
                <c15:layout/>
              </c:ext>
            </c:extLst>
          </c:dLbls>
          <c:cat>
            <c:strRef>
              <c:f>'2.2.1. R2V'!$L$6:$L$7</c:f>
              <c:strCache>
                <c:ptCount val="2"/>
                <c:pt idx="0">
                  <c:v>Some legal restrictions on the right to vote</c:v>
                </c:pt>
                <c:pt idx="1">
                  <c:v>No legal restrictions on the right to vote</c:v>
                </c:pt>
              </c:strCache>
            </c:strRef>
          </c:cat>
          <c:val>
            <c:numRef>
              <c:f>'2.2.1. R2V'!$M$6:$M$7</c:f>
              <c:numCache>
                <c:formatCode>General</c:formatCode>
                <c:ptCount val="2"/>
                <c:pt idx="0">
                  <c:v>21</c:v>
                </c:pt>
                <c:pt idx="1">
                  <c:v>7</c:v>
                </c:pt>
              </c:numCache>
            </c:numRef>
          </c:val>
        </c:ser>
        <c:dLbls>
          <c:showLegendKey val="0"/>
          <c:showVal val="0"/>
          <c:showCatName val="0"/>
          <c:showSerName val="0"/>
          <c:showPercent val="0"/>
          <c:showBubbleSize val="0"/>
          <c:showLeaderLines val="1"/>
        </c:dLbls>
        <c:firstSliceAng val="0"/>
      </c:pieChart>
    </c:plotArea>
    <c:legend>
      <c:legendPos val="r"/>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autoTitleDeleted val="0"/>
    <c:plotArea>
      <c:layout/>
      <c:pieChart>
        <c:varyColors val="1"/>
        <c:ser>
          <c:idx val="0"/>
          <c:order val="0"/>
          <c:dLbls>
            <c:spPr>
              <a:noFill/>
              <a:ln>
                <a:noFill/>
              </a:ln>
              <a:effectLst/>
            </c:spPr>
            <c:txPr>
              <a:bodyPr/>
              <a:lstStyle/>
              <a:p>
                <a:pPr>
                  <a:defRPr sz="1800"/>
                </a:pPr>
                <a:endParaRPr lang="en-US"/>
              </a:p>
            </c:txPr>
            <c:showLegendKey val="0"/>
            <c:showVal val="1"/>
            <c:showCatName val="0"/>
            <c:showSerName val="0"/>
            <c:showPercent val="0"/>
            <c:showBubbleSize val="0"/>
            <c:showLeaderLines val="1"/>
            <c:extLst>
              <c:ext xmlns:c15="http://schemas.microsoft.com/office/drawing/2012/chart" uri="{CE6537A1-D6FC-4f65-9D91-7224C49458BB}">
                <c15:layout/>
              </c:ext>
            </c:extLst>
          </c:dLbls>
          <c:cat>
            <c:strRef>
              <c:f>'4.2.3. website accessib'!$C$5:$C$7</c:f>
              <c:strCache>
                <c:ptCount val="3"/>
                <c:pt idx="0">
                  <c:v>Yes, website is WCAG 2.0 AA  compliant</c:v>
                </c:pt>
                <c:pt idx="1">
                  <c:v>Partially, some accessibility measures are in place</c:v>
                </c:pt>
                <c:pt idx="2">
                  <c:v>No/No data identified</c:v>
                </c:pt>
              </c:strCache>
            </c:strRef>
          </c:cat>
          <c:val>
            <c:numRef>
              <c:f>'4.2.3. website accessib'!$D$5:$D$7</c:f>
              <c:numCache>
                <c:formatCode>General</c:formatCode>
                <c:ptCount val="3"/>
                <c:pt idx="0">
                  <c:v>10</c:v>
                </c:pt>
                <c:pt idx="1">
                  <c:v>12</c:v>
                </c:pt>
                <c:pt idx="2">
                  <c:v>6</c:v>
                </c:pt>
              </c:numCache>
            </c:numRef>
          </c:val>
        </c:ser>
        <c:dLbls>
          <c:showLegendKey val="0"/>
          <c:showVal val="0"/>
          <c:showCatName val="0"/>
          <c:showSerName val="0"/>
          <c:showPercent val="0"/>
          <c:showBubbleSize val="0"/>
          <c:showLeaderLines val="1"/>
        </c:dLbls>
        <c:firstSliceAng val="0"/>
      </c:pieChart>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Report" ma:contentTypeID="0x0101008DCFE596F549E0478FBE64BB0766B0F70209004EC3B877FBFF6842847C3509FE338FC6" ma:contentTypeVersion="25" ma:contentTypeDescription="Report" ma:contentTypeScope="" ma:versionID="ab8356ca43a31f46c9abfc94a188ccf6">
  <xsd:schema xmlns:xsd="http://www.w3.org/2001/XMLSchema" xmlns:xs="http://www.w3.org/2001/XMLSchema" xmlns:p="http://schemas.microsoft.com/office/2006/metadata/properties" xmlns:ns1="http://schemas.microsoft.com/sharepoint/v3" xmlns:ns2="16097700-bd0a-4b4b-83d5-90842b5175e0" targetNamespace="http://schemas.microsoft.com/office/2006/metadata/properties" ma:root="true" ma:fieldsID="59ae4879722cc80236e0af27332b4ec0" ns1:_="" ns2:_="">
    <xsd:import namespace="http://schemas.microsoft.com/sharepoint/v3"/>
    <xsd:import namespace="16097700-bd0a-4b4b-83d5-90842b5175e0"/>
    <xsd:element name="properties">
      <xsd:complexType>
        <xsd:sequence>
          <xsd:element name="documentManagement">
            <xsd:complexType>
              <xsd:all>
                <xsd:element ref="ns2:fraPermissionLevel" minOccurs="0"/>
                <xsd:element ref="ns2:fraMarkedToBeArchived" minOccurs="0"/>
                <xsd:element ref="ns2:fraFSMigrationPath" minOccurs="0"/>
                <xsd:element ref="ns2:fraDocumentID" minOccurs="0"/>
                <xsd:element ref="ns2:fraCatalogNumber" minOccurs="0"/>
                <xsd:element ref="ns2:fraPermissions"/>
                <xsd:element ref="ns2:fraNotifyUsers" minOccurs="0"/>
                <xsd:element ref="ns2:o71ee79a4fd140c7933e84878fd431da" minOccurs="0"/>
                <xsd:element ref="ns2:edfbbce1f2434830951aaf742da57400" minOccurs="0"/>
                <xsd:element ref="ns2:mea2126e36834a0eb3415250650cf607" minOccurs="0"/>
                <xsd:element ref="ns2:RelatedItem" minOccurs="0"/>
                <xsd:element ref="ns2:i5ce7087b5204814a0029bd9f29ccc90" minOccurs="0"/>
                <xsd:element ref="ns2:TaxCatchAll" minOccurs="0"/>
                <xsd:element ref="ns2:TaxCatchAllLabel" minOccurs="0"/>
                <xsd:element ref="ns1:_vti_ItemDeclaredRecord" minOccurs="0"/>
                <xsd:element ref="ns2:p7f1c324123540189b9acbfd4c3c0c9f" minOccurs="0"/>
                <xsd:element ref="ns2:a124740cd92e4dadad95111afe7812a8" minOccurs="0"/>
                <xsd:element ref="ns2:_dlc_DocId" minOccurs="0"/>
                <xsd:element ref="ns2:_dlc_DocIdUrl" minOccurs="0"/>
                <xsd:element ref="ns2:_dlc_DocIdPersistId" minOccurs="0"/>
                <xsd:element ref="ns2:mdeec99bc533490b81a6209a84eb0481"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vti_ItemDeclaredRecord" ma:index="26" nillable="true" ma:displayName="Declared Record" ma:description="" ma:hidden="true" ma:internalName="_vti_ItemDeclaredRecord"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16097700-bd0a-4b4b-83d5-90842b5175e0" elementFormDefault="qualified">
    <xsd:import namespace="http://schemas.microsoft.com/office/2006/documentManagement/types"/>
    <xsd:import namespace="http://schemas.microsoft.com/office/infopath/2007/PartnerControls"/>
    <xsd:element name="fraPermissionLevel" ma:index="8" nillable="true" ma:displayName="Permission Level" ma:format="Dropdown" ma:hidden="true" ma:internalName="fraPermissionLevel" ma:readOnly="false">
      <xsd:simpleType>
        <xsd:restriction base="dms:Choice">
          <xsd:enumeration value="All (Full Access for all)"/>
          <xsd:enumeration value="Department"/>
          <xsd:enumeration value="Team"/>
          <xsd:enumeration value="Public (Read Access for all)"/>
        </xsd:restriction>
      </xsd:simpleType>
    </xsd:element>
    <xsd:element name="fraMarkedToBeArchived" ma:index="9" nillable="true" ma:displayName="Marked for Archive" ma:hidden="true" ma:internalName="fraMarkedToBeArchived" ma:readOnly="false">
      <xsd:simpleType>
        <xsd:restriction base="dms:Boolean"/>
      </xsd:simpleType>
    </xsd:element>
    <xsd:element name="fraFSMigrationPath" ma:index="10" nillable="true" ma:displayName="FS Migration Path" ma:hidden="true" ma:internalName="fraFSMigrationPath" ma:readOnly="false">
      <xsd:simpleType>
        <xsd:restriction base="dms:Note"/>
      </xsd:simpleType>
    </xsd:element>
    <xsd:element name="fraDocumentID" ma:index="11" nillable="true" ma:displayName="Document ID" ma:hidden="true" ma:internalName="fraDocumentID" ma:readOnly="false">
      <xsd:simpleType>
        <xsd:restriction base="dms:Text"/>
      </xsd:simpleType>
    </xsd:element>
    <xsd:element name="fraCatalogNumber" ma:index="12" nillable="true" ma:displayName="Catalogue number" ma:internalName="fraCatalogNumber" ma:readOnly="false" ma:percentage="FALSE">
      <xsd:simpleType>
        <xsd:restriction base="dms:Number"/>
      </xsd:simpleType>
    </xsd:element>
    <xsd:element name="fraPermissions" ma:index="13" ma:displayName="Permissions" ma:default="All: Read and write for all" ma:format="Dropdown" ma:internalName="fraPermissions" ma:readOnly="false">
      <xsd:simpleType>
        <xsd:restriction base="dms:Choice">
          <xsd:enumeration value="All: Read and write for all"/>
          <xsd:enumeration value="Public: Read for all, write dept."/>
          <xsd:enumeration value="Department: Read and write for dept."/>
          <xsd:enumeration value="Team: Read and write team and office"/>
        </xsd:restriction>
      </xsd:simpleType>
    </xsd:element>
    <xsd:element name="fraNotifyUsers" ma:index="14" nillable="true" ma:displayName="Notify Users" ma:SearchPeopleOnly="false" ma:SharePointGroup="0" ma:internalName="fraNotifyUsers"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o71ee79a4fd140c7933e84878fd431da" ma:index="15" nillable="true" ma:taxonomy="true" ma:internalName="o71ee79a4fd140c7933e84878fd431da" ma:taxonomyFieldName="fraMatrixProject" ma:displayName="Project" ma:fieldId="{871ee79a-4fd1-40c7-933e-84878fd431da}" ma:sspId="72f02d29-08ed-4ba3-8631-04ec787fba6c" ma:termSetId="b2f8dd22-bc02-43d2-a160-12bb70b23ebc" ma:anchorId="00000000-0000-0000-0000-000000000000" ma:open="true" ma:isKeyword="false">
      <xsd:complexType>
        <xsd:sequence>
          <xsd:element ref="pc:Terms" minOccurs="0" maxOccurs="1"/>
        </xsd:sequence>
      </xsd:complexType>
    </xsd:element>
    <xsd:element name="edfbbce1f2434830951aaf742da57400" ma:index="17" nillable="true" ma:taxonomy="true" ma:internalName="edfbbce1f2434830951aaf742da57400" ma:taxonomyFieldName="fraTagsMM" ma:displayName="Tags" ma:fieldId="{edfbbce1-f243-4830-951a-af742da57400}" ma:taxonomyMulti="true" ma:sspId="72f02d29-08ed-4ba3-8631-04ec787fba6c" ma:termSetId="2cb95d67-de0a-45a4-b552-48721cd95ee9" ma:anchorId="00000000-0000-0000-0000-000000000000" ma:open="true" ma:isKeyword="false">
      <xsd:complexType>
        <xsd:sequence>
          <xsd:element ref="pc:Terms" minOccurs="0" maxOccurs="1"/>
        </xsd:sequence>
      </xsd:complexType>
    </xsd:element>
    <xsd:element name="mea2126e36834a0eb3415250650cf607" ma:index="19" nillable="true" ma:taxonomy="true" ma:internalName="mea2126e36834a0eb3415250650cf607" ma:taxonomyFieldName="fraContentLanguageMM" ma:displayName="Content Language" ma:indexed="true" ma:default="11;#English|2d2b19a9-1f9f-48bb-ac48-c1a45d7d0217" ma:fieldId="{6ea2126e-3683-4a0e-b341-5250650cf607}" ma:sspId="72f02d29-08ed-4ba3-8631-04ec787fba6c" ma:termSetId="33a78d32-655a-4e6f-9417-97d8e502369a" ma:anchorId="00000000-0000-0000-0000-000000000000" ma:open="false" ma:isKeyword="false">
      <xsd:complexType>
        <xsd:sequence>
          <xsd:element ref="pc:Terms" minOccurs="0" maxOccurs="1"/>
        </xsd:sequence>
      </xsd:complexType>
    </xsd:element>
    <xsd:element name="RelatedItem" ma:index="21" nillable="true" ma:displayName="Related Item" ma:internalName="RelatedItem" ma:readOnly="false">
      <xsd:simpleType>
        <xsd:restriction base="dms:Unknown"/>
      </xsd:simpleType>
    </xsd:element>
    <xsd:element name="i5ce7087b5204814a0029bd9f29ccc90" ma:index="22" nillable="true" ma:taxonomy="true" ma:internalName="i5ce7087b5204814a0029bd9f29ccc90" ma:taxonomyFieldName="fraYearMM" ma:displayName="Year" ma:default="798;#2014|8baaa8f3-44c5-4089-92a3-b846a70ffb40" ma:fieldId="{25ce7087-b520-4814-a002-9bd9f29ccc90}" ma:sspId="72f02d29-08ed-4ba3-8631-04ec787fba6c" ma:termSetId="4447fd88-b4bf-4405-954c-7961506ae7cf" ma:anchorId="00000000-0000-0000-0000-000000000000" ma:open="false" ma:isKeyword="false">
      <xsd:complexType>
        <xsd:sequence>
          <xsd:element ref="pc:Terms" minOccurs="0" maxOccurs="1"/>
        </xsd:sequence>
      </xsd:complexType>
    </xsd:element>
    <xsd:element name="TaxCatchAll" ma:index="23" nillable="true" ma:displayName="Taxonomy Catch All Column" ma:description="" ma:hidden="true" ma:list="{c66506aa-e50b-4570-8211-41edbd73317f}" ma:internalName="TaxCatchAll" ma:showField="CatchAllData" ma:web="16097700-bd0a-4b4b-83d5-90842b5175e0">
      <xsd:complexType>
        <xsd:complexContent>
          <xsd:extension base="dms:MultiChoiceLookup">
            <xsd:sequence>
              <xsd:element name="Value" type="dms:Lookup" maxOccurs="unbounded" minOccurs="0" nillable="true"/>
            </xsd:sequence>
          </xsd:extension>
        </xsd:complexContent>
      </xsd:complexType>
    </xsd:element>
    <xsd:element name="TaxCatchAllLabel" ma:index="24" nillable="true" ma:displayName="Taxonomy Catch All Column1" ma:description="" ma:hidden="true" ma:list="{c66506aa-e50b-4570-8211-41edbd73317f}" ma:internalName="TaxCatchAllLabel" ma:readOnly="true" ma:showField="CatchAllDataLabel" ma:web="16097700-bd0a-4b4b-83d5-90842b5175e0">
      <xsd:complexType>
        <xsd:complexContent>
          <xsd:extension base="dms:MultiChoiceLookup">
            <xsd:sequence>
              <xsd:element name="Value" type="dms:Lookup" maxOccurs="unbounded" minOccurs="0" nillable="true"/>
            </xsd:sequence>
          </xsd:extension>
        </xsd:complexContent>
      </xsd:complexType>
    </xsd:element>
    <xsd:element name="p7f1c324123540189b9acbfd4c3c0c9f" ma:index="27" ma:taxonomy="true" ma:internalName="p7f1c324123540189b9acbfd4c3c0c9f" ma:taxonomyFieldName="fraDepartmentSiteMM" ma:displayName="Department Site" ma:readOnly="false" ma:default="3063;#Research|63c432e6-ebe7-4030-9f7b-2bd4d556aa4a" ma:fieldId="{97f1c324-1235-4018-9b9a-cbfd4c3c0c9f}" ma:sspId="72f02d29-08ed-4ba3-8631-04ec787fba6c" ma:termSetId="aa0ff7a7-3540-4e64-be67-7ad32f528147" ma:anchorId="00000000-0000-0000-0000-000000000000" ma:open="true" ma:isKeyword="false">
      <xsd:complexType>
        <xsd:sequence>
          <xsd:element ref="pc:Terms" minOccurs="0" maxOccurs="1"/>
        </xsd:sequence>
      </xsd:complexType>
    </xsd:element>
    <xsd:element name="a124740cd92e4dadad95111afe7812a8" ma:index="29" nillable="true" ma:taxonomy="true" ma:internalName="a124740cd92e4dadad95111afe7812a8" ma:taxonomyFieldName="fraTeamSiteMM" ma:displayName="Team Site" ma:fieldId="{a124740c-d92e-4dad-ad95-111afe7812a8}" ma:sspId="72f02d29-08ed-4ba3-8631-04ec787fba6c" ma:termSetId="61467fca-faea-4e13-beb7-3f23b7afbc5d" ma:anchorId="00000000-0000-0000-0000-000000000000" ma:open="true" ma:isKeyword="false">
      <xsd:complexType>
        <xsd:sequence>
          <xsd:element ref="pc:Terms" minOccurs="0" maxOccurs="1"/>
        </xsd:sequence>
      </xsd:complexType>
    </xsd:element>
    <xsd:element name="_dlc_DocId" ma:index="31" nillable="true" ma:displayName="Document ID Value" ma:description="The value of the document ID assigned to this item." ma:internalName="_dlc_DocId" ma:readOnly="true">
      <xsd:simpleType>
        <xsd:restriction base="dms:Text"/>
      </xsd:simpleType>
    </xsd:element>
    <xsd:element name="_dlc_DocIdUrl" ma:index="3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33" nillable="true" ma:displayName="Persist ID" ma:description="Keep ID on add." ma:hidden="true" ma:internalName="_dlc_DocIdPersistId" ma:readOnly="true">
      <xsd:simpleType>
        <xsd:restriction base="dms:Boolean"/>
      </xsd:simpleType>
    </xsd:element>
    <xsd:element name="mdeec99bc533490b81a6209a84eb0481" ma:index="34" nillable="true" ma:taxonomy="true" ma:internalName="mdeec99bc533490b81a6209a84eb0481" ma:taxonomyFieldName="fraGroupByMM" ma:displayName="Group By" ma:fieldId="{6deec99b-c533-490b-81a6-209a84eb0481}" ma:sspId="72f02d29-08ed-4ba3-8631-04ec787fba6c" ma:termSetId="f83db675-88ec-4534-99fb-532160977408" ma:anchorId="00000000-0000-0000-0000-000000000000"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fraNotifyUsers xmlns="16097700-bd0a-4b4b-83d5-90842b5175e0">
      <UserInfo>
        <DisplayName/>
        <AccountId xsi:nil="true"/>
        <AccountType/>
      </UserInfo>
    </fraNotifyUsers>
    <mea2126e36834a0eb3415250650cf607 xmlns="16097700-bd0a-4b4b-83d5-90842b5175e0">
      <Terms xmlns="http://schemas.microsoft.com/office/infopath/2007/PartnerControls">
        <TermInfo xmlns="http://schemas.microsoft.com/office/infopath/2007/PartnerControls">
          <TermName xmlns="http://schemas.microsoft.com/office/infopath/2007/PartnerControls">English</TermName>
          <TermId xmlns="http://schemas.microsoft.com/office/infopath/2007/PartnerControls">2d2b19a9-1f9f-48bb-ac48-c1a45d7d0217</TermId>
        </TermInfo>
      </Terms>
    </mea2126e36834a0eb3415250650cf607>
    <fraPermissions xmlns="16097700-bd0a-4b4b-83d5-90842b5175e0">All: Read and write for all</fraPermissions>
    <fraDocumentID xmlns="16097700-bd0a-4b4b-83d5-90842b5175e0" xsi:nil="true"/>
    <o71ee79a4fd140c7933e84878fd431da xmlns="16097700-bd0a-4b4b-83d5-90842b5175e0">
      <Terms xmlns="http://schemas.microsoft.com/office/infopath/2007/PartnerControls">
        <TermInfo xmlns="http://schemas.microsoft.com/office/infopath/2007/PartnerControls">
          <TermName xmlns="http://schemas.microsoft.com/office/infopath/2007/PartnerControls">2012-ECR-07 - Indicators on political participation of persons with disabilities</TermName>
          <TermId xmlns="http://schemas.microsoft.com/office/infopath/2007/PartnerControls">3ba2f83a-f807-452a-a4c3-e61dab7d65c2</TermId>
        </TermInfo>
      </Terms>
    </o71ee79a4fd140c7933e84878fd431da>
    <mdeec99bc533490b81a6209a84eb0481 xmlns="16097700-bd0a-4b4b-83d5-90842b5175e0">
      <Terms xmlns="http://schemas.microsoft.com/office/infopath/2007/PartnerControls"/>
    </mdeec99bc533490b81a6209a84eb0481>
    <a124740cd92e4dadad95111afe7812a8 xmlns="16097700-bd0a-4b4b-83d5-90842b5175e0">
      <Terms xmlns="http://schemas.microsoft.com/office/infopath/2007/PartnerControls"/>
    </a124740cd92e4dadad95111afe7812a8>
    <p7f1c324123540189b9acbfd4c3c0c9f xmlns="16097700-bd0a-4b4b-83d5-90842b5175e0">
      <Terms xmlns="http://schemas.microsoft.com/office/infopath/2007/PartnerControls">
        <TermInfo xmlns="http://schemas.microsoft.com/office/infopath/2007/PartnerControls">
          <TermName xmlns="http://schemas.microsoft.com/office/infopath/2007/PartnerControls">Research</TermName>
          <TermId xmlns="http://schemas.microsoft.com/office/infopath/2007/PartnerControls">63c432e6-ebe7-4030-9f7b-2bd4d556aa4a</TermId>
        </TermInfo>
      </Terms>
    </p7f1c324123540189b9acbfd4c3c0c9f>
    <fraPermissionLevel xmlns="16097700-bd0a-4b4b-83d5-90842b5175e0" xsi:nil="true"/>
    <fraMarkedToBeArchived xmlns="16097700-bd0a-4b4b-83d5-90842b5175e0" xsi:nil="true"/>
    <edfbbce1f2434830951aaf742da57400 xmlns="16097700-bd0a-4b4b-83d5-90842b5175e0">
      <Terms xmlns="http://schemas.microsoft.com/office/infopath/2007/PartnerControls">
        <TermInfo xmlns="http://schemas.microsoft.com/office/infopath/2007/PartnerControls">
          <TermName xmlns="http://schemas.microsoft.com/office/infopath/2007/PartnerControls">AWP 2014 4.5.4</TermName>
          <TermId xmlns="http://schemas.microsoft.com/office/infopath/2007/PartnerControls">bbd6bba3-fb37-459a-be3c-18c4ba7213a9</TermId>
        </TermInfo>
        <TermInfo xmlns="http://schemas.microsoft.com/office/infopath/2007/PartnerControls">
          <TermName xmlns="http://schemas.microsoft.com/office/infopath/2007/PartnerControls">disability</TermName>
          <TermId xmlns="http://schemas.microsoft.com/office/infopath/2007/PartnerControls">dc99efef-4ab2-41e2-ac23-69648cfb19c8</TermId>
        </TermInfo>
      </Terms>
    </edfbbce1f2434830951aaf742da57400>
    <fraFSMigrationPath xmlns="16097700-bd0a-4b4b-83d5-90842b5175e0" xsi:nil="true"/>
    <i5ce7087b5204814a0029bd9f29ccc90 xmlns="16097700-bd0a-4b4b-83d5-90842b5175e0">
      <Terms xmlns="http://schemas.microsoft.com/office/infopath/2007/PartnerControls">
        <TermInfo xmlns="http://schemas.microsoft.com/office/infopath/2007/PartnerControls">
          <TermName xmlns="http://schemas.microsoft.com/office/infopath/2007/PartnerControls">2014</TermName>
          <TermId xmlns="http://schemas.microsoft.com/office/infopath/2007/PartnerControls">8baaa8f3-44c5-4089-92a3-b846a70ffb40</TermId>
        </TermInfo>
      </Terms>
    </i5ce7087b5204814a0029bd9f29ccc90>
    <TaxCatchAll xmlns="16097700-bd0a-4b4b-83d5-90842b5175e0">
      <Value>1411</Value>
      <Value>798</Value>
      <Value>3063</Value>
      <Value>7417</Value>
      <Value>3665</Value>
      <Value>11</Value>
    </TaxCatchAll>
    <_dlc_DocId xmlns="16097700-bd0a-4b4b-83d5-90842b5175e0">D-2014-33642</_dlc_DocId>
    <_dlc_DocIdUrl xmlns="16097700-bd0a-4b4b-83d5-90842b5175e0">
      <Url>http://dms/research/editingproduction/_layouts/DocIdRedir.aspx?ID=D-2014-33642</Url>
      <Description>D-2014-33642</Description>
    </_dlc_DocIdUrl>
    <RelatedItem xmlns="16097700-bd0a-4b4b-83d5-90842b5175e0" xsi:nil="true"/>
    <fraCatalogNumber xmlns="16097700-bd0a-4b4b-83d5-90842b5175e0"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4F7A12A-D41D-4248-B1ED-C81EF115B5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6097700-bd0a-4b4b-83d5-90842b5175e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CE4E6DF-9CB3-485B-BB0A-244C686A2813}">
  <ds:schemaRefs>
    <ds:schemaRef ds:uri="http://schemas.microsoft.com/sharepoint/v3"/>
    <ds:schemaRef ds:uri="http://purl.org/dc/terms/"/>
    <ds:schemaRef ds:uri="http://purl.org/dc/dcmitype/"/>
    <ds:schemaRef ds:uri="16097700-bd0a-4b4b-83d5-90842b5175e0"/>
    <ds:schemaRef ds:uri="http://schemas.openxmlformats.org/package/2006/metadata/core-properties"/>
    <ds:schemaRef ds:uri="http://purl.org/dc/elements/1.1/"/>
    <ds:schemaRef ds:uri="http://schemas.microsoft.com/office/2006/metadata/properties"/>
    <ds:schemaRef ds:uri="http://schemas.microsoft.com/office/infopath/2007/PartnerControls"/>
    <ds:schemaRef ds:uri="http://schemas.microsoft.com/office/2006/documentManagement/types"/>
    <ds:schemaRef ds:uri="http://www.w3.org/XML/1998/namespace"/>
  </ds:schemaRefs>
</ds:datastoreItem>
</file>

<file path=customXml/itemProps3.xml><?xml version="1.0" encoding="utf-8"?>
<ds:datastoreItem xmlns:ds="http://schemas.openxmlformats.org/officeDocument/2006/customXml" ds:itemID="{AAD4013A-C307-4425-95EC-E2C7D84D8A9C}">
  <ds:schemaRefs>
    <ds:schemaRef ds:uri="http://schemas.microsoft.com/sharepoint/v3/contenttype/forms"/>
  </ds:schemaRefs>
</ds:datastoreItem>
</file>

<file path=customXml/itemProps4.xml><?xml version="1.0" encoding="utf-8"?>
<ds:datastoreItem xmlns:ds="http://schemas.openxmlformats.org/officeDocument/2006/customXml" ds:itemID="{A5C61745-267F-40DB-A30F-5C03D686E5BA}">
  <ds:schemaRefs>
    <ds:schemaRef ds:uri="http://schemas.microsoft.com/sharepoint/events"/>
  </ds:schemaRefs>
</ds:datastoreItem>
</file>

<file path=customXml/itemProps5.xml><?xml version="1.0" encoding="utf-8"?>
<ds:datastoreItem xmlns:ds="http://schemas.openxmlformats.org/officeDocument/2006/customXml" ds:itemID="{2660290C-A51A-406D-8326-A04B54EBF2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5322</Words>
  <Characters>30338</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Equality</vt:lpstr>
    </vt:vector>
  </TitlesOfParts>
  <Company>European Union Fundamental Rights Agency</Company>
  <LinksUpToDate>false</LinksUpToDate>
  <CharactersWithSpaces>35589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Equality</dc:title>
  <dc:creator>LARIMIAN Cathrin (FRA)</dc:creator>
  <cp:lastModifiedBy>LARIMIAN Cathrin (FRA)</cp:lastModifiedBy>
  <cp:revision>2</cp:revision>
  <cp:lastPrinted>2014-03-21T13:42:00Z</cp:lastPrinted>
  <dcterms:created xsi:type="dcterms:W3CDTF">2014-05-02T07:22:00Z</dcterms:created>
  <dcterms:modified xsi:type="dcterms:W3CDTF">2014-05-02T07:22:00Z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0x0101008DCFE596F549E0478FBE64BB0766B0F70209004EC3B877FBFF6842847C3509FE338FC6</vt:lpwstr>
  </property>
  <property fmtid="{D5CDD505-2E9C-101B-9397-08002B2CF9AE}" pid="3" name="_dlc_DocIdItemGuid">
    <vt:lpwstr>08ff20a1-b1cf-47c6-901b-0b5527f92677</vt:lpwstr>
  </property>
  <property fmtid="{D5CDD505-2E9C-101B-9397-08002B2CF9AE}" pid="4" name="f6eb09b4966645d7bcc6cd8ec29780b6">
    <vt:lpwstr/>
  </property>
  <property fmtid="{D5CDD505-2E9C-101B-9397-08002B2CF9AE}" pid="5" name="fraContentLanguageMM">
    <vt:lpwstr>11;#English|2d2b19a9-1f9f-48bb-ac48-c1a45d7d0217</vt:lpwstr>
  </property>
  <property fmtid="{D5CDD505-2E9C-101B-9397-08002B2CF9AE}" pid="6" name="e623834e931940f8be4cd8c482af4c6d">
    <vt:lpwstr/>
  </property>
  <property fmtid="{D5CDD505-2E9C-101B-9397-08002B2CF9AE}" pid="7" name="fraYearMM">
    <vt:lpwstr>798;#2014|8baaa8f3-44c5-4089-92a3-b846a70ffb40</vt:lpwstr>
  </property>
  <property fmtid="{D5CDD505-2E9C-101B-9397-08002B2CF9AE}" pid="8" name="fraStaffName">
    <vt:lpwstr>148</vt:lpwstr>
  </property>
  <property fmtid="{D5CDD505-2E9C-101B-9397-08002B2CF9AE}" pid="9" name="d2a9ab7d3e1d411c9977f17465ad34bc">
    <vt:lpwstr/>
  </property>
  <property fmtid="{D5CDD505-2E9C-101B-9397-08002B2CF9AE}" pid="10" name="fraThematicTeamMM">
    <vt:lpwstr/>
  </property>
  <property fmtid="{D5CDD505-2E9C-101B-9397-08002B2CF9AE}" pid="11" name="fraTagsMM">
    <vt:lpwstr>7417;#AWP 2014 4.5.4|bbd6bba3-fb37-459a-be3c-18c4ba7213a9;#1411;#disability|dc99efef-4ab2-41e2-ac23-69648cfb19c8</vt:lpwstr>
  </property>
  <property fmtid="{D5CDD505-2E9C-101B-9397-08002B2CF9AE}" pid="12" name="gcbaf9067e9e41108a2902906805dfc8">
    <vt:lpwstr>Presentation|4d759f04-85be-41ad-85ee-f0bfdd612815</vt:lpwstr>
  </property>
  <property fmtid="{D5CDD505-2E9C-101B-9397-08002B2CF9AE}" pid="13" name="eedc28dbfc83414ea22c0fb729b3bb8c">
    <vt:lpwstr/>
  </property>
  <property fmtid="{D5CDD505-2E9C-101B-9397-08002B2CF9AE}" pid="14" name="fraMatrixProject">
    <vt:lpwstr>3665;#2012-ECR-07 - Indicators on political participation of persons with disabilities|3ba2f83a-f807-452a-a4c3-e61dab7d65c2</vt:lpwstr>
  </property>
  <property fmtid="{D5CDD505-2E9C-101B-9397-08002B2CF9AE}" pid="15" name="Order">
    <vt:r8>1700</vt:r8>
  </property>
  <property fmtid="{D5CDD505-2E9C-101B-9397-08002B2CF9AE}" pid="16" name="fraDepartmentSiteMM">
    <vt:lpwstr>3063;#Research|63c432e6-ebe7-4030-9f7b-2bd4d556aa4a</vt:lpwstr>
  </property>
  <property fmtid="{D5CDD505-2E9C-101B-9397-08002B2CF9AE}" pid="17" name="fraSubjectTitle">
    <vt:lpwstr>Indicators on the political participation of persons with disabilities</vt:lpwstr>
  </property>
  <property fmtid="{D5CDD505-2E9C-101B-9397-08002B2CF9AE}" pid="18" name="fraCorrespondenceDirectionLookup">
    <vt:lpwstr>3</vt:lpwstr>
  </property>
  <property fmtid="{D5CDD505-2E9C-101B-9397-08002B2CF9AE}" pid="19" name="fraMDocumentTypeLookupMM">
    <vt:lpwstr>1616;#Presentation|4d759f04-85be-41ad-85ee-f0bfdd612815</vt:lpwstr>
  </property>
  <property fmtid="{D5CDD505-2E9C-101B-9397-08002B2CF9AE}" pid="20" name="xd_ProgID">
    <vt:lpwstr/>
  </property>
  <property fmtid="{D5CDD505-2E9C-101B-9397-08002B2CF9AE}" pid="21" name="TemplateUrl">
    <vt:lpwstr/>
  </property>
  <property fmtid="{D5CDD505-2E9C-101B-9397-08002B2CF9AE}" pid="22" name="_CopySource">
    <vt:lpwstr>http://dms/research/polparprojectsite/Coauthoring document library/PolPar_summary report_FRACO-CLEAN.docx</vt:lpwstr>
  </property>
</Properties>
</file>