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9" w:lineRule="auto"/>
        <w:jc w:val="center"/>
      </w:pPr>
      <w:r>
        <w:rPr>
          <w:rFonts w:ascii="Calibri" w:hAnsi="Calibri"/>
          <w:b/>
          <w:i w:val="0"/>
          <w:color w:val="1F8981"/>
          <w:sz w:val="22"/>
        </w:rPr>
        <w:t>HIREX</w:t>
      </w:r>
    </w:p>
    <w:p>
      <w:pPr>
        <w:spacing w:before="0" w:after="80" w:line="269" w:lineRule="auto"/>
        <w:jc w:val="center"/>
      </w:pPr>
      <w:r>
        <w:rPr>
          <w:rFonts w:ascii="Calibri" w:hAnsi="Calibri"/>
          <w:b/>
          <w:i w:val="0"/>
          <w:color w:val="14274E"/>
          <w:sz w:val="54"/>
        </w:rPr>
        <w:t>Business Impact Analysis</w:t>
      </w:r>
    </w:p>
    <w:p>
      <w:pPr>
        <w:spacing w:before="0" w:after="240" w:line="269" w:lineRule="auto"/>
        <w:jc w:val="center"/>
      </w:pPr>
      <w:r>
        <w:rPr>
          <w:rFonts w:ascii="Calibri" w:hAnsi="Calibri"/>
          <w:b w:val="0"/>
          <w:i w:val="0"/>
          <w:color w:val="576370"/>
          <w:sz w:val="24"/>
        </w:rPr>
        <w:t>Expected business value of the HireX AI-powered recruitment automation system.</w:t>
      </w:r>
    </w:p>
    <w:p>
      <w:pPr>
        <w:spacing w:after="200"/>
        <w:pBdr>
          <w:bottom w:val="single" w:sz="8" w:space="1" w:color="8AB7D8"/>
        </w:pBdr>
      </w:pPr>
    </w:p>
    <w:tbl>
      <w:tblPr>
        <w:tblStyle w:val="TableGrid"/>
        <w:tblW w:type="auto" w:w="0"/>
        <w:jc w:val="center"/>
        <w:tblLayout w:type="fixed"/>
        <w:tblLook w:firstColumn="1" w:firstRow="1" w:lastColumn="0" w:lastRow="0" w:noHBand="0" w:noVBand="1" w:val="04A0"/>
      </w:tblPr>
      <w:tblGrid>
        <w:gridCol w:w="9792"/>
      </w:tblGrid>
      <w:tr>
        <w:tc>
          <w:tcPr>
            <w:tcW w:type="dxa" w:w="9360"/>
            <w:vAlign w:val="center"/>
            <w:shd w:fill="E7F5F3"/>
            <w:tcMar>
              <w:top w:w="150" w:type="dxa"/>
              <w:start w:w="170" w:type="dxa"/>
              <w:bottom w:w="150" w:type="dxa"/>
              <w:end w:w="170" w:type="dxa"/>
            </w:tcMar>
          </w:tcPr>
          <w:p>
            <w:pPr>
              <w:spacing w:after="80"/>
            </w:pPr>
            <w:r>
              <w:rPr>
                <w:rFonts w:ascii="Calibri" w:hAnsi="Calibri"/>
                <w:b/>
                <w:i w:val="0"/>
                <w:color w:val="1F8981"/>
                <w:sz w:val="23"/>
              </w:rPr>
              <w:t>Document purpose</w:t>
            </w:r>
          </w:p>
          <w:p>
            <w:pPr>
              <w:spacing w:after="0" w:line="269" w:lineRule="auto"/>
            </w:pPr>
            <w:r>
              <w:rPr>
                <w:rFonts w:ascii="Calibri" w:hAnsi="Calibri"/>
                <w:b w:val="0"/>
                <w:i w:val="0"/>
                <w:color w:val="1F2937"/>
                <w:sz w:val="21"/>
              </w:rPr>
              <w:t>Summarize the expected business value of the HireX AI-powered recruitment automation system.</w:t>
            </w:r>
          </w:p>
        </w:tc>
      </w:tr>
    </w:tbl>
    <w:p>
      <w:pPr>
        <w:spacing w:before="0" w:after="40" w:line="269" w:lineRule="auto"/>
      </w:pPr>
    </w:p>
    <w:tbl>
      <w:tblPr>
        <w:tblStyle w:val="TableGrid"/>
        <w:tblW w:type="auto" w:w="0"/>
        <w:jc w:val="center"/>
        <w:tblLayout w:type="fixed"/>
        <w:tblLook w:firstColumn="1" w:firstRow="1" w:lastColumn="0" w:lastRow="0" w:noHBand="0" w:noVBand="1" w:val="04A0"/>
      </w:tblPr>
      <w:tblGrid>
        <w:gridCol w:w="4896"/>
        <w:gridCol w:w="4896"/>
      </w:tblGrid>
      <w:tr>
        <w:tc>
          <w:tcPr>
            <w:tcW w:type="dxa" w:w="2376"/>
            <w:shd w:fill="EAF3FB"/>
            <w:tcMar>
              <w:top w:w="100" w:type="dxa"/>
              <w:start w:w="130" w:type="dxa"/>
              <w:bottom w:w="100" w:type="dxa"/>
              <w:end w:w="130" w:type="dxa"/>
            </w:tcMar>
          </w:tcPr>
          <w:p>
            <w:pPr>
              <w:spacing w:after="0"/>
            </w:pPr>
            <w:r>
              <w:rPr>
                <w:rFonts w:ascii="Calibri" w:hAnsi="Calibri"/>
                <w:b/>
                <w:i w:val="0"/>
                <w:color w:val="2E74B5"/>
                <w:sz w:val="21"/>
              </w:rPr>
              <w:t>Field</w:t>
            </w:r>
          </w:p>
        </w:tc>
        <w:tc>
          <w:tcPr>
            <w:tcW w:type="dxa" w:w="6984"/>
            <w:shd w:fill="EAF3FB"/>
            <w:tcMar>
              <w:top w:w="100" w:type="dxa"/>
              <w:start w:w="130" w:type="dxa"/>
              <w:bottom w:w="100" w:type="dxa"/>
              <w:end w:w="130" w:type="dxa"/>
            </w:tcMar>
          </w:tcPr>
          <w:p>
            <w:pPr>
              <w:spacing w:after="0"/>
            </w:pPr>
            <w:r>
              <w:rPr>
                <w:rFonts w:ascii="Calibri" w:hAnsi="Calibri"/>
                <w:b/>
                <w:i w:val="0"/>
                <w:color w:val="2E74B5"/>
                <w:sz w:val="21"/>
              </w:rPr>
              <w:t>Details</w:t>
            </w:r>
          </w:p>
        </w:tc>
      </w:tr>
      <w:tr>
        <w:tc>
          <w:tcPr>
            <w:tcW w:type="dxa" w:w="2376"/>
            <w:vAlign w:val="center"/>
            <w:shd w:fill="FFFFFF"/>
            <w:tcMar>
              <w:top w:w="100" w:type="dxa"/>
              <w:start w:w="130" w:type="dxa"/>
              <w:bottom w:w="100" w:type="dxa"/>
              <w:end w:w="130" w:type="dxa"/>
            </w:tcMar>
          </w:tcPr>
          <w:p>
            <w:pPr>
              <w:spacing w:after="0"/>
            </w:pPr>
            <w:r>
              <w:rPr>
                <w:rFonts w:ascii="Calibri" w:hAnsi="Calibri"/>
                <w:b w:val="0"/>
                <w:i w:val="0"/>
                <w:color w:val="1F2937"/>
                <w:sz w:val="20"/>
              </w:rPr>
              <w:t>Project</w:t>
            </w:r>
          </w:p>
        </w:tc>
        <w:tc>
          <w:tcPr>
            <w:tcW w:type="dxa" w:w="6984"/>
            <w:vAlign w:val="center"/>
            <w:shd w:fill="FFFFFF"/>
            <w:tcMar>
              <w:top w:w="100" w:type="dxa"/>
              <w:start w:w="130" w:type="dxa"/>
              <w:bottom w:w="100" w:type="dxa"/>
              <w:end w:w="130" w:type="dxa"/>
            </w:tcMar>
          </w:tcPr>
          <w:p>
            <w:pPr>
              <w:spacing w:after="0"/>
            </w:pPr>
            <w:r>
              <w:rPr>
                <w:rFonts w:ascii="Calibri" w:hAnsi="Calibri"/>
                <w:b w:val="0"/>
                <w:i w:val="0"/>
                <w:color w:val="1F2937"/>
                <w:sz w:val="20"/>
              </w:rPr>
              <w:t>HireX - AI-Powered Interview System</w:t>
            </w:r>
          </w:p>
        </w:tc>
      </w:tr>
      <w:tr>
        <w:tc>
          <w:tcPr>
            <w:tcW w:type="dxa" w:w="2376"/>
            <w:vAlign w:val="center"/>
            <w:shd w:fill="FAFBFC"/>
            <w:tcMar>
              <w:top w:w="100" w:type="dxa"/>
              <w:start w:w="130" w:type="dxa"/>
              <w:bottom w:w="100" w:type="dxa"/>
              <w:end w:w="130" w:type="dxa"/>
            </w:tcMar>
          </w:tcPr>
          <w:p>
            <w:pPr>
              <w:spacing w:after="0"/>
            </w:pPr>
            <w:r>
              <w:rPr>
                <w:rFonts w:ascii="Calibri" w:hAnsi="Calibri"/>
                <w:b w:val="0"/>
                <w:i w:val="0"/>
                <w:color w:val="1F2937"/>
                <w:sz w:val="20"/>
              </w:rPr>
              <w:t>Domain</w:t>
            </w:r>
          </w:p>
        </w:tc>
        <w:tc>
          <w:tcPr>
            <w:tcW w:type="dxa" w:w="6984"/>
            <w:vAlign w:val="center"/>
            <w:shd w:fill="FAFBFC"/>
            <w:tcMar>
              <w:top w:w="100" w:type="dxa"/>
              <w:start w:w="130" w:type="dxa"/>
              <w:bottom w:w="100" w:type="dxa"/>
              <w:end w:w="130" w:type="dxa"/>
            </w:tcMar>
          </w:tcPr>
          <w:p>
            <w:pPr>
              <w:spacing w:after="0"/>
            </w:pPr>
            <w:r>
              <w:rPr>
                <w:rFonts w:ascii="Calibri" w:hAnsi="Calibri"/>
                <w:b w:val="0"/>
                <w:i w:val="0"/>
                <w:color w:val="1F2937"/>
                <w:sz w:val="20"/>
              </w:rPr>
              <w:t>HR Technology (HRTech) - Talent Acquisition and Recruitment Automation</w:t>
            </w:r>
          </w:p>
        </w:tc>
      </w:tr>
    </w:tbl>
    <w:p>
      <w:pPr>
        <w:spacing w:before="0" w:after="60" w:line="269" w:lineRule="auto"/>
      </w:pPr>
    </w:p>
    <w:p>
      <w:pPr>
        <w:spacing w:before="280" w:after="120"/>
      </w:pPr>
      <w:r>
        <w:rPr>
          <w:rFonts w:ascii="Calibri" w:hAnsi="Calibri"/>
          <w:b/>
          <w:i w:val="0"/>
          <w:color w:val="2E74B5"/>
          <w:sz w:val="30"/>
        </w:rPr>
        <w:t>1. Business Need</w:t>
      </w:r>
    </w:p>
    <w:p>
      <w:pPr>
        <w:spacing w:before="0" w:after="120" w:line="269" w:lineRule="auto"/>
      </w:pPr>
      <w:r>
        <w:rPr>
          <w:rFonts w:ascii="Calibri" w:hAnsi="Calibri"/>
          <w:b w:val="0"/>
          <w:i w:val="0"/>
          <w:color w:val="1F2937"/>
          <w:sz w:val="22"/>
        </w:rPr>
        <w:t>Recruitment teams spend significant time sourcing candidates, screening resumes, coordinating interviews, reviewing feedback, and making hiring decisions. When this process is manual and fragmented, hiring becomes slow, inconsistent, and expensive. HireX addresses this by automating pre-screening, structuring candidate data, supporting HR review, and creating a reusable candidate pool for future openings.</w:t>
      </w:r>
    </w:p>
    <w:p>
      <w:pPr>
        <w:spacing w:before="280" w:after="120"/>
      </w:pPr>
      <w:r>
        <w:rPr>
          <w:rFonts w:ascii="Calibri" w:hAnsi="Calibri"/>
          <w:b/>
          <w:i w:val="0"/>
          <w:color w:val="2D7D4E"/>
          <w:sz w:val="30"/>
        </w:rPr>
        <w:t>2. Key Business Impact Areas</w:t>
      </w:r>
    </w:p>
    <w:tbl>
      <w:tblPr>
        <w:tblStyle w:val="TableGrid"/>
        <w:tblW w:type="auto" w:w="0"/>
        <w:jc w:val="center"/>
        <w:tblLayout w:type="fixed"/>
        <w:tblLook w:firstColumn="1" w:firstRow="1" w:lastColumn="0" w:lastRow="0" w:noHBand="0" w:noVBand="1" w:val="04A0"/>
      </w:tblPr>
      <w:tblGrid>
        <w:gridCol w:w="4896"/>
        <w:gridCol w:w="4896"/>
      </w:tblGrid>
      <w:tr>
        <w:tc>
          <w:tcPr>
            <w:tcW w:type="dxa" w:w="2952"/>
            <w:shd w:fill="EAF6EF"/>
            <w:tcMar>
              <w:top w:w="100" w:type="dxa"/>
              <w:start w:w="130" w:type="dxa"/>
              <w:bottom w:w="100" w:type="dxa"/>
              <w:end w:w="130" w:type="dxa"/>
            </w:tcMar>
          </w:tcPr>
          <w:p>
            <w:pPr>
              <w:spacing w:after="0"/>
            </w:pPr>
            <w:r>
              <w:rPr>
                <w:rFonts w:ascii="Calibri" w:hAnsi="Calibri"/>
                <w:b/>
                <w:i w:val="0"/>
                <w:color w:val="2D7D4E"/>
                <w:sz w:val="21"/>
              </w:rPr>
              <w:t>Impact area</w:t>
            </w:r>
          </w:p>
        </w:tc>
        <w:tc>
          <w:tcPr>
            <w:tcW w:type="dxa" w:w="6408"/>
            <w:shd w:fill="EAF6EF"/>
            <w:tcMar>
              <w:top w:w="100" w:type="dxa"/>
              <w:start w:w="130" w:type="dxa"/>
              <w:bottom w:w="100" w:type="dxa"/>
              <w:end w:w="130" w:type="dxa"/>
            </w:tcMar>
          </w:tcPr>
          <w:p>
            <w:pPr>
              <w:spacing w:after="0"/>
            </w:pPr>
            <w:r>
              <w:rPr>
                <w:rFonts w:ascii="Calibri" w:hAnsi="Calibri"/>
                <w:b/>
                <w:i w:val="0"/>
                <w:color w:val="2D7D4E"/>
                <w:sz w:val="21"/>
              </w:rPr>
              <w:t>Business value</w:t>
            </w:r>
          </w:p>
        </w:tc>
      </w:tr>
      <w:tr>
        <w:tc>
          <w:tcPr>
            <w:tcW w:type="dxa" w:w="2952"/>
            <w:vAlign w:val="center"/>
            <w:shd w:fill="FFFFFF"/>
            <w:tcMar>
              <w:top w:w="100" w:type="dxa"/>
              <w:start w:w="130" w:type="dxa"/>
              <w:bottom w:w="100" w:type="dxa"/>
              <w:end w:w="130" w:type="dxa"/>
            </w:tcMar>
          </w:tcPr>
          <w:p>
            <w:pPr>
              <w:spacing w:after="0"/>
            </w:pPr>
            <w:r>
              <w:rPr>
                <w:rFonts w:ascii="Calibri" w:hAnsi="Calibri"/>
                <w:b w:val="0"/>
                <w:i w:val="0"/>
                <w:color w:val="1F2937"/>
                <w:sz w:val="20"/>
              </w:rPr>
              <w:t>Recruiter productivity</w:t>
            </w:r>
          </w:p>
        </w:tc>
        <w:tc>
          <w:tcPr>
            <w:tcW w:type="dxa" w:w="6408"/>
            <w:vAlign w:val="center"/>
            <w:shd w:fill="FFFFFF"/>
            <w:tcMar>
              <w:top w:w="100" w:type="dxa"/>
              <w:start w:w="130" w:type="dxa"/>
              <w:bottom w:w="100" w:type="dxa"/>
              <w:end w:w="130" w:type="dxa"/>
            </w:tcMar>
          </w:tcPr>
          <w:p>
            <w:pPr>
              <w:spacing w:after="0"/>
            </w:pPr>
            <w:r>
              <w:rPr>
                <w:rFonts w:ascii="Calibri" w:hAnsi="Calibri"/>
                <w:b w:val="0"/>
                <w:i w:val="0"/>
                <w:color w:val="1F2937"/>
                <w:sz w:val="20"/>
              </w:rPr>
              <w:t>Reduces manual resume screening and allows recruiters to focus on qualified or borderline candidates.</w:t>
            </w:r>
          </w:p>
        </w:tc>
      </w:tr>
      <w:tr>
        <w:tc>
          <w:tcPr>
            <w:tcW w:type="dxa" w:w="2952"/>
            <w:vAlign w:val="center"/>
            <w:shd w:fill="FAFBFC"/>
            <w:tcMar>
              <w:top w:w="100" w:type="dxa"/>
              <w:start w:w="130" w:type="dxa"/>
              <w:bottom w:w="100" w:type="dxa"/>
              <w:end w:w="130" w:type="dxa"/>
            </w:tcMar>
          </w:tcPr>
          <w:p>
            <w:pPr>
              <w:spacing w:after="0"/>
            </w:pPr>
            <w:r>
              <w:rPr>
                <w:rFonts w:ascii="Calibri" w:hAnsi="Calibri"/>
                <w:b w:val="0"/>
                <w:i w:val="0"/>
                <w:color w:val="1F2937"/>
                <w:sz w:val="20"/>
              </w:rPr>
              <w:t>Faster hiring cycle</w:t>
            </w:r>
          </w:p>
        </w:tc>
        <w:tc>
          <w:tcPr>
            <w:tcW w:type="dxa" w:w="6408"/>
            <w:vAlign w:val="center"/>
            <w:shd w:fill="FAFBFC"/>
            <w:tcMar>
              <w:top w:w="100" w:type="dxa"/>
              <w:start w:w="130" w:type="dxa"/>
              <w:bottom w:w="100" w:type="dxa"/>
              <w:end w:w="130" w:type="dxa"/>
            </w:tcMar>
          </w:tcPr>
          <w:p>
            <w:pPr>
              <w:spacing w:after="0"/>
            </w:pPr>
            <w:r>
              <w:rPr>
                <w:rFonts w:ascii="Calibri" w:hAnsi="Calibri"/>
                <w:b w:val="0"/>
                <w:i w:val="0"/>
                <w:color w:val="1F2937"/>
                <w:sz w:val="20"/>
              </w:rPr>
              <w:t>Speeds up candidate shortlisting by validating candidates against job requirements automatically.</w:t>
            </w:r>
          </w:p>
        </w:tc>
      </w:tr>
      <w:tr>
        <w:tc>
          <w:tcPr>
            <w:tcW w:type="dxa" w:w="2952"/>
            <w:vAlign w:val="center"/>
            <w:shd w:fill="FFFFFF"/>
            <w:tcMar>
              <w:top w:w="100" w:type="dxa"/>
              <w:start w:w="130" w:type="dxa"/>
              <w:bottom w:w="100" w:type="dxa"/>
              <w:end w:w="130" w:type="dxa"/>
            </w:tcMar>
          </w:tcPr>
          <w:p>
            <w:pPr>
              <w:spacing w:after="0"/>
            </w:pPr>
            <w:r>
              <w:rPr>
                <w:rFonts w:ascii="Calibri" w:hAnsi="Calibri"/>
                <w:b w:val="0"/>
                <w:i w:val="0"/>
                <w:color w:val="1F2937"/>
                <w:sz w:val="20"/>
              </w:rPr>
              <w:t>Better candidate quality</w:t>
            </w:r>
          </w:p>
        </w:tc>
        <w:tc>
          <w:tcPr>
            <w:tcW w:type="dxa" w:w="6408"/>
            <w:vAlign w:val="center"/>
            <w:shd w:fill="FFFFFF"/>
            <w:tcMar>
              <w:top w:w="100" w:type="dxa"/>
              <w:start w:w="130" w:type="dxa"/>
              <w:bottom w:w="100" w:type="dxa"/>
              <w:end w:w="130" w:type="dxa"/>
            </w:tcMar>
          </w:tcPr>
          <w:p>
            <w:pPr>
              <w:spacing w:after="0"/>
            </w:pPr>
            <w:r>
              <w:rPr>
                <w:rFonts w:ascii="Calibri" w:hAnsi="Calibri"/>
                <w:b w:val="0"/>
                <w:i w:val="0"/>
                <w:color w:val="1F2937"/>
                <w:sz w:val="20"/>
              </w:rPr>
              <w:t>Improves matching using skills, experience, education, certifications, projects, and JD-based scoring.</w:t>
            </w:r>
          </w:p>
        </w:tc>
      </w:tr>
      <w:tr>
        <w:tc>
          <w:tcPr>
            <w:tcW w:type="dxa" w:w="2952"/>
            <w:vAlign w:val="center"/>
            <w:shd w:fill="FAFBFC"/>
            <w:tcMar>
              <w:top w:w="100" w:type="dxa"/>
              <w:start w:w="130" w:type="dxa"/>
              <w:bottom w:w="100" w:type="dxa"/>
              <w:end w:w="130" w:type="dxa"/>
            </w:tcMar>
          </w:tcPr>
          <w:p>
            <w:pPr>
              <w:spacing w:after="0"/>
            </w:pPr>
            <w:r>
              <w:rPr>
                <w:rFonts w:ascii="Calibri" w:hAnsi="Calibri"/>
                <w:b w:val="0"/>
                <w:i w:val="0"/>
                <w:color w:val="1F2937"/>
                <w:sz w:val="20"/>
              </w:rPr>
              <w:t>Consistent evaluation</w:t>
            </w:r>
          </w:p>
        </w:tc>
        <w:tc>
          <w:tcPr>
            <w:tcW w:type="dxa" w:w="6408"/>
            <w:vAlign w:val="center"/>
            <w:shd w:fill="FAFBFC"/>
            <w:tcMar>
              <w:top w:w="100" w:type="dxa"/>
              <w:start w:w="130" w:type="dxa"/>
              <w:bottom w:w="100" w:type="dxa"/>
              <w:end w:w="130" w:type="dxa"/>
            </w:tcMar>
          </w:tcPr>
          <w:p>
            <w:pPr>
              <w:spacing w:after="0"/>
            </w:pPr>
            <w:r>
              <w:rPr>
                <w:rFonts w:ascii="Calibri" w:hAnsi="Calibri"/>
                <w:b w:val="0"/>
                <w:i w:val="0"/>
                <w:color w:val="1F2937"/>
                <w:sz w:val="20"/>
              </w:rPr>
              <w:t>Standardizes screening through validator scores, thresholds, reason codes, and score breakdowns.</w:t>
            </w:r>
          </w:p>
        </w:tc>
      </w:tr>
      <w:tr>
        <w:tc>
          <w:tcPr>
            <w:tcW w:type="dxa" w:w="2952"/>
            <w:vAlign w:val="center"/>
            <w:shd w:fill="FFFFFF"/>
            <w:tcMar>
              <w:top w:w="100" w:type="dxa"/>
              <w:start w:w="130" w:type="dxa"/>
              <w:bottom w:w="100" w:type="dxa"/>
              <w:end w:w="130" w:type="dxa"/>
            </w:tcMar>
          </w:tcPr>
          <w:p>
            <w:pPr>
              <w:spacing w:after="0"/>
            </w:pPr>
            <w:r>
              <w:rPr>
                <w:rFonts w:ascii="Calibri" w:hAnsi="Calibri"/>
                <w:b w:val="0"/>
                <w:i w:val="0"/>
                <w:color w:val="1F2937"/>
                <w:sz w:val="20"/>
              </w:rPr>
              <w:t>Reduced hiring cost</w:t>
            </w:r>
          </w:p>
        </w:tc>
        <w:tc>
          <w:tcPr>
            <w:tcW w:type="dxa" w:w="6408"/>
            <w:vAlign w:val="center"/>
            <w:shd w:fill="FFFFFF"/>
            <w:tcMar>
              <w:top w:w="100" w:type="dxa"/>
              <w:start w:w="130" w:type="dxa"/>
              <w:bottom w:w="100" w:type="dxa"/>
              <w:end w:w="130" w:type="dxa"/>
            </w:tcMar>
          </w:tcPr>
          <w:p>
            <w:pPr>
              <w:spacing w:after="0"/>
            </w:pPr>
            <w:r>
              <w:rPr>
                <w:rFonts w:ascii="Calibri" w:hAnsi="Calibri"/>
                <w:b w:val="0"/>
                <w:i w:val="0"/>
                <w:color w:val="1F2937"/>
                <w:sz w:val="20"/>
              </w:rPr>
              <w:t>Decreases effort spent on clearly unfit candidates and repeated manual screening cycles.</w:t>
            </w:r>
          </w:p>
        </w:tc>
      </w:tr>
      <w:tr>
        <w:tc>
          <w:tcPr>
            <w:tcW w:type="dxa" w:w="2952"/>
            <w:vAlign w:val="center"/>
            <w:shd w:fill="FAFBFC"/>
            <w:tcMar>
              <w:top w:w="100" w:type="dxa"/>
              <w:start w:w="130" w:type="dxa"/>
              <w:bottom w:w="100" w:type="dxa"/>
              <w:end w:w="130" w:type="dxa"/>
            </w:tcMar>
          </w:tcPr>
          <w:p>
            <w:pPr>
              <w:spacing w:after="0"/>
            </w:pPr>
            <w:r>
              <w:rPr>
                <w:rFonts w:ascii="Calibri" w:hAnsi="Calibri"/>
                <w:b w:val="0"/>
                <w:i w:val="0"/>
                <w:color w:val="1F2937"/>
                <w:sz w:val="20"/>
              </w:rPr>
              <w:t>Reusable talent database</w:t>
            </w:r>
          </w:p>
        </w:tc>
        <w:tc>
          <w:tcPr>
            <w:tcW w:type="dxa" w:w="6408"/>
            <w:vAlign w:val="center"/>
            <w:shd w:fill="FAFBFC"/>
            <w:tcMar>
              <w:top w:w="100" w:type="dxa"/>
              <w:start w:w="130" w:type="dxa"/>
              <w:bottom w:w="100" w:type="dxa"/>
              <w:end w:w="130" w:type="dxa"/>
            </w:tcMar>
          </w:tcPr>
          <w:p>
            <w:pPr>
              <w:spacing w:after="0"/>
            </w:pPr>
            <w:r>
              <w:rPr>
                <w:rFonts w:ascii="Calibri" w:hAnsi="Calibri"/>
                <w:b w:val="0"/>
                <w:i w:val="0"/>
                <w:color w:val="1F2937"/>
                <w:sz w:val="20"/>
              </w:rPr>
              <w:t>Stores rejected and available candidates as metadata so they can be reconsidered for future roles.</w:t>
            </w:r>
          </w:p>
        </w:tc>
      </w:tr>
      <w:tr>
        <w:tc>
          <w:tcPr>
            <w:tcW w:type="dxa" w:w="2952"/>
            <w:vAlign w:val="center"/>
            <w:shd w:fill="FFFFFF"/>
            <w:tcMar>
              <w:top w:w="100" w:type="dxa"/>
              <w:start w:w="130" w:type="dxa"/>
              <w:bottom w:w="100" w:type="dxa"/>
              <w:end w:w="130" w:type="dxa"/>
            </w:tcMar>
          </w:tcPr>
          <w:p>
            <w:pPr>
              <w:spacing w:after="0"/>
            </w:pPr>
            <w:r>
              <w:rPr>
                <w:rFonts w:ascii="Calibri" w:hAnsi="Calibri"/>
                <w:b w:val="0"/>
                <w:i w:val="0"/>
                <w:color w:val="1F2937"/>
                <w:sz w:val="20"/>
              </w:rPr>
              <w:t>Improved auditability</w:t>
            </w:r>
          </w:p>
        </w:tc>
        <w:tc>
          <w:tcPr>
            <w:tcW w:type="dxa" w:w="6408"/>
            <w:vAlign w:val="center"/>
            <w:shd w:fill="FFFFFF"/>
            <w:tcMar>
              <w:top w:w="100" w:type="dxa"/>
              <w:start w:w="130" w:type="dxa"/>
              <w:bottom w:w="100" w:type="dxa"/>
              <w:end w:w="130" w:type="dxa"/>
            </w:tcMar>
          </w:tcPr>
          <w:p>
            <w:pPr>
              <w:spacing w:after="0"/>
            </w:pPr>
            <w:r>
              <w:rPr>
                <w:rFonts w:ascii="Calibri" w:hAnsi="Calibri"/>
                <w:b w:val="0"/>
                <w:i w:val="0"/>
                <w:color w:val="1F2937"/>
                <w:sz w:val="20"/>
              </w:rPr>
              <w:t>Maintains candidate timeline, batch history, validator versioning, HR actions, and rejection reasons.</w:t>
            </w:r>
          </w:p>
        </w:tc>
      </w:tr>
      <w:tr>
        <w:tc>
          <w:tcPr>
            <w:tcW w:type="dxa" w:w="2952"/>
            <w:vAlign w:val="center"/>
            <w:shd w:fill="FAFBFC"/>
            <w:tcMar>
              <w:top w:w="100" w:type="dxa"/>
              <w:start w:w="130" w:type="dxa"/>
              <w:bottom w:w="100" w:type="dxa"/>
              <w:end w:w="130" w:type="dxa"/>
            </w:tcMar>
          </w:tcPr>
          <w:p>
            <w:pPr>
              <w:spacing w:after="0"/>
            </w:pPr>
            <w:r>
              <w:rPr>
                <w:rFonts w:ascii="Calibri" w:hAnsi="Calibri"/>
                <w:b w:val="0"/>
                <w:i w:val="0"/>
                <w:color w:val="1F2937"/>
                <w:sz w:val="20"/>
              </w:rPr>
              <w:t>HR decision control</w:t>
            </w:r>
          </w:p>
        </w:tc>
        <w:tc>
          <w:tcPr>
            <w:tcW w:type="dxa" w:w="6408"/>
            <w:vAlign w:val="center"/>
            <w:shd w:fill="FAFBFC"/>
            <w:tcMar>
              <w:top w:w="100" w:type="dxa"/>
              <w:start w:w="130" w:type="dxa"/>
              <w:bottom w:w="100" w:type="dxa"/>
              <w:end w:w="130" w:type="dxa"/>
            </w:tcMar>
          </w:tcPr>
          <w:p>
            <w:pPr>
              <w:spacing w:after="0"/>
            </w:pPr>
            <w:r>
              <w:rPr>
                <w:rFonts w:ascii="Calibri" w:hAnsi="Calibri"/>
                <w:b w:val="0"/>
                <w:i w:val="0"/>
                <w:color w:val="1F2937"/>
                <w:sz w:val="20"/>
              </w:rPr>
              <w:t>AI provides evidence and recommendations, while HR keeps final authority over hiring decisions.</w:t>
            </w:r>
          </w:p>
        </w:tc>
      </w:tr>
    </w:tbl>
    <w:p>
      <w:pPr>
        <w:spacing w:before="0" w:after="60" w:line="269" w:lineRule="auto"/>
      </w:pPr>
    </w:p>
    <w:p>
      <w:pPr>
        <w:spacing w:before="280" w:after="120"/>
      </w:pPr>
      <w:r>
        <w:rPr>
          <w:rFonts w:ascii="Calibri" w:hAnsi="Calibri"/>
          <w:b/>
          <w:i w:val="0"/>
          <w:color w:val="684FA3"/>
          <w:sz w:val="30"/>
        </w:rPr>
        <w:t>3. Expected Operational Improvement</w:t>
      </w:r>
    </w:p>
    <w:p>
      <w:pPr>
        <w:spacing w:before="0" w:after="120" w:line="269" w:lineRule="auto"/>
      </w:pPr>
      <w:r>
        <w:rPr>
          <w:rFonts w:ascii="Calibri" w:hAnsi="Calibri"/>
          <w:b w:val="0"/>
          <w:i w:val="0"/>
          <w:color w:val="1F2937"/>
          <w:sz w:val="22"/>
        </w:rPr>
        <w:t>HireX can reduce the workload of HR teams by automatically filtering large candidate pools into PASS, REVIEW, and FAIL categories. Candidates above the pass threshold can move directly to the next screening stage, candidates in the review band can be checked by HR, and rejected candidates can be stored for future openings instead of being lost.</w:t>
      </w:r>
    </w:p>
    <w:p>
      <w:pPr>
        <w:spacing w:before="0" w:after="120" w:line="269" w:lineRule="auto"/>
      </w:pPr>
      <w:r>
        <w:rPr>
          <w:rFonts w:ascii="Calibri" w:hAnsi="Calibri"/>
          <w:b w:val="0"/>
          <w:i w:val="0"/>
          <w:color w:val="1F2937"/>
          <w:sz w:val="22"/>
        </w:rPr>
        <w:t>This creates a faster and more structured hiring pipeline where recruiters spend less time on repetitive filtering and more time on decision-making, communication, and high-value candidate engagement.</w:t>
      </w:r>
    </w:p>
    <w:p>
      <w:pPr>
        <w:spacing w:before="280" w:after="120"/>
      </w:pPr>
      <w:r>
        <w:rPr>
          <w:rFonts w:ascii="Calibri" w:hAnsi="Calibri"/>
          <w:b/>
          <w:i w:val="0"/>
          <w:color w:val="1F8981"/>
          <w:sz w:val="30"/>
        </w:rPr>
        <w:t>4. Strategic Value</w:t>
      </w:r>
    </w:p>
    <w:p>
      <w:pPr>
        <w:spacing w:before="0" w:after="120" w:line="269" w:lineRule="auto"/>
      </w:pPr>
      <w:r>
        <w:rPr>
          <w:rFonts w:ascii="Calibri" w:hAnsi="Calibri"/>
          <w:b w:val="0"/>
          <w:i w:val="0"/>
          <w:color w:val="1F2937"/>
          <w:sz w:val="22"/>
        </w:rPr>
        <w:t>The long-term value of HireX is not only automation but also building a continuously growing candidate intelligence database. As more candidates are sourced, validated, refreshed, and processed across different roles, the organization gains a reusable talent pool with structured metadata, historical decisions, rejection reasons, and updated profile information.</w:t>
      </w:r>
    </w:p>
    <w:p>
      <w:pPr>
        <w:spacing w:before="0" w:after="120" w:line="269" w:lineRule="auto"/>
      </w:pPr>
      <w:r>
        <w:rPr>
          <w:rFonts w:ascii="Calibri" w:hAnsi="Calibri"/>
          <w:b w:val="0"/>
          <w:i w:val="0"/>
          <w:color w:val="1F2937"/>
          <w:sz w:val="22"/>
        </w:rPr>
        <w:t>This helps future hiring cycles become faster, more data-driven, and less dependent on starting candidate sourcing from zero for every new opening.</w:t>
      </w:r>
    </w:p>
    <w:p>
      <w:pPr>
        <w:spacing w:before="280" w:after="120"/>
      </w:pPr>
      <w:r>
        <w:rPr>
          <w:rFonts w:ascii="Calibri" w:hAnsi="Calibri"/>
          <w:b/>
          <w:i w:val="0"/>
          <w:color w:val="2E74B5"/>
          <w:sz w:val="30"/>
        </w:rPr>
        <w:t>5. Summary</w:t>
      </w:r>
    </w:p>
    <w:tbl>
      <w:tblPr>
        <w:tblStyle w:val="TableGrid"/>
        <w:tblW w:type="auto" w:w="0"/>
        <w:jc w:val="center"/>
        <w:tblLayout w:type="fixed"/>
        <w:tblLook w:firstColumn="1" w:firstRow="1" w:lastColumn="0" w:lastRow="0" w:noHBand="0" w:noVBand="1" w:val="04A0"/>
      </w:tblPr>
      <w:tblGrid>
        <w:gridCol w:w="9792"/>
      </w:tblGrid>
      <w:tr>
        <w:tc>
          <w:tcPr>
            <w:tcW w:type="dxa" w:w="9360"/>
            <w:vAlign w:val="center"/>
            <w:shd w:fill="F0ECFA"/>
            <w:tcMar>
              <w:top w:w="150" w:type="dxa"/>
              <w:start w:w="170" w:type="dxa"/>
              <w:bottom w:w="150" w:type="dxa"/>
              <w:end w:w="170" w:type="dxa"/>
            </w:tcMar>
          </w:tcPr>
          <w:p>
            <w:pPr>
              <w:spacing w:after="80"/>
            </w:pPr>
            <w:r>
              <w:rPr>
                <w:rFonts w:ascii="Calibri" w:hAnsi="Calibri"/>
                <w:b/>
                <w:i w:val="0"/>
                <w:color w:val="684FA3"/>
                <w:sz w:val="23"/>
              </w:rPr>
              <w:t>Summary</w:t>
            </w:r>
          </w:p>
          <w:p>
            <w:pPr>
              <w:spacing w:after="0" w:line="269" w:lineRule="auto"/>
            </w:pPr>
            <w:r>
              <w:rPr>
                <w:rFonts w:ascii="Calibri" w:hAnsi="Calibri"/>
                <w:b w:val="0"/>
                <w:i w:val="0"/>
                <w:color w:val="1F2937"/>
                <w:sz w:val="21"/>
              </w:rPr>
              <w:t>HireX improves recruitment by reducing manual effort, increasing screening speed, improving evaluation consistency, supporting HR decisions with evidence, and creating a reusable candidate database. The business impact is faster hiring, better candidate shortlisting, lower recruitment effort, stronger auditability, and improved long-term talent reuse.</w:t>
            </w:r>
          </w:p>
        </w:tc>
      </w:tr>
    </w:tbl>
    <w:p>
      <w:pPr>
        <w:spacing w:before="0" w:after="40" w:line="269" w:lineRule="auto"/>
      </w:pP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76370"/>
        <w:sz w:val="18"/>
      </w:rPr>
      <w:t>HRTech - Talent Acquisition and Recruitment Automation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76370"/>
        <w:sz w:val="18"/>
      </w:rPr>
      <w:t>HireX - Business Impact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