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9" w:lineRule="auto"/>
        <w:jc w:val="center"/>
      </w:pPr>
      <w:r>
        <w:rPr>
          <w:rFonts w:ascii="Calibri" w:hAnsi="Calibri"/>
          <w:b/>
          <w:i w:val="0"/>
          <w:color w:val="1F8981"/>
          <w:sz w:val="22"/>
        </w:rPr>
        <w:t>HIREX</w:t>
      </w:r>
    </w:p>
    <w:p>
      <w:pPr>
        <w:spacing w:before="0" w:after="80" w:line="269" w:lineRule="auto"/>
        <w:jc w:val="center"/>
      </w:pPr>
      <w:r>
        <w:rPr>
          <w:rFonts w:ascii="Calibri" w:hAnsi="Calibri"/>
          <w:b/>
          <w:i w:val="0"/>
          <w:color w:val="14274E"/>
          <w:sz w:val="54"/>
        </w:rPr>
        <w:t>Workflow and Architecture Diagrams</w:t>
      </w:r>
    </w:p>
    <w:p>
      <w:pPr>
        <w:spacing w:before="0" w:after="240" w:line="269" w:lineRule="auto"/>
        <w:jc w:val="center"/>
      </w:pPr>
      <w:r>
        <w:rPr>
          <w:rFonts w:ascii="Calibri" w:hAnsi="Calibri"/>
          <w:b w:val="0"/>
          <w:i w:val="0"/>
          <w:color w:val="576370"/>
          <w:sz w:val="24"/>
        </w:rPr>
        <w:t>Current MVP workflow and complete planned HRTech architecture.</w:t>
      </w:r>
    </w:p>
    <w:p>
      <w:pPr>
        <w:spacing w:before="320" w:after="120"/>
      </w:pPr>
      <w:r>
        <w:rPr>
          <w:rFonts w:ascii="Calibri" w:hAnsi="Calibri"/>
          <w:b/>
          <w:i w:val="0"/>
          <w:color w:val="2E74B5"/>
          <w:sz w:val="30"/>
        </w:rPr>
        <w:t>1. Current Implemented MVP Flow</w:t>
      </w:r>
    </w:p>
    <w:p>
      <w:pPr>
        <w:spacing w:before="0" w:after="120" w:line="269" w:lineRule="auto"/>
      </w:pPr>
      <w:r>
        <w:rPr>
          <w:rFonts w:ascii="Calibri" w:hAnsi="Calibri"/>
          <w:b w:val="0"/>
          <w:i w:val="0"/>
          <w:color w:val="1F2937"/>
          <w:sz w:val="22"/>
        </w:rPr>
        <w:t>This diagram shows the flow that is currently implemented in the project. Candidate data comes from Excel/source files, a job requirement is selected, the validator runs, results are stored in PostgreSQL, and HR can review candidates from the dashboard.</w:t>
      </w:r>
    </w:p>
    <w:p>
      <w:pPr>
        <w:jc w:val="center"/>
      </w:pPr>
      <w:r>
        <w:drawing>
          <wp:inline xmlns:a="http://schemas.openxmlformats.org/drawingml/2006/main" xmlns:pic="http://schemas.openxmlformats.org/drawingml/2006/picture">
            <wp:extent cx="5715000" cy="6572250"/>
            <wp:docPr id="1" name="Picture 1"/>
            <wp:cNvGraphicFramePr>
              <a:graphicFrameLocks noChangeAspect="1"/>
            </wp:cNvGraphicFramePr>
            <a:graphic>
              <a:graphicData uri="http://schemas.openxmlformats.org/drawingml/2006/picture">
                <pic:pic>
                  <pic:nvPicPr>
                    <pic:cNvPr id="0" name="01_current_mvp_flow_exact_structure.png"/>
                    <pic:cNvPicPr/>
                  </pic:nvPicPr>
                  <pic:blipFill>
                    <a:blip r:embed="rId10"/>
                    <a:stretch>
                      <a:fillRect/>
                    </a:stretch>
                  </pic:blipFill>
                  <pic:spPr>
                    <a:xfrm>
                      <a:off x="0" y="0"/>
                      <a:ext cx="5715000" cy="6572250"/>
                    </a:xfrm>
                    <a:prstGeom prst="rect"/>
                  </pic:spPr>
                </pic:pic>
              </a:graphicData>
            </a:graphic>
          </wp:inline>
        </w:drawing>
      </w:r>
    </w:p>
    <w:p>
      <w:pPr>
        <w:spacing w:before="0" w:after="120" w:line="269" w:lineRule="auto"/>
        <w:jc w:val="center"/>
      </w:pPr>
      <w:r>
        <w:rPr>
          <w:rFonts w:ascii="Calibri" w:hAnsi="Calibri"/>
          <w:b w:val="0"/>
          <w:i/>
          <w:color w:val="576370"/>
          <w:sz w:val="19"/>
        </w:rPr>
        <w:t>Figure 1. Same structure as the markdown diagram: candidate intake to validator result.</w:t>
      </w:r>
    </w:p>
    <w:p>
      <w:pPr>
        <w:spacing w:before="320" w:after="120"/>
      </w:pPr>
      <w:r>
        <w:rPr>
          <w:rFonts w:ascii="Calibri" w:hAnsi="Calibri"/>
          <w:b/>
          <w:i w:val="0"/>
          <w:color w:val="684FA3"/>
          <w:sz w:val="30"/>
        </w:rPr>
        <w:t>2. Current MVP Components Implemented</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3168"/>
            <w:shd w:fill="EAF3FB"/>
            <w:tcMar>
              <w:top w:w="90" w:type="dxa"/>
              <w:start w:w="120" w:type="dxa"/>
              <w:bottom w:w="90" w:type="dxa"/>
              <w:end w:w="120" w:type="dxa"/>
            </w:tcMar>
          </w:tcPr>
          <w:p>
            <w:r>
              <w:rPr>
                <w:rFonts w:ascii="Calibri" w:hAnsi="Calibri"/>
                <w:b/>
                <w:i w:val="0"/>
                <w:color w:val="2E74B5"/>
                <w:sz w:val="21"/>
              </w:rPr>
              <w:t>Component</w:t>
            </w:r>
          </w:p>
        </w:tc>
        <w:tc>
          <w:tcPr>
            <w:tcW w:type="dxa" w:w="1728"/>
            <w:shd w:fill="EAF3FB"/>
            <w:tcMar>
              <w:top w:w="90" w:type="dxa"/>
              <w:start w:w="120" w:type="dxa"/>
              <w:bottom w:w="90" w:type="dxa"/>
              <w:end w:w="120" w:type="dxa"/>
            </w:tcMar>
          </w:tcPr>
          <w:p>
            <w:r>
              <w:rPr>
                <w:rFonts w:ascii="Calibri" w:hAnsi="Calibri"/>
                <w:b/>
                <w:i w:val="0"/>
                <w:color w:val="2E74B5"/>
                <w:sz w:val="21"/>
              </w:rPr>
              <w:t>Status</w:t>
            </w:r>
          </w:p>
        </w:tc>
        <w:tc>
          <w:tcPr>
            <w:tcW w:type="dxa" w:w="4464"/>
            <w:shd w:fill="EAF3FB"/>
            <w:tcMar>
              <w:top w:w="90" w:type="dxa"/>
              <w:start w:w="120" w:type="dxa"/>
              <w:bottom w:w="90" w:type="dxa"/>
              <w:end w:w="120" w:type="dxa"/>
            </w:tcMar>
          </w:tcPr>
          <w:p>
            <w:r>
              <w:rPr>
                <w:rFonts w:ascii="Calibri" w:hAnsi="Calibri"/>
                <w:b/>
                <w:i w:val="0"/>
                <w:color w:val="2E74B5"/>
                <w:sz w:val="21"/>
              </w:rPr>
              <w:t>Purpose</w:t>
            </w:r>
          </w:p>
        </w:tc>
      </w:tr>
      <w:tr>
        <w:tc>
          <w:tcPr>
            <w:tcW w:type="dxa" w:w="3168"/>
            <w:shd w:fill="FFFFFF"/>
            <w:tcMar>
              <w:top w:w="90" w:type="dxa"/>
              <w:start w:w="120" w:type="dxa"/>
              <w:bottom w:w="90" w:type="dxa"/>
              <w:end w:w="120" w:type="dxa"/>
            </w:tcMar>
          </w:tcPr>
          <w:p>
            <w:r>
              <w:rPr>
                <w:rFonts w:ascii="Calibri" w:hAnsi="Calibri"/>
                <w:b w:val="0"/>
                <w:i w:val="0"/>
                <w:color w:val="1F2937"/>
                <w:sz w:val="20"/>
              </w:rPr>
              <w:t>Candidate Excel/source intake</w:t>
            </w:r>
          </w:p>
        </w:tc>
        <w:tc>
          <w:tcPr>
            <w:tcW w:type="dxa" w:w="1728"/>
            <w:shd w:fill="FFFFFF"/>
            <w:tcMar>
              <w:top w:w="90" w:type="dxa"/>
              <w:start w:w="120" w:type="dxa"/>
              <w:bottom w:w="90" w:type="dxa"/>
              <w:end w:w="120" w:type="dxa"/>
            </w:tcMar>
          </w:tcPr>
          <w:p>
            <w:r>
              <w:rPr>
                <w:rFonts w:ascii="Calibri" w:hAnsi="Calibri"/>
                <w:b w:val="0"/>
                <w:i w:val="0"/>
                <w:color w:val="1F2937"/>
                <w:sz w:val="20"/>
              </w:rPr>
              <w:t>Implemented</w:t>
            </w:r>
          </w:p>
        </w:tc>
        <w:tc>
          <w:tcPr>
            <w:tcW w:type="dxa" w:w="4464"/>
            <w:shd w:fill="FFFFFF"/>
            <w:tcMar>
              <w:top w:w="90" w:type="dxa"/>
              <w:start w:w="120" w:type="dxa"/>
              <w:bottom w:w="90" w:type="dxa"/>
              <w:end w:w="120" w:type="dxa"/>
            </w:tcMar>
          </w:tcPr>
          <w:p>
            <w:r>
              <w:rPr>
                <w:rFonts w:ascii="Calibri" w:hAnsi="Calibri"/>
                <w:b w:val="0"/>
                <w:i w:val="0"/>
                <w:color w:val="1F2937"/>
                <w:sz w:val="20"/>
              </w:rPr>
              <w:t>Reads candidate data for validation.</w:t>
            </w:r>
          </w:p>
        </w:tc>
      </w:tr>
      <w:tr>
        <w:tc>
          <w:tcPr>
            <w:tcW w:type="dxa" w:w="3168"/>
            <w:shd w:fill="FAFBFC"/>
            <w:tcMar>
              <w:top w:w="90" w:type="dxa"/>
              <w:start w:w="120" w:type="dxa"/>
              <w:bottom w:w="90" w:type="dxa"/>
              <w:end w:w="120" w:type="dxa"/>
            </w:tcMar>
          </w:tcPr>
          <w:p>
            <w:r>
              <w:rPr>
                <w:rFonts w:ascii="Calibri" w:hAnsi="Calibri"/>
                <w:b w:val="0"/>
                <w:i w:val="0"/>
                <w:color w:val="1F2937"/>
                <w:sz w:val="20"/>
              </w:rPr>
              <w:t>Job requirement input</w:t>
            </w:r>
          </w:p>
        </w:tc>
        <w:tc>
          <w:tcPr>
            <w:tcW w:type="dxa" w:w="1728"/>
            <w:shd w:fill="FAFBFC"/>
            <w:tcMar>
              <w:top w:w="90" w:type="dxa"/>
              <w:start w:w="120" w:type="dxa"/>
              <w:bottom w:w="90" w:type="dxa"/>
              <w:end w:w="120" w:type="dxa"/>
            </w:tcMar>
          </w:tcPr>
          <w:p>
            <w:r>
              <w:rPr>
                <w:rFonts w:ascii="Calibri" w:hAnsi="Calibri"/>
                <w:b w:val="0"/>
                <w:i w:val="0"/>
                <w:color w:val="1F2937"/>
                <w:sz w:val="20"/>
              </w:rPr>
              <w:t>Implemented</w:t>
            </w:r>
          </w:p>
        </w:tc>
        <w:tc>
          <w:tcPr>
            <w:tcW w:type="dxa" w:w="4464"/>
            <w:shd w:fill="FAFBFC"/>
            <w:tcMar>
              <w:top w:w="90" w:type="dxa"/>
              <w:start w:w="120" w:type="dxa"/>
              <w:bottom w:w="90" w:type="dxa"/>
              <w:end w:w="120" w:type="dxa"/>
            </w:tcMar>
          </w:tcPr>
          <w:p>
            <w:r>
              <w:rPr>
                <w:rFonts w:ascii="Calibri" w:hAnsi="Calibri"/>
                <w:b w:val="0"/>
                <w:i w:val="0"/>
                <w:color w:val="1F2937"/>
                <w:sz w:val="20"/>
              </w:rPr>
              <w:t>Stores JD, role, skills, experience, salary, and thresholds.</w:t>
            </w:r>
          </w:p>
        </w:tc>
      </w:tr>
      <w:tr>
        <w:tc>
          <w:tcPr>
            <w:tcW w:type="dxa" w:w="3168"/>
            <w:shd w:fill="FFFFFF"/>
            <w:tcMar>
              <w:top w:w="90" w:type="dxa"/>
              <w:start w:w="120" w:type="dxa"/>
              <w:bottom w:w="90" w:type="dxa"/>
              <w:end w:w="120" w:type="dxa"/>
            </w:tcMar>
          </w:tcPr>
          <w:p>
            <w:r>
              <w:rPr>
                <w:rFonts w:ascii="Calibri" w:hAnsi="Calibri"/>
                <w:b w:val="0"/>
                <w:i w:val="0"/>
                <w:color w:val="1F2937"/>
                <w:sz w:val="20"/>
              </w:rPr>
              <w:t>Candidate deduplication</w:t>
            </w:r>
          </w:p>
        </w:tc>
        <w:tc>
          <w:tcPr>
            <w:tcW w:type="dxa" w:w="1728"/>
            <w:shd w:fill="FFFFFF"/>
            <w:tcMar>
              <w:top w:w="90" w:type="dxa"/>
              <w:start w:w="120" w:type="dxa"/>
              <w:bottom w:w="90" w:type="dxa"/>
              <w:end w:w="120" w:type="dxa"/>
            </w:tcMar>
          </w:tcPr>
          <w:p>
            <w:r>
              <w:rPr>
                <w:rFonts w:ascii="Calibri" w:hAnsi="Calibri"/>
                <w:b w:val="0"/>
                <w:i w:val="0"/>
                <w:color w:val="1F2937"/>
                <w:sz w:val="20"/>
              </w:rPr>
              <w:t>Implemented</w:t>
            </w:r>
          </w:p>
        </w:tc>
        <w:tc>
          <w:tcPr>
            <w:tcW w:type="dxa" w:w="4464"/>
            <w:shd w:fill="FFFFFF"/>
            <w:tcMar>
              <w:top w:w="90" w:type="dxa"/>
              <w:start w:w="120" w:type="dxa"/>
              <w:bottom w:w="90" w:type="dxa"/>
              <w:end w:w="120" w:type="dxa"/>
            </w:tcMar>
          </w:tcPr>
          <w:p>
            <w:r>
              <w:rPr>
                <w:rFonts w:ascii="Calibri" w:hAnsi="Calibri"/>
                <w:b w:val="0"/>
                <w:i w:val="0"/>
                <w:color w:val="1F2937"/>
                <w:sz w:val="20"/>
              </w:rPr>
              <w:t>Avoids storing same candidate again and again.</w:t>
            </w:r>
          </w:p>
        </w:tc>
      </w:tr>
      <w:tr>
        <w:tc>
          <w:tcPr>
            <w:tcW w:type="dxa" w:w="3168"/>
            <w:shd w:fill="FAFBFC"/>
            <w:tcMar>
              <w:top w:w="90" w:type="dxa"/>
              <w:start w:w="120" w:type="dxa"/>
              <w:bottom w:w="90" w:type="dxa"/>
              <w:end w:w="120" w:type="dxa"/>
            </w:tcMar>
          </w:tcPr>
          <w:p>
            <w:r>
              <w:rPr>
                <w:rFonts w:ascii="Calibri" w:hAnsi="Calibri"/>
                <w:b w:val="0"/>
                <w:i w:val="0"/>
                <w:color w:val="1F2937"/>
                <w:sz w:val="20"/>
              </w:rPr>
              <w:t>Pre-screen validator</w:t>
            </w:r>
          </w:p>
        </w:tc>
        <w:tc>
          <w:tcPr>
            <w:tcW w:type="dxa" w:w="1728"/>
            <w:shd w:fill="FAFBFC"/>
            <w:tcMar>
              <w:top w:w="90" w:type="dxa"/>
              <w:start w:w="120" w:type="dxa"/>
              <w:bottom w:w="90" w:type="dxa"/>
              <w:end w:w="120" w:type="dxa"/>
            </w:tcMar>
          </w:tcPr>
          <w:p>
            <w:r>
              <w:rPr>
                <w:rFonts w:ascii="Calibri" w:hAnsi="Calibri"/>
                <w:b w:val="0"/>
                <w:i w:val="0"/>
                <w:color w:val="1F2937"/>
                <w:sz w:val="20"/>
              </w:rPr>
              <w:t>Implemented</w:t>
            </w:r>
          </w:p>
        </w:tc>
        <w:tc>
          <w:tcPr>
            <w:tcW w:type="dxa" w:w="4464"/>
            <w:shd w:fill="FAFBFC"/>
            <w:tcMar>
              <w:top w:w="90" w:type="dxa"/>
              <w:start w:w="120" w:type="dxa"/>
              <w:bottom w:w="90" w:type="dxa"/>
              <w:end w:w="120" w:type="dxa"/>
            </w:tcMar>
          </w:tcPr>
          <w:p>
            <w:r>
              <w:rPr>
                <w:rFonts w:ascii="Calibri" w:hAnsi="Calibri"/>
                <w:b w:val="0"/>
                <w:i w:val="0"/>
                <w:color w:val="1F2937"/>
                <w:sz w:val="20"/>
              </w:rPr>
              <w:t>Scores candidates and classifies them as PASS, REVIEW, or FAIL.</w:t>
            </w:r>
          </w:p>
        </w:tc>
      </w:tr>
      <w:tr>
        <w:tc>
          <w:tcPr>
            <w:tcW w:type="dxa" w:w="3168"/>
            <w:shd w:fill="FFFFFF"/>
            <w:tcMar>
              <w:top w:w="90" w:type="dxa"/>
              <w:start w:w="120" w:type="dxa"/>
              <w:bottom w:w="90" w:type="dxa"/>
              <w:end w:w="120" w:type="dxa"/>
            </w:tcMar>
          </w:tcPr>
          <w:p>
            <w:r>
              <w:rPr>
                <w:rFonts w:ascii="Calibri" w:hAnsi="Calibri"/>
                <w:b w:val="0"/>
                <w:i w:val="0"/>
                <w:color w:val="1F2937"/>
                <w:sz w:val="20"/>
              </w:rPr>
              <w:t>Batch tracking</w:t>
            </w:r>
          </w:p>
        </w:tc>
        <w:tc>
          <w:tcPr>
            <w:tcW w:type="dxa" w:w="1728"/>
            <w:shd w:fill="FFFFFF"/>
            <w:tcMar>
              <w:top w:w="90" w:type="dxa"/>
              <w:start w:w="120" w:type="dxa"/>
              <w:bottom w:w="90" w:type="dxa"/>
              <w:end w:w="120" w:type="dxa"/>
            </w:tcMar>
          </w:tcPr>
          <w:p>
            <w:r>
              <w:rPr>
                <w:rFonts w:ascii="Calibri" w:hAnsi="Calibri"/>
                <w:b w:val="0"/>
                <w:i w:val="0"/>
                <w:color w:val="1F2937"/>
                <w:sz w:val="20"/>
              </w:rPr>
              <w:t>Implemented</w:t>
            </w:r>
          </w:p>
        </w:tc>
        <w:tc>
          <w:tcPr>
            <w:tcW w:type="dxa" w:w="4464"/>
            <w:shd w:fill="FFFFFF"/>
            <w:tcMar>
              <w:top w:w="90" w:type="dxa"/>
              <w:start w:w="120" w:type="dxa"/>
              <w:bottom w:w="90" w:type="dxa"/>
              <w:end w:w="120" w:type="dxa"/>
            </w:tcMar>
          </w:tcPr>
          <w:p>
            <w:r>
              <w:rPr>
                <w:rFonts w:ascii="Calibri" w:hAnsi="Calibri"/>
                <w:b w:val="0"/>
                <w:i w:val="0"/>
                <w:color w:val="1F2937"/>
                <w:sz w:val="20"/>
              </w:rPr>
              <w:t>Tracks every validator execution by batch.</w:t>
            </w:r>
          </w:p>
        </w:tc>
      </w:tr>
      <w:tr>
        <w:tc>
          <w:tcPr>
            <w:tcW w:type="dxa" w:w="3168"/>
            <w:shd w:fill="FAFBFC"/>
            <w:tcMar>
              <w:top w:w="90" w:type="dxa"/>
              <w:start w:w="120" w:type="dxa"/>
              <w:bottom w:w="90" w:type="dxa"/>
              <w:end w:w="120" w:type="dxa"/>
            </w:tcMar>
          </w:tcPr>
          <w:p>
            <w:r>
              <w:rPr>
                <w:rFonts w:ascii="Calibri" w:hAnsi="Calibri"/>
                <w:b w:val="0"/>
                <w:i w:val="0"/>
                <w:color w:val="1F2937"/>
                <w:sz w:val="20"/>
              </w:rPr>
              <w:t>HR operations dashboard</w:t>
            </w:r>
          </w:p>
        </w:tc>
        <w:tc>
          <w:tcPr>
            <w:tcW w:type="dxa" w:w="1728"/>
            <w:shd w:fill="FAFBFC"/>
            <w:tcMar>
              <w:top w:w="90" w:type="dxa"/>
              <w:start w:w="120" w:type="dxa"/>
              <w:bottom w:w="90" w:type="dxa"/>
              <w:end w:w="120" w:type="dxa"/>
            </w:tcMar>
          </w:tcPr>
          <w:p>
            <w:r>
              <w:rPr>
                <w:rFonts w:ascii="Calibri" w:hAnsi="Calibri"/>
                <w:b w:val="0"/>
                <w:i w:val="0"/>
                <w:color w:val="1F2937"/>
                <w:sz w:val="20"/>
              </w:rPr>
              <w:t>Implemented</w:t>
            </w:r>
          </w:p>
        </w:tc>
        <w:tc>
          <w:tcPr>
            <w:tcW w:type="dxa" w:w="4464"/>
            <w:shd w:fill="FAFBFC"/>
            <w:tcMar>
              <w:top w:w="90" w:type="dxa"/>
              <w:start w:w="120" w:type="dxa"/>
              <w:bottom w:w="90" w:type="dxa"/>
              <w:end w:w="120" w:type="dxa"/>
            </w:tcMar>
          </w:tcPr>
          <w:p>
            <w:r>
              <w:rPr>
                <w:rFonts w:ascii="Calibri" w:hAnsi="Calibri"/>
                <w:b w:val="0"/>
                <w:i w:val="0"/>
                <w:color w:val="1F2937"/>
                <w:sz w:val="20"/>
              </w:rPr>
              <w:t>Shows candidates, scores, status, and evidence.</w:t>
            </w:r>
          </w:p>
        </w:tc>
      </w:tr>
      <w:tr>
        <w:tc>
          <w:tcPr>
            <w:tcW w:type="dxa" w:w="3168"/>
            <w:shd w:fill="FFFFFF"/>
            <w:tcMar>
              <w:top w:w="90" w:type="dxa"/>
              <w:start w:w="120" w:type="dxa"/>
              <w:bottom w:w="90" w:type="dxa"/>
              <w:end w:w="120" w:type="dxa"/>
            </w:tcMar>
          </w:tcPr>
          <w:p>
            <w:r>
              <w:rPr>
                <w:rFonts w:ascii="Calibri" w:hAnsi="Calibri"/>
                <w:b w:val="0"/>
                <w:i w:val="0"/>
                <w:color w:val="1F2937"/>
                <w:sz w:val="20"/>
              </w:rPr>
              <w:t>Reusable talent pool</w:t>
            </w:r>
          </w:p>
        </w:tc>
        <w:tc>
          <w:tcPr>
            <w:tcW w:type="dxa" w:w="1728"/>
            <w:shd w:fill="FFFFFF"/>
            <w:tcMar>
              <w:top w:w="90" w:type="dxa"/>
              <w:start w:w="120" w:type="dxa"/>
              <w:bottom w:w="90" w:type="dxa"/>
              <w:end w:w="120" w:type="dxa"/>
            </w:tcMar>
          </w:tcPr>
          <w:p>
            <w:r>
              <w:rPr>
                <w:rFonts w:ascii="Calibri" w:hAnsi="Calibri"/>
                <w:b w:val="0"/>
                <w:i w:val="0"/>
                <w:color w:val="1F2937"/>
                <w:sz w:val="20"/>
              </w:rPr>
              <w:t>Implemented</w:t>
            </w:r>
          </w:p>
        </w:tc>
        <w:tc>
          <w:tcPr>
            <w:tcW w:type="dxa" w:w="4464"/>
            <w:shd w:fill="FFFFFF"/>
            <w:tcMar>
              <w:top w:w="90" w:type="dxa"/>
              <w:start w:w="120" w:type="dxa"/>
              <w:bottom w:w="90" w:type="dxa"/>
              <w:end w:w="120" w:type="dxa"/>
            </w:tcMar>
          </w:tcPr>
          <w:p>
            <w:r>
              <w:rPr>
                <w:rFonts w:ascii="Calibri" w:hAnsi="Calibri"/>
                <w:b w:val="0"/>
                <w:i w:val="0"/>
                <w:color w:val="1F2937"/>
                <w:sz w:val="20"/>
              </w:rPr>
              <w:t>Stores rejected/available candidates for future roles.</w:t>
            </w:r>
          </w:p>
        </w:tc>
      </w:tr>
      <w:tr>
        <w:tc>
          <w:tcPr>
            <w:tcW w:type="dxa" w:w="3168"/>
            <w:shd w:fill="FAFBFC"/>
            <w:tcMar>
              <w:top w:w="90" w:type="dxa"/>
              <w:start w:w="120" w:type="dxa"/>
              <w:bottom w:w="90" w:type="dxa"/>
              <w:end w:w="120" w:type="dxa"/>
            </w:tcMar>
          </w:tcPr>
          <w:p>
            <w:r>
              <w:rPr>
                <w:rFonts w:ascii="Calibri" w:hAnsi="Calibri"/>
                <w:b w:val="0"/>
                <w:i w:val="0"/>
                <w:color w:val="1F2937"/>
                <w:sz w:val="20"/>
              </w:rPr>
              <w:t>Candidate refresh metadata</w:t>
            </w:r>
          </w:p>
        </w:tc>
        <w:tc>
          <w:tcPr>
            <w:tcW w:type="dxa" w:w="1728"/>
            <w:shd w:fill="FAFBFC"/>
            <w:tcMar>
              <w:top w:w="90" w:type="dxa"/>
              <w:start w:w="120" w:type="dxa"/>
              <w:bottom w:w="90" w:type="dxa"/>
              <w:end w:w="120" w:type="dxa"/>
            </w:tcMar>
          </w:tcPr>
          <w:p>
            <w:r>
              <w:rPr>
                <w:rFonts w:ascii="Calibri" w:hAnsi="Calibri"/>
                <w:b w:val="0"/>
                <w:i w:val="0"/>
                <w:color w:val="1F2937"/>
                <w:sz w:val="20"/>
              </w:rPr>
              <w:t>Implemented</w:t>
            </w:r>
          </w:p>
        </w:tc>
        <w:tc>
          <w:tcPr>
            <w:tcW w:type="dxa" w:w="4464"/>
            <w:shd w:fill="FAFBFC"/>
            <w:tcMar>
              <w:top w:w="90" w:type="dxa"/>
              <w:start w:w="120" w:type="dxa"/>
              <w:bottom w:w="90" w:type="dxa"/>
              <w:end w:w="120" w:type="dxa"/>
            </w:tcMar>
          </w:tcPr>
          <w:p>
            <w:r>
              <w:rPr>
                <w:rFonts w:ascii="Calibri" w:hAnsi="Calibri"/>
                <w:b w:val="0"/>
                <w:i w:val="0"/>
                <w:color w:val="1F2937"/>
                <w:sz w:val="20"/>
              </w:rPr>
              <w:t>Tracks updated candidate profile changes.</w:t>
            </w:r>
          </w:p>
        </w:tc>
      </w:tr>
      <w:tr>
        <w:tc>
          <w:tcPr>
            <w:tcW w:type="dxa" w:w="3168"/>
            <w:shd w:fill="FFFFFF"/>
            <w:tcMar>
              <w:top w:w="90" w:type="dxa"/>
              <w:start w:w="120" w:type="dxa"/>
              <w:bottom w:w="90" w:type="dxa"/>
              <w:end w:w="120" w:type="dxa"/>
            </w:tcMar>
          </w:tcPr>
          <w:p>
            <w:r>
              <w:rPr>
                <w:rFonts w:ascii="Calibri" w:hAnsi="Calibri"/>
                <w:b w:val="0"/>
                <w:i w:val="0"/>
                <w:color w:val="1F2937"/>
                <w:sz w:val="20"/>
              </w:rPr>
              <w:t>Reason bank</w:t>
            </w:r>
          </w:p>
        </w:tc>
        <w:tc>
          <w:tcPr>
            <w:tcW w:type="dxa" w:w="1728"/>
            <w:shd w:fill="FFFFFF"/>
            <w:tcMar>
              <w:top w:w="90" w:type="dxa"/>
              <w:start w:w="120" w:type="dxa"/>
              <w:bottom w:w="90" w:type="dxa"/>
              <w:end w:w="120" w:type="dxa"/>
            </w:tcMar>
          </w:tcPr>
          <w:p>
            <w:r>
              <w:rPr>
                <w:rFonts w:ascii="Calibri" w:hAnsi="Calibri"/>
                <w:b w:val="0"/>
                <w:i w:val="0"/>
                <w:color w:val="1F2937"/>
                <w:sz w:val="20"/>
              </w:rPr>
              <w:t>Implemented</w:t>
            </w:r>
          </w:p>
        </w:tc>
        <w:tc>
          <w:tcPr>
            <w:tcW w:type="dxa" w:w="4464"/>
            <w:shd w:fill="FFFFFF"/>
            <w:tcMar>
              <w:top w:w="90" w:type="dxa"/>
              <w:start w:w="120" w:type="dxa"/>
              <w:bottom w:w="90" w:type="dxa"/>
              <w:end w:w="120" w:type="dxa"/>
            </w:tcMar>
          </w:tcPr>
          <w:p>
            <w:r>
              <w:rPr>
                <w:rFonts w:ascii="Calibri" w:hAnsi="Calibri"/>
                <w:b w:val="0"/>
                <w:i w:val="0"/>
                <w:color w:val="1F2937"/>
                <w:sz w:val="20"/>
              </w:rPr>
              <w:t>Stores structured rejection/HR decision reasons.</w:t>
            </w:r>
          </w:p>
        </w:tc>
      </w:tr>
      <w:tr>
        <w:tc>
          <w:tcPr>
            <w:tcW w:type="dxa" w:w="3168"/>
            <w:shd w:fill="FAFBFC"/>
            <w:tcMar>
              <w:top w:w="90" w:type="dxa"/>
              <w:start w:w="120" w:type="dxa"/>
              <w:bottom w:w="90" w:type="dxa"/>
              <w:end w:w="120" w:type="dxa"/>
            </w:tcMar>
          </w:tcPr>
          <w:p>
            <w:r>
              <w:rPr>
                <w:rFonts w:ascii="Calibri" w:hAnsi="Calibri"/>
                <w:b w:val="0"/>
                <w:i w:val="0"/>
                <w:color w:val="1F2937"/>
                <w:sz w:val="20"/>
              </w:rPr>
              <w:t>Validator versioning</w:t>
            </w:r>
          </w:p>
        </w:tc>
        <w:tc>
          <w:tcPr>
            <w:tcW w:type="dxa" w:w="1728"/>
            <w:shd w:fill="FAFBFC"/>
            <w:tcMar>
              <w:top w:w="90" w:type="dxa"/>
              <w:start w:w="120" w:type="dxa"/>
              <w:bottom w:w="90" w:type="dxa"/>
              <w:end w:w="120" w:type="dxa"/>
            </w:tcMar>
          </w:tcPr>
          <w:p>
            <w:r>
              <w:rPr>
                <w:rFonts w:ascii="Calibri" w:hAnsi="Calibri"/>
                <w:b w:val="0"/>
                <w:i w:val="0"/>
                <w:color w:val="1F2937"/>
                <w:sz w:val="20"/>
              </w:rPr>
              <w:t>Implemented</w:t>
            </w:r>
          </w:p>
        </w:tc>
        <w:tc>
          <w:tcPr>
            <w:tcW w:type="dxa" w:w="4464"/>
            <w:shd w:fill="FAFBFC"/>
            <w:tcMar>
              <w:top w:w="90" w:type="dxa"/>
              <w:start w:w="120" w:type="dxa"/>
              <w:bottom w:w="90" w:type="dxa"/>
              <w:end w:w="120" w:type="dxa"/>
            </w:tcMar>
          </w:tcPr>
          <w:p>
            <w:r>
              <w:rPr>
                <w:rFonts w:ascii="Calibri" w:hAnsi="Calibri"/>
                <w:b w:val="0"/>
                <w:i w:val="0"/>
                <w:color w:val="1F2937"/>
                <w:sz w:val="20"/>
              </w:rPr>
              <w:t>Stores validator, parser, scoring, and policy versions.</w:t>
            </w:r>
          </w:p>
        </w:tc>
      </w:tr>
    </w:tbl>
    <w:p>
      <w:pPr>
        <w:spacing w:before="0" w:after="60" w:line="269" w:lineRule="auto"/>
      </w:pPr>
    </w:p>
    <w:p>
      <w:pPr>
        <w:spacing w:before="320" w:after="120"/>
      </w:pPr>
      <w:r>
        <w:rPr>
          <w:rFonts w:ascii="Calibri" w:hAnsi="Calibri"/>
          <w:b/>
          <w:i w:val="0"/>
          <w:color w:val="1F8981"/>
          <w:sz w:val="30"/>
        </w:rPr>
        <w:t>3. Complete Planned HireX Hiring Flow</w:t>
      </w:r>
    </w:p>
    <w:p>
      <w:pPr>
        <w:spacing w:before="0" w:after="120" w:line="269" w:lineRule="auto"/>
      </w:pPr>
      <w:r>
        <w:rPr>
          <w:rFonts w:ascii="Calibri" w:hAnsi="Calibri"/>
          <w:b w:val="0"/>
          <w:i w:val="0"/>
          <w:color w:val="1F2937"/>
          <w:sz w:val="22"/>
        </w:rPr>
        <w:t>This is the complete planned HireX process based on the architecture. It includes the current validator flow plus future R1, T1, T2, HR gates, integrity monitoring, M1 intelligence engine, and HR co-pilot.</w:t>
      </w:r>
    </w:p>
    <w:p>
      <w:pPr>
        <w:jc w:val="center"/>
      </w:pPr>
      <w:r>
        <w:drawing>
          <wp:inline xmlns:a="http://schemas.openxmlformats.org/drawingml/2006/main" xmlns:pic="http://schemas.openxmlformats.org/drawingml/2006/picture">
            <wp:extent cx="5715000" cy="11072812"/>
            <wp:docPr id="2" name="Picture 2"/>
            <wp:cNvGraphicFramePr>
              <a:graphicFrameLocks noChangeAspect="1"/>
            </wp:cNvGraphicFramePr>
            <a:graphic>
              <a:graphicData uri="http://schemas.openxmlformats.org/drawingml/2006/picture">
                <pic:pic>
                  <pic:nvPicPr>
                    <pic:cNvPr id="0" name="02_complete_planned_workflow_exact_structure.png"/>
                    <pic:cNvPicPr/>
                  </pic:nvPicPr>
                  <pic:blipFill>
                    <a:blip r:embed="rId11"/>
                    <a:stretch>
                      <a:fillRect/>
                    </a:stretch>
                  </pic:blipFill>
                  <pic:spPr>
                    <a:xfrm>
                      <a:off x="0" y="0"/>
                      <a:ext cx="5715000" cy="11072812"/>
                    </a:xfrm>
                    <a:prstGeom prst="rect"/>
                  </pic:spPr>
                </pic:pic>
              </a:graphicData>
            </a:graphic>
          </wp:inline>
        </w:drawing>
      </w:r>
    </w:p>
    <w:p>
      <w:pPr>
        <w:spacing w:before="0" w:after="120" w:line="269" w:lineRule="auto"/>
        <w:jc w:val="center"/>
      </w:pPr>
      <w:r>
        <w:rPr>
          <w:rFonts w:ascii="Calibri" w:hAnsi="Calibri"/>
          <w:b w:val="0"/>
          <w:i/>
          <w:color w:val="576370"/>
          <w:sz w:val="19"/>
        </w:rPr>
        <w:t>Figure 2. Same structure as the markdown diagram: complete planned hiring workflow.</w:t>
      </w:r>
    </w:p>
    <w:p>
      <w:pPr>
        <w:spacing w:before="320" w:after="120"/>
      </w:pPr>
      <w:r>
        <w:rPr>
          <w:rFonts w:ascii="Calibri" w:hAnsi="Calibri"/>
          <w:b/>
          <w:i w:val="0"/>
          <w:color w:val="2D7D4E"/>
          <w:sz w:val="30"/>
        </w:rPr>
        <w:t>4. Reusable Talent Pool and Future Opening Flow</w:t>
      </w:r>
    </w:p>
    <w:p>
      <w:pPr>
        <w:spacing w:before="0" w:after="120" w:line="269" w:lineRule="auto"/>
      </w:pPr>
      <w:r>
        <w:rPr>
          <w:rFonts w:ascii="Calibri" w:hAnsi="Calibri"/>
          <w:b w:val="0"/>
          <w:i w:val="0"/>
          <w:color w:val="1F2937"/>
          <w:sz w:val="22"/>
        </w:rPr>
        <w:t>This flow explains the lead's updated approach. Rejected candidates are not simply lost. They are stored once in the candidate database and reused for future job openings.</w:t>
      </w:r>
    </w:p>
    <w:p>
      <w:pPr>
        <w:jc w:val="center"/>
      </w:pPr>
      <w:r>
        <w:drawing>
          <wp:inline xmlns:a="http://schemas.openxmlformats.org/drawingml/2006/main" xmlns:pic="http://schemas.openxmlformats.org/drawingml/2006/picture">
            <wp:extent cx="5715000" cy="7286625"/>
            <wp:docPr id="3" name="Picture 3"/>
            <wp:cNvGraphicFramePr>
              <a:graphicFrameLocks noChangeAspect="1"/>
            </wp:cNvGraphicFramePr>
            <a:graphic>
              <a:graphicData uri="http://schemas.openxmlformats.org/drawingml/2006/picture">
                <pic:pic>
                  <pic:nvPicPr>
                    <pic:cNvPr id="0" name="03_reusable_pool_exact_structure.png"/>
                    <pic:cNvPicPr/>
                  </pic:nvPicPr>
                  <pic:blipFill>
                    <a:blip r:embed="rId12"/>
                    <a:stretch>
                      <a:fillRect/>
                    </a:stretch>
                  </pic:blipFill>
                  <pic:spPr>
                    <a:xfrm>
                      <a:off x="0" y="0"/>
                      <a:ext cx="5715000" cy="7286625"/>
                    </a:xfrm>
                    <a:prstGeom prst="rect"/>
                  </pic:spPr>
                </pic:pic>
              </a:graphicData>
            </a:graphic>
          </wp:inline>
        </w:drawing>
      </w:r>
    </w:p>
    <w:p>
      <w:pPr>
        <w:spacing w:before="0" w:after="120" w:line="269" w:lineRule="auto"/>
        <w:jc w:val="center"/>
      </w:pPr>
      <w:r>
        <w:rPr>
          <w:rFonts w:ascii="Calibri" w:hAnsi="Calibri"/>
          <w:b w:val="0"/>
          <w:i/>
          <w:color w:val="576370"/>
          <w:sz w:val="19"/>
        </w:rPr>
        <w:t>Figure 3. Same structure as the markdown diagram: reusable talent pool flow.</w:t>
      </w:r>
    </w:p>
    <w:p>
      <w:pPr>
        <w:spacing w:before="320" w:after="120"/>
      </w:pPr>
      <w:r>
        <w:rPr>
          <w:rFonts w:ascii="Calibri" w:hAnsi="Calibri"/>
          <w:b/>
          <w:i w:val="0"/>
          <w:color w:val="2E74B5"/>
          <w:sz w:val="30"/>
        </w:rPr>
        <w:t>5. Candidate Freshness / Periodic Update Flow</w:t>
      </w:r>
    </w:p>
    <w:p>
      <w:pPr>
        <w:spacing w:before="0" w:after="120" w:line="269" w:lineRule="auto"/>
      </w:pPr>
      <w:r>
        <w:rPr>
          <w:rFonts w:ascii="Calibri" w:hAnsi="Calibri"/>
          <w:b w:val="0"/>
          <w:i w:val="0"/>
          <w:color w:val="1F2937"/>
          <w:sz w:val="22"/>
        </w:rPr>
        <w:t>This flow explains the periodic update concept. If a candidate appears again after some time with new skills, projects, certifications, or experience, HireX updates the existing profile instead of creating duplicate records.</w:t>
      </w:r>
    </w:p>
    <w:p>
      <w:pPr>
        <w:jc w:val="center"/>
      </w:pPr>
      <w:r>
        <w:drawing>
          <wp:inline xmlns:a="http://schemas.openxmlformats.org/drawingml/2006/main" xmlns:pic="http://schemas.openxmlformats.org/drawingml/2006/picture">
            <wp:extent cx="5715000" cy="5286375"/>
            <wp:docPr id="4" name="Picture 4"/>
            <wp:cNvGraphicFramePr>
              <a:graphicFrameLocks noChangeAspect="1"/>
            </wp:cNvGraphicFramePr>
            <a:graphic>
              <a:graphicData uri="http://schemas.openxmlformats.org/drawingml/2006/picture">
                <pic:pic>
                  <pic:nvPicPr>
                    <pic:cNvPr id="0" name="04_freshness_exact_structure.png"/>
                    <pic:cNvPicPr/>
                  </pic:nvPicPr>
                  <pic:blipFill>
                    <a:blip r:embed="rId13"/>
                    <a:stretch>
                      <a:fillRect/>
                    </a:stretch>
                  </pic:blipFill>
                  <pic:spPr>
                    <a:xfrm>
                      <a:off x="0" y="0"/>
                      <a:ext cx="5715000" cy="5286375"/>
                    </a:xfrm>
                    <a:prstGeom prst="rect"/>
                  </pic:spPr>
                </pic:pic>
              </a:graphicData>
            </a:graphic>
          </wp:inline>
        </w:drawing>
      </w:r>
    </w:p>
    <w:p>
      <w:pPr>
        <w:spacing w:before="0" w:after="120" w:line="269" w:lineRule="auto"/>
        <w:jc w:val="center"/>
      </w:pPr>
      <w:r>
        <w:rPr>
          <w:rFonts w:ascii="Calibri" w:hAnsi="Calibri"/>
          <w:b w:val="0"/>
          <w:i/>
          <w:color w:val="576370"/>
          <w:sz w:val="19"/>
        </w:rPr>
        <w:t>Figure 4. Same structure as the markdown diagram: candidate freshness and refresh flow.</w:t>
      </w:r>
    </w:p>
    <w:p>
      <w:pPr>
        <w:spacing w:before="320" w:after="120"/>
      </w:pPr>
      <w:r>
        <w:rPr>
          <w:rFonts w:ascii="Calibri" w:hAnsi="Calibri"/>
          <w:b/>
          <w:i w:val="0"/>
          <w:color w:val="8E6812"/>
          <w:sz w:val="30"/>
        </w:rPr>
        <w:t>6. HR Review Flow for Middle Threshold Candidates</w:t>
      </w:r>
    </w:p>
    <w:p>
      <w:pPr>
        <w:spacing w:before="0" w:after="120" w:line="269" w:lineRule="auto"/>
      </w:pPr>
      <w:r>
        <w:rPr>
          <w:rFonts w:ascii="Calibri" w:hAnsi="Calibri"/>
          <w:b w:val="0"/>
          <w:i w:val="0"/>
          <w:color w:val="1F2937"/>
          <w:sz w:val="22"/>
        </w:rPr>
        <w:t>In HireX, HR action is required only for candidates in the middle review band. Candidates above the pass threshold are automatically shortlisted for R1, and candidates below the review threshold are automatically rejected for that role.</w:t>
      </w:r>
    </w:p>
    <w:p>
      <w:pPr>
        <w:jc w:val="center"/>
      </w:pPr>
      <w:r>
        <w:drawing>
          <wp:inline xmlns:a="http://schemas.openxmlformats.org/drawingml/2006/main" xmlns:pic="http://schemas.openxmlformats.org/drawingml/2006/picture">
            <wp:extent cx="5715000" cy="4429125"/>
            <wp:docPr id="5" name="Picture 5"/>
            <wp:cNvGraphicFramePr>
              <a:graphicFrameLocks noChangeAspect="1"/>
            </wp:cNvGraphicFramePr>
            <a:graphic>
              <a:graphicData uri="http://schemas.openxmlformats.org/drawingml/2006/picture">
                <pic:pic>
                  <pic:nvPicPr>
                    <pic:cNvPr id="0" name="05_hr_review_exact_structure.png"/>
                    <pic:cNvPicPr/>
                  </pic:nvPicPr>
                  <pic:blipFill>
                    <a:blip r:embed="rId14"/>
                    <a:stretch>
                      <a:fillRect/>
                    </a:stretch>
                  </pic:blipFill>
                  <pic:spPr>
                    <a:xfrm>
                      <a:off x="0" y="0"/>
                      <a:ext cx="5715000" cy="4429125"/>
                    </a:xfrm>
                    <a:prstGeom prst="rect"/>
                  </pic:spPr>
                </pic:pic>
              </a:graphicData>
            </a:graphic>
          </wp:inline>
        </w:drawing>
      </w:r>
    </w:p>
    <w:p>
      <w:pPr>
        <w:spacing w:before="0" w:after="120" w:line="269" w:lineRule="auto"/>
        <w:jc w:val="center"/>
      </w:pPr>
      <w:r>
        <w:rPr>
          <w:rFonts w:ascii="Calibri" w:hAnsi="Calibri"/>
          <w:b w:val="0"/>
          <w:i/>
          <w:color w:val="576370"/>
          <w:sz w:val="19"/>
        </w:rPr>
        <w:t>Figure 5. Same structure as the markdown diagram: HR review flow.</w:t>
      </w:r>
    </w:p>
    <w:p>
      <w:pPr>
        <w:spacing w:before="320" w:after="120"/>
      </w:pPr>
      <w:r>
        <w:rPr>
          <w:rFonts w:ascii="Calibri" w:hAnsi="Calibri"/>
          <w:b/>
          <w:i w:val="0"/>
          <w:color w:val="684FA3"/>
          <w:sz w:val="30"/>
        </w:rPr>
        <w:t>7. Data Storage and Audit Flow</w:t>
      </w:r>
    </w:p>
    <w:p>
      <w:pPr>
        <w:spacing w:before="0" w:after="120" w:line="269" w:lineRule="auto"/>
      </w:pPr>
      <w:r>
        <w:rPr>
          <w:rFonts w:ascii="Calibri" w:hAnsi="Calibri"/>
          <w:b w:val="0"/>
          <w:i w:val="0"/>
          <w:color w:val="1F2937"/>
          <w:sz w:val="22"/>
        </w:rPr>
        <w:t>This diagram shows how the main data is stored. The goal is to keep one master candidate record and connect it to multiple jobs, batches, validator results, and HR decisions.</w:t>
      </w:r>
    </w:p>
    <w:p>
      <w:pPr>
        <w:jc w:val="center"/>
      </w:pPr>
      <w:r>
        <w:drawing>
          <wp:inline xmlns:a="http://schemas.openxmlformats.org/drawingml/2006/main" xmlns:pic="http://schemas.openxmlformats.org/drawingml/2006/picture">
            <wp:extent cx="5715000" cy="4107656"/>
            <wp:docPr id="6" name="Picture 6"/>
            <wp:cNvGraphicFramePr>
              <a:graphicFrameLocks noChangeAspect="1"/>
            </wp:cNvGraphicFramePr>
            <a:graphic>
              <a:graphicData uri="http://schemas.openxmlformats.org/drawingml/2006/picture">
                <pic:pic>
                  <pic:nvPicPr>
                    <pic:cNvPr id="0" name="06_data_storage_exact_structure.png"/>
                    <pic:cNvPicPr/>
                  </pic:nvPicPr>
                  <pic:blipFill>
                    <a:blip r:embed="rId15"/>
                    <a:stretch>
                      <a:fillRect/>
                    </a:stretch>
                  </pic:blipFill>
                  <pic:spPr>
                    <a:xfrm>
                      <a:off x="0" y="0"/>
                      <a:ext cx="5715000" cy="4107656"/>
                    </a:xfrm>
                    <a:prstGeom prst="rect"/>
                  </pic:spPr>
                </pic:pic>
              </a:graphicData>
            </a:graphic>
          </wp:inline>
        </w:drawing>
      </w:r>
    </w:p>
    <w:p>
      <w:pPr>
        <w:spacing w:before="0" w:after="120" w:line="269" w:lineRule="auto"/>
        <w:jc w:val="center"/>
      </w:pPr>
      <w:r>
        <w:rPr>
          <w:rFonts w:ascii="Calibri" w:hAnsi="Calibri"/>
          <w:b w:val="0"/>
          <w:i/>
          <w:color w:val="576370"/>
          <w:sz w:val="19"/>
        </w:rPr>
        <w:t>Figure 6. Same structure as the markdown diagram: data storage and audit model.</w:t>
      </w:r>
    </w:p>
    <w:p>
      <w:pPr>
        <w:spacing w:before="320" w:after="120"/>
      </w:pPr>
      <w:r>
        <w:rPr>
          <w:rFonts w:ascii="Calibri" w:hAnsi="Calibri"/>
          <w:b/>
          <w:i w:val="0"/>
          <w:color w:val="1F8981"/>
          <w:sz w:val="30"/>
        </w:rPr>
        <w:t>8. What Is Implemented vs Future</w:t>
      </w:r>
    </w:p>
    <w:p>
      <w:pPr>
        <w:spacing w:before="0" w:after="120" w:line="269" w:lineRule="auto"/>
      </w:pPr>
      <w:r>
        <w:rPr>
          <w:rFonts w:ascii="Calibri" w:hAnsi="Calibri"/>
          <w:b/>
          <w:i w:val="0"/>
          <w:color w:val="2D7D4E"/>
          <w:sz w:val="25"/>
        </w:rPr>
        <w:t>Implemented Now</w:t>
      </w:r>
    </w:p>
    <w:p>
      <w:pPr>
        <w:pStyle w:val="ListBullet"/>
        <w:spacing w:after="80"/>
      </w:pPr>
      <w:r>
        <w:rPr>
          <w:rFonts w:ascii="Calibri" w:hAnsi="Calibri"/>
          <w:b w:val="0"/>
          <w:i w:val="0"/>
          <w:color w:val="1F2937"/>
          <w:sz w:val="21"/>
        </w:rPr>
        <w:t>Candidate pool intake from Excel/source files.</w:t>
      </w:r>
    </w:p>
    <w:p>
      <w:pPr>
        <w:pStyle w:val="ListBullet"/>
        <w:spacing w:after="80"/>
      </w:pPr>
      <w:r>
        <w:rPr>
          <w:rFonts w:ascii="Calibri" w:hAnsi="Calibri"/>
          <w:b w:val="0"/>
          <w:i w:val="0"/>
          <w:color w:val="1F2937"/>
          <w:sz w:val="21"/>
        </w:rPr>
        <w:t>Job requirement selection and active/draft/inactive handling.</w:t>
      </w:r>
    </w:p>
    <w:p>
      <w:pPr>
        <w:pStyle w:val="ListBullet"/>
        <w:spacing w:after="80"/>
      </w:pPr>
      <w:r>
        <w:rPr>
          <w:rFonts w:ascii="Calibri" w:hAnsi="Calibri"/>
          <w:b w:val="0"/>
          <w:i w:val="0"/>
          <w:color w:val="1F2937"/>
          <w:sz w:val="21"/>
        </w:rPr>
        <w:t>Candidate deduplication and identity matching.</w:t>
      </w:r>
    </w:p>
    <w:p>
      <w:pPr>
        <w:pStyle w:val="ListBullet"/>
        <w:spacing w:after="80"/>
      </w:pPr>
      <w:r>
        <w:rPr>
          <w:rFonts w:ascii="Calibri" w:hAnsi="Calibri"/>
          <w:b w:val="0"/>
          <w:i w:val="0"/>
          <w:color w:val="1F2937"/>
          <w:sz w:val="21"/>
        </w:rPr>
        <w:t>Pre-screen validator with PASS, REVIEW, FAIL outcomes.</w:t>
      </w:r>
    </w:p>
    <w:p>
      <w:pPr>
        <w:pStyle w:val="ListBullet"/>
        <w:spacing w:after="80"/>
      </w:pPr>
      <w:r>
        <w:rPr>
          <w:rFonts w:ascii="Calibri" w:hAnsi="Calibri"/>
          <w:b w:val="0"/>
          <w:i w:val="0"/>
          <w:color w:val="1F2937"/>
          <w:sz w:val="21"/>
        </w:rPr>
        <w:t>Batch-based execution and dashboard filtering.</w:t>
      </w:r>
    </w:p>
    <w:p>
      <w:pPr>
        <w:pStyle w:val="ListBullet"/>
        <w:spacing w:after="80"/>
      </w:pPr>
      <w:r>
        <w:rPr>
          <w:rFonts w:ascii="Calibri" w:hAnsi="Calibri"/>
          <w:b w:val="0"/>
          <w:i w:val="0"/>
          <w:color w:val="1F2937"/>
          <w:sz w:val="21"/>
        </w:rPr>
        <w:t>PostgreSQL storage for candidate, job, application, resume, parsed resume, validator result, batch, HR decision, and timeline data.</w:t>
      </w:r>
    </w:p>
    <w:p>
      <w:pPr>
        <w:pStyle w:val="ListBullet"/>
        <w:spacing w:after="80"/>
      </w:pPr>
      <w:r>
        <w:rPr>
          <w:rFonts w:ascii="Calibri" w:hAnsi="Calibri"/>
          <w:b w:val="0"/>
          <w:i w:val="0"/>
          <w:color w:val="1F2937"/>
          <w:sz w:val="21"/>
        </w:rPr>
        <w:t>Reusable talent pool for rejected/available candidates.</w:t>
      </w:r>
    </w:p>
    <w:p>
      <w:pPr>
        <w:pStyle w:val="ListBullet"/>
        <w:spacing w:after="80"/>
      </w:pPr>
      <w:r>
        <w:rPr>
          <w:rFonts w:ascii="Calibri" w:hAnsi="Calibri"/>
          <w:b w:val="0"/>
          <w:i w:val="0"/>
          <w:color w:val="1F2937"/>
          <w:sz w:val="21"/>
        </w:rPr>
        <w:t>Profile freshness and refresh change tracking.</w:t>
      </w:r>
    </w:p>
    <w:p>
      <w:pPr>
        <w:pStyle w:val="ListBullet"/>
        <w:spacing w:after="80"/>
      </w:pPr>
      <w:r>
        <w:rPr>
          <w:rFonts w:ascii="Calibri" w:hAnsi="Calibri"/>
          <w:b w:val="0"/>
          <w:i w:val="0"/>
          <w:color w:val="1F2937"/>
          <w:sz w:val="21"/>
        </w:rPr>
        <w:t>Reason bank and structured rejection reasons.</w:t>
      </w:r>
    </w:p>
    <w:p>
      <w:pPr>
        <w:pStyle w:val="ListBullet"/>
        <w:spacing w:after="80"/>
      </w:pPr>
      <w:r>
        <w:rPr>
          <w:rFonts w:ascii="Calibri" w:hAnsi="Calibri"/>
          <w:b w:val="0"/>
          <w:i w:val="0"/>
          <w:color w:val="1F2937"/>
          <w:sz w:val="21"/>
        </w:rPr>
        <w:t>Validator versioning and scoring metadata.</w:t>
      </w:r>
    </w:p>
    <w:p>
      <w:pPr>
        <w:pStyle w:val="ListBullet"/>
        <w:spacing w:after="80"/>
      </w:pPr>
      <w:r>
        <w:rPr>
          <w:rFonts w:ascii="Calibri" w:hAnsi="Calibri"/>
          <w:b w:val="0"/>
          <w:i w:val="0"/>
          <w:color w:val="1F2937"/>
          <w:sz w:val="21"/>
        </w:rPr>
        <w:t>HR operations dashboard for candidate evidence and decisions.</w:t>
      </w:r>
    </w:p>
    <w:p>
      <w:pPr>
        <w:spacing w:before="0" w:after="120" w:line="269" w:lineRule="auto"/>
      </w:pPr>
      <w:r>
        <w:rPr>
          <w:rFonts w:ascii="Calibri" w:hAnsi="Calibri"/>
          <w:b/>
          <w:i w:val="0"/>
          <w:color w:val="2E74B5"/>
          <w:sz w:val="25"/>
        </w:rPr>
        <w:t>Planned Next</w:t>
      </w:r>
    </w:p>
    <w:p>
      <w:pPr>
        <w:pStyle w:val="ListBullet"/>
        <w:spacing w:after="80"/>
      </w:pPr>
      <w:r>
        <w:rPr>
          <w:rFonts w:ascii="Calibri" w:hAnsi="Calibri"/>
          <w:b w:val="0"/>
          <w:i w:val="0"/>
          <w:color w:val="1F2937"/>
          <w:sz w:val="21"/>
        </w:rPr>
        <w:t>Real sourcing integrations from LinkedIn, Naukri, Indeed, Internshala, and company portals.</w:t>
      </w:r>
    </w:p>
    <w:p>
      <w:pPr>
        <w:pStyle w:val="ListBullet"/>
        <w:spacing w:after="80"/>
      </w:pPr>
      <w:r>
        <w:rPr>
          <w:rFonts w:ascii="Calibri" w:hAnsi="Calibri"/>
          <w:b w:val="0"/>
          <w:i w:val="0"/>
          <w:color w:val="1F2937"/>
          <w:sz w:val="21"/>
        </w:rPr>
        <w:t>R1 screening and behavioral agent.</w:t>
      </w:r>
    </w:p>
    <w:p>
      <w:pPr>
        <w:pStyle w:val="ListBullet"/>
        <w:spacing w:after="80"/>
      </w:pPr>
      <w:r>
        <w:rPr>
          <w:rFonts w:ascii="Calibri" w:hAnsi="Calibri"/>
          <w:b w:val="0"/>
          <w:i w:val="0"/>
          <w:color w:val="1F2937"/>
          <w:sz w:val="21"/>
        </w:rPr>
        <w:t>R1 dashboard with transcript, strengths, weaknesses, and go/no-go signal.</w:t>
      </w:r>
    </w:p>
    <w:p>
      <w:pPr>
        <w:pStyle w:val="ListBullet"/>
        <w:spacing w:after="80"/>
      </w:pPr>
      <w:r>
        <w:rPr>
          <w:rFonts w:ascii="Calibri" w:hAnsi="Calibri"/>
          <w:b w:val="0"/>
          <w:i w:val="0"/>
          <w:color w:val="1F2937"/>
          <w:sz w:val="21"/>
        </w:rPr>
        <w:t>T1 technical and adaptive agent.</w:t>
      </w:r>
    </w:p>
    <w:p>
      <w:pPr>
        <w:pStyle w:val="ListBullet"/>
        <w:spacing w:after="80"/>
      </w:pPr>
      <w:r>
        <w:rPr>
          <w:rFonts w:ascii="Calibri" w:hAnsi="Calibri"/>
          <w:b w:val="0"/>
          <w:i w:val="0"/>
          <w:color w:val="1F2937"/>
          <w:sz w:val="21"/>
        </w:rPr>
        <w:t>T1 dashboard with technical score, skill coverage, and question analysis.</w:t>
      </w:r>
    </w:p>
    <w:p>
      <w:pPr>
        <w:pStyle w:val="ListBullet"/>
        <w:spacing w:after="80"/>
      </w:pPr>
      <w:r>
        <w:rPr>
          <w:rFonts w:ascii="Calibri" w:hAnsi="Calibri"/>
          <w:b w:val="0"/>
          <w:i w:val="0"/>
          <w:color w:val="1F2937"/>
          <w:sz w:val="21"/>
        </w:rPr>
        <w:t>T2 advanced technical and adaptive agent.</w:t>
      </w:r>
    </w:p>
    <w:p>
      <w:pPr>
        <w:pStyle w:val="ListBullet"/>
        <w:spacing w:after="80"/>
      </w:pPr>
      <w:r>
        <w:rPr>
          <w:rFonts w:ascii="Calibri" w:hAnsi="Calibri"/>
          <w:b w:val="0"/>
          <w:i w:val="0"/>
          <w:color w:val="1F2937"/>
          <w:sz w:val="21"/>
        </w:rPr>
        <w:t>D1 passive integrity monitor for tab switch, copy-paste, face presence, multiple people, mic/audio, and screen/window anomalies.</w:t>
      </w:r>
    </w:p>
    <w:p>
      <w:pPr>
        <w:pStyle w:val="ListBullet"/>
        <w:spacing w:after="80"/>
      </w:pPr>
      <w:r>
        <w:rPr>
          <w:rFonts w:ascii="Calibri" w:hAnsi="Calibri"/>
          <w:b w:val="0"/>
          <w:i w:val="0"/>
          <w:color w:val="1F2937"/>
          <w:sz w:val="21"/>
        </w:rPr>
        <w:t>M1 master intelligence engine for capacity prediction, T2 necessity prediction, hiring forecast, knowledge graph, and interview question ROI.</w:t>
      </w:r>
    </w:p>
    <w:p>
      <w:pPr>
        <w:pStyle w:val="ListBullet"/>
        <w:spacing w:after="80"/>
      </w:pPr>
      <w:r>
        <w:rPr>
          <w:rFonts w:ascii="Calibri" w:hAnsi="Calibri"/>
          <w:b w:val="0"/>
          <w:i w:val="0"/>
          <w:color w:val="1F2937"/>
          <w:sz w:val="21"/>
        </w:rPr>
        <w:t>HR co-pilot for candidate summary, red flags, recommendation, and final questions.</w:t>
      </w:r>
    </w:p>
    <w:p>
      <w:pPr>
        <w:pStyle w:val="ListBullet"/>
        <w:spacing w:after="80"/>
      </w:pPr>
      <w:r>
        <w:rPr>
          <w:rFonts w:ascii="Calibri" w:hAnsi="Calibri"/>
          <w:b w:val="0"/>
          <w:i w:val="0"/>
          <w:color w:val="1F2937"/>
          <w:sz w:val="21"/>
        </w:rPr>
        <w:t>Candidate, recruiter, HR, and admin dashboards for full workflow coverage.</w:t>
      </w:r>
    </w:p>
    <w:p>
      <w:pPr>
        <w:spacing w:before="320" w:after="120"/>
      </w:pPr>
      <w:r>
        <w:rPr>
          <w:rFonts w:ascii="Calibri" w:hAnsi="Calibri"/>
          <w:b/>
          <w:i w:val="0"/>
          <w:color w:val="2E74B5"/>
          <w:sz w:val="30"/>
        </w:rPr>
        <w:t>9. Summary</w:t>
      </w:r>
    </w:p>
    <w:p>
      <w:pPr>
        <w:spacing w:before="0" w:after="120" w:line="269" w:lineRule="auto"/>
      </w:pPr>
      <w:r>
        <w:rPr>
          <w:rFonts w:ascii="Calibri" w:hAnsi="Calibri"/>
          <w:b w:val="0"/>
          <w:i w:val="0"/>
          <w:color w:val="1F2937"/>
          <w:sz w:val="22"/>
        </w:rPr>
        <w:t>The current implemented HireX workflow covers candidate intake, validation, batch tracking, reusable pool storage, HR review, and audit-ready scoring. The planned full architecture extends this foundation into AI-based interviews, technical assessment, behavioral screening, integrity monitoring, intelligence dashboards, and HR co-pilot support. This phased approach allows the team to start with a strong validator and data foundation, then add R1, T1, T2, HR gates, D1, M1, and co-pilot features without changing the core candidate database design.</w:t>
      </w:r>
    </w:p>
    <w:sectPr w:rsidR="00FC693F" w:rsidRPr="0006063C" w:rsidSect="00034616">
      <w:head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76370"/>
        <w:sz w:val="18"/>
      </w:rPr>
      <w:t>HireX - Workflow and Architecture Diagrams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