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B15  Estate Distribution — Beneficiary of a US Estate (Executor Without an Estate EIN)</w:t>
      </w:r>
    </w:p>
    <w:p>
      <w:r>
        <w:t>Read this guide before uploading. Your case-specific portal checklist identifies the applicable evidence; your CAA confirms the application basis.</w:t>
      </w:r>
    </w:p>
    <w:p>
      <w:pPr>
        <w:pStyle w:val="Heading1"/>
      </w:pPr>
      <w:r>
        <w:t>Step 1 Your category</w:t>
      </w:r>
    </w:p>
    <w:p>
      <w:r>
        <w:t>Who this is for: You are a beneficiary of a US estate, and the executor/administrator needs your ITIN, but the estate has not (yet) obtained its own EIN.</w:t>
      </w:r>
    </w:p>
    <w:p>
      <w:r>
        <w:t>Application basis: Exception 1(d) — Distribution from a US estate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executor/administrator on their letterhead (see sample). A personal letterhead with name, US address and contact details is acceptable.</w:t>
      </w:r>
    </w:p>
    <w:p>
      <w:r>
        <w:rPr>
          <w:b/>
        </w:rPr>
        <w:t>MANDATORY</w:t>
      </w:r>
      <w:r>
        <w:t xml:space="preserve">  Copy of the Letters Testamentary / Letters of Administration appointing the executor.</w:t>
      </w:r>
    </w:p>
    <w:p>
      <w:r>
        <w:rPr>
          <w:b/>
        </w:rPr>
        <w:t>OPTIONAL</w:t>
      </w:r>
      <w:r>
        <w:t xml:space="preserve">  Copy of the will (relevant pages) or court order of distribution naming you.</w:t>
      </w:r>
    </w:p>
    <w:p>
      <w:r>
        <w:rPr>
          <w:b/>
        </w:rPr>
        <w:t>OPTIONAL</w:t>
      </w:r>
      <w:r>
        <w:t xml:space="preserve">  Copy of the death certificate.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The executor/administrator (or the estate's attorney).</w:t>
      </w:r>
    </w:p>
    <w:p>
      <w:r>
        <w:t>Tip: upload a scan of the draft letter to the client portal (using your private case) first. We will check it before it is signed and posted, so it only has to be signed once.</w:t>
      </w:r>
    </w:p>
    <w:p>
      <w:pPr>
        <w:pStyle w:val="Heading2"/>
      </w:pPr>
      <w:r>
        <w:t>Important notes</w:t>
      </w:r>
    </w:p>
    <w:p>
      <w:r>
        <w:t>We strongly recommend that the estate obtains its own EIN (Form SS-4) — an estate that distributes income generally needs one to file Form 1041 and Form 1042-S. A letter that quotes the estate's EIN (see the "with EIN" version) is stronger evidence for the IRS.</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