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D2  Buying a US Property — Letter from Realtor, Escrow, Title Company or Attorney</w:t>
      </w:r>
    </w:p>
    <w:p>
      <w:r>
        <w:t>Read this guide before uploading. Your case-specific portal checklist identifies the applicable evidence; your CAA confirms the application basis.</w:t>
      </w:r>
    </w:p>
    <w:p>
      <w:pPr>
        <w:pStyle w:val="Heading1"/>
      </w:pPr>
      <w:r>
        <w:t>Step 1 Your category</w:t>
      </w:r>
    </w:p>
    <w:p>
      <w:r>
        <w:t>Who this is for: You are buying a US property and the realtor, escrow agent, title company or attorney handling the purchase can confirm the transaction. On its own, buying a property is not an IRS exception, so this letter is sent together with the mortgage evidence (category D1) or the rental arrangement (category B8/B9).</w:t>
      </w:r>
    </w:p>
    <w:p>
      <w:r>
        <w:t>Application basis: Supporting letter — used with Exception 3 (mortgage) or Exception 1(d) (rental) evidence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realtor / escrow / title company / attorney on official letterhead (see sample).</w:t>
      </w:r>
    </w:p>
    <w:p>
      <w:r>
        <w:rPr>
          <w:b/>
        </w:rPr>
        <w:t>MANDATORY</w:t>
      </w:r>
      <w:r>
        <w:t xml:space="preserve">  Signed purchase contract for the property.</w:t>
      </w:r>
    </w:p>
    <w:p>
      <w:r>
        <w:rPr>
          <w:b/>
        </w:rPr>
        <w:t>MANDATORY</w:t>
      </w:r>
      <w:r>
        <w:t xml:space="preserve">  (choose one) mortgage loan documents from the US lender (Exception 3) OR a signed property management / lease agreement showing the property will be rented (Exception 1(d)).</w:t>
      </w:r>
    </w:p>
    <w:p>
      <w:r>
        <w:rPr>
          <w:b/>
        </w:rPr>
        <w:t>OPTIONAL</w:t>
      </w:r>
      <w:r>
        <w:t xml:space="preserve">  Closing Disclosure / settlement statement once available.</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"Supporting letter".</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realtor, escrow agent, title company or the attorney handling the purchase.</w:t>
      </w:r>
    </w:p>
    <w:p>
      <w:r>
        <w:t>Tip: upload a scan of the draft letter to the client portal (using your private case) first. We will check it before it is signed and posted, so it only has to be signed once.</w:t>
      </w:r>
    </w:p>
    <w:p>
      <w:pPr>
        <w:pStyle w:val="Heading2"/>
      </w:pPr>
      <w:r>
        <w:t>Important notes</w:t>
      </w:r>
    </w:p>
    <w:p>
      <w:r>
        <w:t>The IRS issues ITINs for a reporting or tax-filing need, not for the purchase itself. Without mortgage or rental evidence the application is likely to be rejected — we will confirm the right route before you collect the letter.</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