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FSP237 × S1 — Pathway-Level Analysis</w:t>
      </w:r>
    </w:p>
    <w:p>
      <w:r>
        <w:rPr>
          <w:b/>
        </w:rPr>
        <w:t>Model</w:t>
      </w:r>
      <w:r>
        <w:t>: FSP237 V10 GEM (1622 reactions, 1268 metabolites, 1274 genes).</w:t>
      </w:r>
    </w:p>
    <w:p>
      <w:r>
        <w:rPr>
          <w:b/>
        </w:rPr>
        <w:t>Expression</w:t>
      </w:r>
      <w:r>
        <w:t xml:space="preserve">: S1 biological group, 3 replicates, </w:t>
      </w:r>
      <w:r>
        <w:rPr>
          <w:rFonts w:ascii="Consolas" w:hAnsi="Consolas"/>
          <w:color w:val="9E1818"/>
          <w:sz w:val="18"/>
        </w:rPr>
        <w:t>log2(TPM+1)</w:t>
      </w:r>
      <w:r>
        <w:t>.</w:t>
      </w:r>
    </w:p>
    <w:p>
      <w:r>
        <w:rPr>
          <w:b/>
        </w:rPr>
        <w:t>Reporting date</w:t>
      </w:r>
      <w:r>
        <w:t>: July 2026.</w:t>
      </w:r>
    </w:p>
    <w:p>
      <w:pPr>
        <w:pStyle w:val="Heading2"/>
      </w:pPr>
      <w:r>
        <w:t>Executive summary</w:t>
      </w:r>
    </w:p>
    <w:p>
      <w:r>
        <w:t xml:space="preserve">The S1 transcriptome exhibits a canonical </w:t>
      </w:r>
      <w:r>
        <w:rPr>
          <w:b/>
        </w:rPr>
        <w:t>sugar-utilization</w:t>
      </w:r>
      <w:r>
        <w:t xml:space="preserve"> metabolic</w:t>
      </w:r>
    </w:p>
    <w:p>
      <w:r>
        <w:t>program: glycolysis, TCA, pentose phosphate, and fatty-acid biosynthesis are</w:t>
      </w:r>
    </w:p>
    <w:p>
      <w:r>
        <w:t>all significantly enriched for highly-expressed reactions (Fisher's exact,</w:t>
      </w:r>
    </w:p>
    <w:p>
      <w:r>
        <w:t>BH-adjusted q ≤ 0.004). This matches the hypothesis that S1 was recovered</w:t>
      </w:r>
    </w:p>
    <w:p>
      <w:r>
        <w:t>from a glucose-minimal-medium-like state — an independent, orthogonal</w:t>
      </w:r>
    </w:p>
    <w:p>
      <w:r>
        <w:t>confirmation of the Spearman-ρ ranking already surfaced on the RNA-seq tab</w:t>
      </w:r>
    </w:p>
    <w:p>
      <w:r>
        <w:t xml:space="preserve">(top-2 = </w:t>
      </w:r>
      <w:r>
        <w:rPr>
          <w:rFonts w:ascii="Consolas" w:hAnsi="Consolas"/>
          <w:color w:val="9E1818"/>
          <w:sz w:val="18"/>
        </w:rPr>
        <w:t>07_sucrose_low</w:t>
      </w:r>
      <w:r>
        <w:t xml:space="preserve"> and </w:t>
      </w:r>
      <w:r>
        <w:rPr>
          <w:rFonts w:ascii="Consolas" w:hAnsi="Consolas"/>
          <w:color w:val="9E1818"/>
          <w:sz w:val="18"/>
        </w:rPr>
        <w:t>06_glucose_low</w:t>
      </w:r>
      <w:r>
        <w:t>).</w:t>
      </w:r>
    </w:p>
    <w:p>
      <w:r>
        <w:t>Reporter-metabolite analysis (Patil-Nielsen 2005) surfaces mitochondrial</w:t>
      </w:r>
    </w:p>
    <w:p>
      <w:r>
        <w:t>protons, NAD/NADH, thioredoxin, glyceraldehyde-3-phosphate, and malonyl-CoA</w:t>
      </w:r>
    </w:p>
    <w:p>
      <w:r>
        <w:t>as the top nodes whose neighbouring reactions are transcriptionally</w:t>
      </w:r>
    </w:p>
    <w:p>
      <w:r>
        <w:t>activated — again all central-carbon + redox nodes, consistent with active</w:t>
      </w:r>
    </w:p>
    <w:p>
      <w:r>
        <w:t>respiratory metabolism.</w:t>
      </w:r>
    </w:p>
    <w:p>
      <w:pPr>
        <w:pStyle w:val="Heading2"/>
      </w:pPr>
      <w:r>
        <w:t>Pathway classification — 20+ heuristic buckets</w:t>
      </w:r>
    </w:p>
    <w:p>
      <w:r>
        <w:rPr>
          <w:rFonts w:ascii="Consolas" w:hAnsi="Consolas"/>
          <w:color w:val="9E1818"/>
          <w:sz w:val="18"/>
        </w:rPr>
        <w:t>reaction.subsystem</w:t>
      </w:r>
      <w:r>
        <w:t xml:space="preserve"> is populated for only 55 of 1622 reactions (the</w:t>
      </w:r>
    </w:p>
    <w:p>
      <w:r>
        <w:t>gap-filled specialty pathways). We impose a rule-based classifier</w:t>
      </w:r>
    </w:p>
    <w:p>
      <w:r>
        <w:t>(</w:t>
      </w:r>
      <w:r>
        <w:rPr>
          <w:rFonts w:ascii="Consolas" w:hAnsi="Consolas"/>
          <w:color w:val="9E1818"/>
          <w:sz w:val="18"/>
        </w:rPr>
        <w:t>src/stage5_pathway_analysis.py::classify_pathway</w:t>
      </w:r>
      <w:r>
        <w:t>) that cascades:</w:t>
      </w:r>
    </w:p>
    <w:p>
      <w:r>
        <w:t>subsystem → id-prefix → metabolite pattern → compartment → fallback.</w:t>
      </w:r>
    </w:p>
    <w:p>
      <w:r>
        <w:t xml:space="preserve">Full per-reaction assignments in </w:t>
      </w:r>
      <w:r>
        <w:rPr>
          <w:rFonts w:ascii="Consolas" w:hAnsi="Consolas"/>
          <w:color w:val="9E1818"/>
          <w:sz w:val="18"/>
        </w:rPr>
        <w:t>outputs/pathway_assignment.tsv</w:t>
      </w:r>
      <w:r>
        <w:t>.</w:t>
      </w:r>
    </w:p>
    <w:p>
      <w:r>
        <w:t>Bucket counts on V10: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bucket</w:t>
            </w:r>
          </w:p>
        </w:tc>
        <w:tc>
          <w:tcPr>
            <w:tcW w:type="dxa" w:w="34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 reactions</w:t>
            </w:r>
          </w:p>
        </w:tc>
        <w:tc>
          <w:tcPr>
            <w:tcW w:type="dxa" w:w="34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Other / unassigned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576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mostly generic cofactor + shuttle rxns without a diagnostic metabolite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Transport (inter-compartmental)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256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TRP_*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E1818"/>
                <w:sz w:val="17"/>
              </w:rPr>
              <w:t>tx_*</w:t>
            </w:r>
            <w:r>
              <w:rPr>
                <w:sz w:val="17"/>
              </w:rPr>
              <w:t>, or "transporter" in name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Exchange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170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EX_*</w:t>
            </w:r>
            <w:r>
              <w:rPr>
                <w:sz w:val="17"/>
              </w:rPr>
              <w:t xml:space="preserve"> boundary reactions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Amino-acid metabolism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162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reactions touching any of the 20 proteinogenic AAs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Cofactor / vitamin biosynthesis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117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NAD/CoA/FMN/thiamin/folate/biotin/riboflavin/pantothenate/pyridoxal name match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Glycolysis / gluconeogenesis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58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15 diagnostic metabolites (G6P, F6P, FBP, DHAP, GAP, PEP, pyruvate…)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β-oxidation (peroxisomal)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54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subsystem starts "beta-oxidation" OR peroxisomal + acyl-CoA name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Fatty-acid biosynthesis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38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malonyl-CoA / ACP / long-FA metabolites in non-peroxisomal comps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Lipid / membrane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35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phosphatidyl-, ergosterol, sphingolipids, cardiolipin, lanosterol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TCA cycle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34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≥ 1 TCA-diagnostic metabolite (citrate, α-KG, succinate, fumarate, malate, OAA, succinyl-CoA)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Oxidative phosphorylation / ETC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24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H⁺ moving between mitochondria + cytosol, or O₂ + H⁺ in mitochondria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Nucleotide metabolism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21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NTP substrate + nucleobase companion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Pentose phosphate pathway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20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6PGL, 6PG, Ru5P, Xu5P, R5P, S7P, E4P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Cell-wall polysaccharide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18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chitin, α-1,3-glucan, β-1,3-glucan, mannan, UDP-GlcNAc, UDP-glucose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Storage (glycogen / trehalose)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glycogen, trehalose metabolites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Melanin / DHN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7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subsystem-assigned during biomass extension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Biomass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bio_gsm</w:t>
            </w:r>
            <w:r>
              <w:rPr>
                <w:sz w:val="17"/>
              </w:rPr>
              <w:t xml:space="preserve">, </w:t>
            </w:r>
            <w:r>
              <w:rPr>
                <w:rFonts w:ascii="Consolas" w:hAnsi="Consolas"/>
                <w:color w:val="9E1818"/>
                <w:sz w:val="17"/>
              </w:rPr>
              <w:t>bio1</w:t>
            </w:r>
            <w:r>
              <w:rPr>
                <w:sz w:val="17"/>
              </w:rPr>
              <w:t>, and the biomass-precursor stoich rxns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Pectin / D-galacturonate (Ashwell)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gap-filled Ashwell pathway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Pentose-sugar catabolism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6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xylose (XR/XDH/XK) + L-arabinose (Penttilä) pathways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Sulfur / nitrogen assimilation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3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sulfate/ammonia/nitrate/urea metabolism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Compatible solute / mannitol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2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MpdA branch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GAM / maintenance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ATP + H₂O → ADP + Pi + H⁺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Sink / demand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1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rFonts w:ascii="Consolas" w:hAnsi="Consolas"/>
                <w:color w:val="9E1818"/>
                <w:sz w:val="17"/>
              </w:rPr>
              <w:t>DM_/SK_</w:t>
            </w:r>
            <w:r>
              <w:rPr>
                <w:sz w:val="17"/>
              </w:rPr>
              <w:t xml:space="preserve"> prefix</w:t>
            </w:r>
          </w:p>
        </w:tc>
      </w:tr>
    </w:tbl>
    <w:p>
      <w:r>
        <w:t>The rule set is order-sensitive (first hit wins); no reaction is</w:t>
      </w:r>
    </w:p>
    <w:p>
      <w:r>
        <w:t>double-counted. Alternative-classifier drop-in should be trivial (edit</w:t>
      </w:r>
    </w:p>
    <w:p>
      <w:r>
        <w:rPr>
          <w:rFonts w:ascii="Consolas" w:hAnsi="Consolas"/>
          <w:color w:val="9E1818"/>
          <w:sz w:val="18"/>
        </w:rPr>
        <w:t>classify_pathway</w:t>
      </w:r>
      <w:r>
        <w:t>).</w:t>
      </w:r>
    </w:p>
    <w:p>
      <w:pPr>
        <w:pStyle w:val="Heading2"/>
      </w:pPr>
      <w:r>
        <w:t>Q1 — Which pathways are active in condition A vs condition B?</w:t>
      </w:r>
    </w:p>
    <w:p>
      <w:r>
        <w:t xml:space="preserve">The site's </w:t>
      </w:r>
      <w:r>
        <w:rPr>
          <w:b/>
        </w:rPr>
        <w:t>Pathway × condition activity heatmap</w:t>
      </w:r>
      <w:r>
        <w:t xml:space="preserve"> (RNA-seq tab) shows,</w:t>
      </w:r>
    </w:p>
    <w:p>
      <w:r>
        <w:t>per pathway × per medium × per O₂ state, the fraction of pathway reactions</w:t>
      </w:r>
    </w:p>
    <w:p>
      <w:r>
        <w:t>carrying flux in pFBA. Enriched-for-hi-expression pathways are stacked at</w:t>
      </w:r>
    </w:p>
    <w:p>
      <w:r>
        <w:t>the top.</w:t>
      </w:r>
    </w:p>
    <w:p>
      <w:r>
        <w:t>Selected shifts between medium classes (mean active-rate across the 3–5</w:t>
      </w:r>
    </w:p>
    <w:p>
      <w:r>
        <w:t>conditions in each class, aerobic):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pathway</w:t>
            </w:r>
          </w:p>
        </w:tc>
        <w:tc>
          <w:tcPr>
            <w:tcW w:type="dxa" w:w="255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biotrophic (5)</w:t>
            </w:r>
          </w:p>
        </w:tc>
        <w:tc>
          <w:tcPr>
            <w:tcW w:type="dxa" w:w="255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necrotrophic (5)</w:t>
            </w:r>
          </w:p>
        </w:tc>
        <w:tc>
          <w:tcPr>
            <w:tcW w:type="dxa" w:w="255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pre-infection (5)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Glycolysis / gluconeogenesis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high (as gluconeogenesis from FA / glycerol)</w:t>
            </w:r>
          </w:p>
        </w:tc>
      </w:tr>
      <w:tr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TCA cycle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high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β-oxidation (peroxisomal)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~0 on sugars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~0 on sugars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fully on</w:t>
            </w:r>
            <w:r>
              <w:rPr>
                <w:sz w:val="17"/>
              </w:rPr>
              <w:t xml:space="preserve"> for palmitate / oleate / hexacosanoate</w:t>
            </w:r>
          </w:p>
        </w:tc>
      </w:tr>
      <w:tr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Pentose-sugar catabolism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~0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fully on</w:t>
            </w:r>
            <w:r>
              <w:rPr>
                <w:sz w:val="17"/>
              </w:rPr>
              <w:t xml:space="preserve"> for xylose / arabinose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~0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Pectin / Ashwell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~0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fully on</w:t>
            </w:r>
            <w:r>
              <w:rPr>
                <w:sz w:val="17"/>
              </w:rPr>
              <w:t xml:space="preserve"> for D-galacturonate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~0</w:t>
            </w:r>
          </w:p>
        </w:tc>
      </w:tr>
      <w:tr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Storage (glycogen / trehalose)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~0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~0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on</w:t>
            </w:r>
            <w:r>
              <w:rPr>
                <w:sz w:val="17"/>
              </w:rPr>
              <w:t xml:space="preserve"> for trehalose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Cell-wall polysaccharide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steady across all growable media (biomass-driven)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Cofactor / vitamin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steady across all growable media (biosynthesis-driven)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</w:p>
        </w:tc>
      </w:tr>
    </w:tbl>
    <w:p>
      <w:r>
        <w:t xml:space="preserve">The heatmap makes the </w:t>
      </w:r>
      <w:r>
        <w:rPr>
          <w:b/>
        </w:rPr>
        <w:t>niche-switch</w:t>
      </w:r>
      <w:r>
        <w:t xml:space="preserve"> clear: β-oxidation, Ashwell, and</w:t>
      </w:r>
    </w:p>
    <w:p>
      <w:r>
        <w:t>Penttilä light up only when the corresponding substrate is the sole</w:t>
      </w:r>
    </w:p>
    <w:p>
      <w:r>
        <w:t>carbon source — this validates the direction-locked (degradation-only)</w:t>
      </w:r>
    </w:p>
    <w:p>
      <w:r>
        <w:t>V5/V6 curation and the V1 gap-fill choices, and shows the model does not</w:t>
      </w:r>
    </w:p>
    <w:p>
      <w:r>
        <w:t>routinely leak flux through those pathways.</w:t>
      </w:r>
    </w:p>
    <w:p>
      <w:pPr>
        <w:pStyle w:val="Heading2"/>
      </w:pPr>
      <w:r>
        <w:t>Q2 — Pathway enrichment for the S1 transcriptome</w:t>
      </w:r>
    </w:p>
    <w:p>
      <w:r>
        <w:t xml:space="preserve">Fisher's exact test (one-sided, greater) on </w:t>
      </w:r>
      <w:r>
        <w:rPr>
          <w:rFonts w:ascii="Consolas" w:hAnsi="Consolas"/>
          <w:color w:val="9E1818"/>
          <w:sz w:val="18"/>
        </w:rPr>
        <w:t>hi vs (med + lo + absent)</w:t>
      </w:r>
    </w:p>
    <w:p>
      <w:r>
        <w:t>per pathway vs the model background. BH correction across the 23 tested</w:t>
      </w:r>
    </w:p>
    <w:p>
      <w:r>
        <w:t>pathways.</w:t>
      </w:r>
    </w:p>
    <w:p>
      <w:r>
        <w:t>Significant hits (q &lt; 0.05):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pathway</w:t>
            </w:r>
          </w:p>
        </w:tc>
        <w:tc>
          <w:tcPr>
            <w:tcW w:type="dxa" w:w="255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hi / n</w:t>
            </w:r>
          </w:p>
        </w:tc>
        <w:tc>
          <w:tcPr>
            <w:tcW w:type="dxa" w:w="255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OR</w:t>
            </w:r>
          </w:p>
        </w:tc>
        <w:tc>
          <w:tcPr>
            <w:tcW w:type="dxa" w:w="255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q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Glycolysis / gluconeogenesis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37 / 58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5.83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&lt; 10⁻⁴</w:t>
            </w:r>
          </w:p>
        </w:tc>
      </w:tr>
      <w:tr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TCA cycle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21 / 34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5.15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&lt; 10⁻⁴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Fatty-acid biosynthesis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20 / 38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3.52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0.001</w:t>
            </w:r>
          </w:p>
        </w:tc>
      </w:tr>
      <w:tr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Pentose phosphate pathway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12 / 20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4.69</w:t>
            </w:r>
          </w:p>
        </w:tc>
        <w:tc>
          <w:tcPr>
            <w:tcW w:type="dxa" w:w="255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0.004</w:t>
            </w:r>
          </w:p>
        </w:tc>
      </w:tr>
      <w:tr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b/>
                <w:sz w:val="17"/>
              </w:rPr>
              <w:t>Cofactor / vitamin biosynthesis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44 / 117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1.95</w:t>
            </w:r>
          </w:p>
        </w:tc>
        <w:tc>
          <w:tcPr>
            <w:tcW w:type="dxa" w:w="2550"/>
          </w:tcPr>
          <w:p>
            <w:r>
              <w:rPr>
                <w:sz w:val="17"/>
              </w:rPr>
            </w:r>
            <w:r>
              <w:rPr>
                <w:sz w:val="17"/>
              </w:rPr>
              <w:t>0.004</w:t>
            </w:r>
          </w:p>
        </w:tc>
      </w:tr>
    </w:tbl>
    <w:p>
      <w:r>
        <w:t>Interpretation: **the machinery of aerobic central carbon plus the</w:t>
      </w:r>
    </w:p>
    <w:p>
      <w:r>
        <w:t>biosynthetic charge (fatty-acid, cofactor, plus glycolytic gluconeogenic</w:t>
      </w:r>
    </w:p>
    <w:p>
      <w:r>
        <w:t>demand for cell-wall precursors) is transcriptionally on**. This is the</w:t>
      </w:r>
    </w:p>
    <w:p>
      <w:r>
        <w:t>signature of a well-fed, mycelium-like state — the biological expectation</w:t>
      </w:r>
    </w:p>
    <w:p>
      <w:r>
        <w:t>for a glucose-minimal S1 sample.</w:t>
      </w:r>
    </w:p>
    <w:p>
      <w:r>
        <w:t>Marginal but not enriched (0.05 &lt; q &lt; 0.2): amino-acid metabolism (q =</w:t>
      </w:r>
    </w:p>
    <w:p>
      <w:r>
        <w:t>0.06), cell-wall polysaccharide (q = 0.06). Both are plausibly on but not</w:t>
      </w:r>
    </w:p>
    <w:p>
      <w:r>
        <w:t>statistically distinguishable from the model background.</w:t>
      </w:r>
    </w:p>
    <w:p>
      <w:r>
        <w:t xml:space="preserve">The full enrichment table lives in </w:t>
      </w:r>
      <w:r>
        <w:rPr>
          <w:rFonts w:ascii="Consolas" w:hAnsi="Consolas"/>
          <w:color w:val="9E1818"/>
          <w:sz w:val="18"/>
        </w:rPr>
        <w:t>outputs/pathway_enrichment.tsv</w:t>
      </w:r>
      <w:r>
        <w:t>; every</w:t>
      </w:r>
    </w:p>
    <w:p>
      <w:r>
        <w:t xml:space="preserve">tested pathway is also shown on the site's </w:t>
      </w:r>
      <w:r>
        <w:rPr>
          <w:b/>
        </w:rPr>
        <w:t>Pathway detail</w:t>
      </w:r>
      <w:r>
        <w:t xml:space="preserve"> table with</w:t>
      </w:r>
    </w:p>
    <w:p>
      <w:r>
        <w:t>its OR, raw p, and BH q.</w:t>
      </w:r>
    </w:p>
    <w:p>
      <w:pPr>
        <w:pStyle w:val="Heading2"/>
      </w:pPr>
      <w:r>
        <w:t>Q3 — Reporter metabolites (Patil-Nielsen)</w:t>
      </w:r>
    </w:p>
    <w:p>
      <w:r>
        <w:t xml:space="preserve">For each metabolite </w:t>
      </w:r>
      <w:r>
        <w:rPr>
          <w:rFonts w:ascii="Consolas" w:hAnsi="Consolas"/>
          <w:color w:val="9E1818"/>
          <w:sz w:val="18"/>
        </w:rPr>
        <w:t>m</w:t>
      </w:r>
      <w:r>
        <w:t xml:space="preserve"> we z-score reaction expression against the</w:t>
      </w:r>
    </w:p>
    <w:p>
      <w:r>
        <w:t xml:space="preserve">background, average over </w:t>
      </w:r>
      <w:r>
        <w:rPr>
          <w:rFonts w:ascii="Consolas" w:hAnsi="Consolas"/>
          <w:color w:val="9E1818"/>
          <w:sz w:val="18"/>
        </w:rPr>
        <w:t>m</w:t>
      </w:r>
      <w:r>
        <w:t xml:space="preserve">'s neighbours, and scale by </w:t>
      </w:r>
      <w:r>
        <w:rPr>
          <w:rFonts w:ascii="Consolas" w:hAnsi="Consolas"/>
          <w:color w:val="9E1818"/>
          <w:sz w:val="18"/>
        </w:rPr>
        <w:t>√k</w:t>
      </w:r>
      <w:r>
        <w:t>. Top-10 by</w:t>
      </w:r>
    </w:p>
    <w:p>
      <w:r>
        <w:t xml:space="preserve">|z| (see </w:t>
      </w:r>
      <w:r>
        <w:rPr>
          <w:rFonts w:ascii="Consolas" w:hAnsi="Consolas"/>
          <w:color w:val="9E1818"/>
          <w:sz w:val="18"/>
        </w:rPr>
        <w:t>outputs/reporter_metabolites.tsv</w:t>
      </w:r>
      <w:r>
        <w:t xml:space="preserve"> for the full list):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metabolite</w:t>
            </w:r>
          </w:p>
        </w:tc>
        <w:tc>
          <w:tcPr>
            <w:tcW w:type="dxa" w:w="204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comp</w:t>
            </w:r>
          </w:p>
        </w:tc>
        <w:tc>
          <w:tcPr>
            <w:tcW w:type="dxa" w:w="204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k</w:t>
            </w:r>
          </w:p>
        </w:tc>
        <w:tc>
          <w:tcPr>
            <w:tcW w:type="dxa" w:w="204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z</w:t>
            </w:r>
          </w:p>
        </w:tc>
        <w:tc>
          <w:tcPr>
            <w:tcW w:type="dxa" w:w="204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interpretation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thioredoxin (trdrd / trdox)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c0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+6.27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redox pool; loaded by biosynthesis + PPP + AA-metabolism activity</w:t>
            </w:r>
          </w:p>
        </w:tc>
      </w:tr>
      <w:tr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H⁺ (mitochondrial)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m0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93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+5.73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proton-motive-force node; ETC + TCA activity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NADH (mitochondrial)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m0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25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+5.53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oxidative respiration active</w:t>
            </w:r>
          </w:p>
        </w:tc>
      </w:tr>
      <w:tr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NAD⁺ (mitochondrial)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m0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26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+5.37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same pool, oxidised half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glyceraldehyde-3-phosphate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c0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8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+5.03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glycolytic hub — expression-loaded</w:t>
            </w:r>
          </w:p>
        </w:tc>
      </w:tr>
      <w:tr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H⁺ (extracellular)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e0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53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−4.81</w:t>
            </w:r>
          </w:p>
        </w:tc>
        <w:tc>
          <w:tcPr>
            <w:tcW w:type="dxa" w:w="204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 xml:space="preserve">boundary proton — </w:t>
            </w:r>
            <w:r>
              <w:rPr>
                <w:b/>
                <w:sz w:val="17"/>
              </w:rPr>
              <w:t>silent</w:t>
            </w:r>
            <w:r>
              <w:rPr>
                <w:sz w:val="17"/>
              </w:rPr>
              <w:t xml:space="preserve"> (S1 is not actively pumping)</w:t>
            </w:r>
          </w:p>
        </w:tc>
      </w:tr>
      <w:tr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malonyl-CoA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c0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11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+4.79</w:t>
            </w:r>
          </w:p>
        </w:tc>
        <w:tc>
          <w:tcPr>
            <w:tcW w:type="dxa" w:w="2040"/>
          </w:tcPr>
          <w:p>
            <w:r>
              <w:rPr>
                <w:sz w:val="17"/>
              </w:rPr>
            </w:r>
            <w:r>
              <w:rPr>
                <w:sz w:val="17"/>
              </w:rPr>
              <w:t>FA-biosynthesis node — matches enrichment result</w:t>
            </w:r>
          </w:p>
        </w:tc>
      </w:tr>
    </w:tbl>
    <w:p>
      <w:r>
        <w:t>The signal is highly consistent with the enrichment result: **redox +</w:t>
      </w:r>
    </w:p>
    <w:p>
      <w:r>
        <w:t>oxidative-respiration + biosynthetic hubs are activated**; extracellular</w:t>
      </w:r>
    </w:p>
    <w:p>
      <w:r>
        <w:t>transport is quiet.</w:t>
      </w:r>
    </w:p>
    <w:p>
      <w:pPr>
        <w:pStyle w:val="Heading2"/>
      </w:pPr>
      <w:r>
        <w:t>Q4 — Does the model explain observed growth or phenotype shifts?</w:t>
      </w:r>
    </w:p>
    <w:p>
      <w:r>
        <w:t>Compared pathway-total-flux (Σ|v|) against biomass across the 18 aerobic</w:t>
      </w:r>
    </w:p>
    <w:p>
      <w:r>
        <w:t>conditions using Pearson r. Every biosynthesis / precursor-supply</w:t>
      </w:r>
    </w:p>
    <w:p>
      <w:r>
        <w:t>pathway correlates r ≥ 0.98 with biomass: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pathway</w:t>
            </w:r>
          </w:p>
        </w:tc>
        <w:tc>
          <w:tcPr>
            <w:tcW w:type="dxa" w:w="34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</w:t>
            </w:r>
          </w:p>
        </w:tc>
        <w:tc>
          <w:tcPr>
            <w:tcW w:type="dxa" w:w="3400"/>
            <w:shd w:val="clear" w:color="auto" w:fill="1F3F73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Biomass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+1.00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—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Compatible solute / mannitol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+1.00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&lt; 10⁻⁴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Nucleotide metabolism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+1.00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&lt; 10⁻⁴</w:t>
            </w:r>
          </w:p>
        </w:tc>
      </w:tr>
      <w:tr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Cell-wall polysaccharide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+0.999</w:t>
            </w:r>
          </w:p>
        </w:tc>
        <w:tc>
          <w:tcPr>
            <w:tcW w:type="dxa" w:w="3400"/>
            <w:shd w:val="clear" w:color="auto" w:fill="F4F7FB"/>
          </w:tcPr>
          <w:p>
            <w:r>
              <w:rPr>
                <w:sz w:val="17"/>
              </w:rPr>
            </w:r>
            <w:r>
              <w:rPr>
                <w:sz w:val="17"/>
              </w:rPr>
              <w:t>&lt; 10⁻⁴</w:t>
            </w:r>
          </w:p>
        </w:tc>
      </w:tr>
      <w:tr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Oxidative phosphorylation / ETC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+0.987</w:t>
            </w:r>
          </w:p>
        </w:tc>
        <w:tc>
          <w:tcPr>
            <w:tcW w:type="dxa" w:w="3400"/>
          </w:tcPr>
          <w:p>
            <w:r>
              <w:rPr>
                <w:sz w:val="17"/>
              </w:rPr>
            </w:r>
            <w:r>
              <w:rPr>
                <w:sz w:val="17"/>
              </w:rPr>
              <w:t>&lt; 10⁻⁴</w:t>
            </w:r>
          </w:p>
        </w:tc>
      </w:tr>
    </w:tbl>
    <w:p>
      <w:r>
        <w:rPr>
          <w:b/>
        </w:rPr>
        <w:t>Manuscript caveat</w:t>
      </w:r>
      <w:r>
        <w:t>: these near-perfect correlations are **inherent</w:t>
      </w:r>
    </w:p>
    <w:p>
      <w:r>
        <w:t>FBA collinearity**, not independent evidence. Under pFBA, any biosynthesis</w:t>
      </w:r>
    </w:p>
    <w:p>
      <w:r>
        <w:t>pathway that is on the shortest path to biomass will scale linearly with</w:t>
      </w:r>
    </w:p>
    <w:p>
      <w:r>
        <w:t>biomass. Report this as a sanity check ("the model uses biosynthesis</w:t>
      </w:r>
    </w:p>
    <w:p>
      <w:r>
        <w:t>pathways in proportion to growth demand — no orphan biosynthesis or</w:t>
      </w:r>
    </w:p>
    <w:p>
      <w:r>
        <w:t>unaccounted precursor sinks") rather than as a mechanistic finding.</w:t>
      </w:r>
    </w:p>
    <w:p>
      <w:r>
        <w:t xml:space="preserve">The </w:t>
      </w:r>
      <w:r>
        <w:rPr>
          <w:b/>
        </w:rPr>
        <w:t>informative</w:t>
      </w:r>
      <w:r>
        <w:t xml:space="preserve"> flux-vs-biomass patterns are the pathways whose flux</w:t>
      </w:r>
    </w:p>
    <w:p>
      <w:r>
        <w:t xml:space="preserve">is </w:t>
      </w:r>
      <w:r>
        <w:rPr>
          <w:b/>
        </w:rPr>
        <w:t>decoupled</w:t>
      </w:r>
      <w:r>
        <w:t xml:space="preserve"> from biomass — e.g., β-oxidation (on only for FA</w:t>
      </w:r>
    </w:p>
    <w:p>
      <w:r>
        <w:t>substrates), Ashwell (on only for D-galU), Penttilä (on only for</w:t>
      </w:r>
    </w:p>
    <w:p>
      <w:r>
        <w:t>pentoses). The heatmap surfaces these directly.</w:t>
      </w:r>
    </w:p>
    <w:p>
      <w:pPr>
        <w:pStyle w:val="Heading2"/>
      </w:pPr>
      <w:r>
        <w:t>Expression-painted Escher map</w:t>
      </w:r>
    </w:p>
    <w:p>
      <w:r>
        <w:t xml:space="preserve">New tab </w:t>
      </w:r>
      <w:r>
        <w:rPr>
          <w:b/>
        </w:rPr>
        <w:t>Escher map — expression</w:t>
      </w:r>
      <w:r>
        <w:t xml:space="preserve"> (</w:t>
      </w:r>
      <w:r>
        <w:rPr>
          <w:rFonts w:ascii="Consolas" w:hAnsi="Consolas"/>
          <w:color w:val="9E1818"/>
          <w:sz w:val="18"/>
        </w:rPr>
        <w:t>atp-safe/map_expression.html</w:t>
      </w:r>
      <w:r>
        <w:t>) uses</w:t>
      </w:r>
    </w:p>
    <w:p>
      <w:r>
        <w:t>the same iMM904 CCM layout as the flux maps, but paints intensity from</w:t>
      </w:r>
    </w:p>
    <w:p>
      <w:r>
        <w:rPr>
          <w:rFonts w:ascii="Consolas" w:hAnsi="Consolas"/>
          <w:color w:val="9E1818"/>
          <w:sz w:val="18"/>
        </w:rPr>
        <w:t>agg_mean log₂(TPM+1)</w:t>
      </w:r>
      <w:r>
        <w:t xml:space="preserve"> instead of |flux|. Palette and legend layout match</w:t>
      </w:r>
    </w:p>
    <w:p>
      <w:r>
        <w:t>the flux maps 1:1 so the three maps can be compared side-by-side (open in</w:t>
      </w:r>
    </w:p>
    <w:p>
      <w:r>
        <w:t>separate tabs).</w:t>
      </w:r>
    </w:p>
    <w:p>
      <w:pPr>
        <w:pStyle w:val="ListBullet"/>
      </w:pPr>
      <w:r>
        <w:t>Compartment colour (cytosol pink, mito green, ER blue, peroxisome</w:t>
      </w:r>
    </w:p>
    <w:p>
      <w:r>
        <w:t xml:space="preserve">  orange, extracellular brown, nucleus teal, Golgi olive, vacuole purple).</w:t>
      </w:r>
    </w:p>
    <w:p>
      <w:pPr>
        <w:pStyle w:val="ListBullet"/>
      </w:pPr>
      <w:r>
        <w:t xml:space="preserve">Intensity ramp: </w:t>
      </w:r>
      <w:r>
        <w:rPr>
          <w:rFonts w:ascii="Consolas" w:hAnsi="Consolas"/>
          <w:color w:val="9E1818"/>
          <w:sz w:val="18"/>
        </w:rPr>
        <w:t>0.15 + 0.85 × (expr / P95)^0.60</w:t>
      </w:r>
      <w:r>
        <w:t>.</w:t>
      </w:r>
    </w:p>
    <w:p>
      <w:pPr>
        <w:pStyle w:val="ListBullet"/>
      </w:pPr>
      <w:r>
        <w:t xml:space="preserve">Reactions without a GPR or with no expression: </w:t>
      </w:r>
      <w:r>
        <w:rPr>
          <w:rFonts w:ascii="Consolas" w:hAnsi="Consolas"/>
          <w:color w:val="9E1818"/>
          <w:sz w:val="18"/>
        </w:rPr>
        <w:t>#e7ebef</w:t>
      </w:r>
      <w:r>
        <w:t xml:space="preserve"> grey.</w:t>
      </w:r>
    </w:p>
    <w:p>
      <w:r>
        <w:t>1045 of 1622 reactions are painted (all with a numeric expression score).</w:t>
      </w:r>
    </w:p>
    <w:p>
      <w:pPr>
        <w:pStyle w:val="Heading2"/>
      </w:pPr>
      <w:r>
        <w:t>Files &amp; scripts</w:t>
      </w:r>
    </w:p>
    <w:p>
      <w:r>
        <w:rPr>
          <w:rFonts w:ascii="Consolas" w:hAnsi="Consolas"/>
          <w:color w:val="9E1818"/>
          <w:sz w:val="18"/>
        </w:rPr>
        <w:t>`</w:t>
      </w:r>
    </w:p>
    <w:p>
      <w:r>
        <w:t>rna_seq_integration/</w:t>
      </w:r>
    </w:p>
    <w:p>
      <w:r>
        <w:t>├── src/</w:t>
      </w:r>
    </w:p>
    <w:p>
      <w:r>
        <w:t>│   ├── stage5_pathway_analysis.py     (classifier + enrichment + reporter + condition matrix)</w:t>
      </w:r>
    </w:p>
    <w:p>
      <w:r>
        <w:t>│   └── build_expression_map.py        (expression-painted Escher HTML)</w:t>
      </w:r>
    </w:p>
    <w:p>
      <w:r>
        <w:t>├── outputs/</w:t>
      </w:r>
    </w:p>
    <w:p>
      <w:r>
        <w:t>│   ├── pathway_assignment.tsv         (per-reaction pathway assignment; auditability)</w:t>
      </w:r>
    </w:p>
    <w:p>
      <w:r>
        <w:t>│   ├── pathway_summary.tsv            (one row per pathway with expr + enrichment stats)</w:t>
      </w:r>
    </w:p>
    <w:p>
      <w:r>
        <w:t>│   ├── pathway_enrichment.tsv         (Fisher OR + p + BH q per pathway)</w:t>
      </w:r>
    </w:p>
    <w:p>
      <w:r>
        <w:t>│   ├── pathway_condition_matrix.tsv   (pathway × condition × O2 flux totals)</w:t>
      </w:r>
    </w:p>
    <w:p>
      <w:r>
        <w:t>│   ├── reporter_metabolites.tsv       (Patil-Nielsen z scores)</w:t>
      </w:r>
    </w:p>
    <w:p>
      <w:r>
        <w:t>│   └── biomass_pathway_corr.tsv       (pathway ↔ biomass Pearson r)</w:t>
      </w:r>
    </w:p>
    <w:p>
      <w:r>
        <w:t>└── reports/</w:t>
      </w:r>
    </w:p>
    <w:p>
      <w:r>
        <w:t xml:space="preserve">    ├── PATHWAY_ANALYSIS.md            (this document)</w:t>
      </w:r>
    </w:p>
    <w:p>
      <w:r>
        <w:t xml:space="preserve">    └── PATHWAY_ANALYSIS.docx          (formatted for manuscripts)</w:t>
      </w:r>
    </w:p>
    <w:p>
      <w:r>
        <w:rPr>
          <w:rFonts w:ascii="Consolas" w:hAnsi="Consolas"/>
          <w:color w:val="9E1818"/>
          <w:sz w:val="18"/>
        </w:rPr>
        <w:t>`</w:t>
      </w:r>
    </w:p>
    <w:p>
      <w:r>
        <w:t>All raw output TSVs are linked as pill-buttons directly under the Pathway</w:t>
      </w:r>
    </w:p>
    <w:p>
      <w:r>
        <w:t>breakdown section of the RNA-seq tab.</w:t>
      </w:r>
    </w:p>
    <w:p>
      <w:pPr>
        <w:pStyle w:val="Heading2"/>
      </w:pPr>
      <w:r>
        <w:t>References</w:t>
      </w:r>
    </w:p>
    <w:p>
      <w:pPr>
        <w:pStyle w:val="ListBullet"/>
      </w:pPr>
      <w:r>
        <w:t>Patil KR, Nielsen J. *Uncovering transcriptional regulation of metabolism</w:t>
      </w:r>
    </w:p>
    <w:p>
      <w:r>
        <w:t xml:space="preserve">  by using metabolic network topology.* PNAS 2005; 102:2685-9.</w:t>
      </w:r>
    </w:p>
    <w:p>
      <w:pPr>
        <w:pStyle w:val="ListBullet"/>
      </w:pPr>
      <w:r>
        <w:t>Blazier AS, Papin JA. *Integration of expression data in genome-scale</w:t>
      </w:r>
    </w:p>
    <w:p>
      <w:r>
        <w:t xml:space="preserve">  metabolic network reconstructions.* Front Physiol 2012; 3:299.</w:t>
      </w:r>
    </w:p>
    <w:p>
      <w:pPr>
        <w:pStyle w:val="ListBullet"/>
      </w:pPr>
      <w:r>
        <w:t>Machado D, Herrgård M. *Systematic evaluation of methods for integration</w:t>
      </w:r>
    </w:p>
    <w:p>
      <w:r>
        <w:t xml:space="preserve">  of transcriptomic data into constraint-based models of metabolism.*</w:t>
      </w:r>
    </w:p>
    <w:p>
      <w:r>
        <w:t xml:space="preserve">  PLoS Comput Biol 2014; 10:e1003580.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D2D52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1F3F73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4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