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FSP237 V10 × S1 Transcriptomics Integration — Methods</w:t>
      </w:r>
    </w:p>
    <w:p>
      <w:pPr>
        <w:pStyle w:val="Heading2"/>
      </w:pPr>
      <w:r>
        <w:t>Model &amp; data</w:t>
      </w:r>
    </w:p>
    <w:p>
      <w:pPr>
        <w:pStyle w:val="ListBullet"/>
      </w:pPr>
      <w:r>
        <w:rPr>
          <w:b/>
        </w:rPr>
        <w:t>Model</w:t>
      </w:r>
      <w:r>
        <w:t>: FSP237 V10 gap-filled + VLCFA-complete + gene-integrated GEM,</w:t>
      </w:r>
    </w:p>
    <w:p>
      <w:r>
        <w:t xml:space="preserve">  1622 reactions / 1268 metabolites / 1274 genes (frozen for this analysis).</w:t>
      </w:r>
    </w:p>
    <w:p>
      <w:pPr>
        <w:pStyle w:val="ListBullet"/>
      </w:pPr>
      <w:r>
        <w:rPr>
          <w:b/>
        </w:rPr>
        <w:t>Expression</w:t>
      </w:r>
      <w:r>
        <w:t>: S1 biological group, 3 technical replicates (G1, G2, G3),</w:t>
      </w:r>
    </w:p>
    <w:p>
      <w:r>
        <w:t xml:space="preserve">  reported as </w:t>
      </w:r>
      <w:r>
        <w:rPr>
          <w:rFonts w:ascii="Consolas" w:hAnsi="Consolas"/>
          <w:color w:val="9E1818"/>
          <w:sz w:val="18"/>
        </w:rPr>
        <w:t>log2(TPM + 1)</w:t>
      </w:r>
      <w:r>
        <w:t xml:space="preserve"> and reconstructed </w:t>
      </w:r>
      <w:r>
        <w:rPr>
          <w:rFonts w:ascii="Consolas" w:hAnsi="Consolas"/>
          <w:color w:val="9E1818"/>
          <w:sz w:val="18"/>
        </w:rPr>
        <w:t>TPM</w:t>
      </w:r>
      <w:r>
        <w:t>. Gene IDs match the</w:t>
      </w:r>
    </w:p>
    <w:p>
      <w:r>
        <w:t xml:space="preserve">  model's </w:t>
      </w:r>
      <w:r>
        <w:rPr>
          <w:rFonts w:ascii="Consolas" w:hAnsi="Consolas"/>
          <w:color w:val="9E1818"/>
          <w:sz w:val="18"/>
        </w:rPr>
        <w:t>gene_NNNN</w:t>
      </w:r>
      <w:r>
        <w:t xml:space="preserve"> namespace directly (no ID mapping).</w:t>
      </w:r>
    </w:p>
    <w:p>
      <w:pPr>
        <w:pStyle w:val="ListBullet"/>
      </w:pPr>
      <w:r>
        <w:rPr>
          <w:b/>
        </w:rPr>
        <w:t>Coverage</w:t>
      </w:r>
      <w:r>
        <w:t>: 1174 / 1274 model genes (92.2 %) have measured expression;</w:t>
      </w:r>
    </w:p>
    <w:p>
      <w:r>
        <w:t xml:space="preserve">  the remaining 100 are legacy identifiers (27 </w:t>
      </w:r>
      <w:r>
        <w:rPr>
          <w:rFonts w:ascii="Consolas" w:hAnsi="Consolas"/>
          <w:color w:val="9E1818"/>
          <w:sz w:val="18"/>
        </w:rPr>
        <w:t>CH63R_*</w:t>
      </w:r>
      <w:r>
        <w:t xml:space="preserve">, 73 yeast </w:t>
      </w:r>
      <w:r>
        <w:rPr>
          <w:rFonts w:ascii="Consolas" w:hAnsi="Consolas"/>
          <w:color w:val="9E1818"/>
          <w:sz w:val="18"/>
        </w:rPr>
        <w:t>Y*</w:t>
      </w:r>
      <w:r>
        <w:t xml:space="preserve"> +</w:t>
      </w:r>
    </w:p>
    <w:p>
      <w:r>
        <w:t xml:space="preserve">  RefSeq </w:t>
      </w:r>
      <w:r>
        <w:rPr>
          <w:rFonts w:ascii="Consolas" w:hAnsi="Consolas"/>
          <w:color w:val="9E1818"/>
          <w:sz w:val="18"/>
        </w:rPr>
        <w:t>NP_*</w:t>
      </w:r>
      <w:r>
        <w:t xml:space="preserve"> + </w:t>
      </w:r>
      <w:r>
        <w:rPr>
          <w:rFonts w:ascii="Consolas" w:hAnsi="Consolas"/>
          <w:color w:val="9E1818"/>
          <w:sz w:val="18"/>
        </w:rPr>
        <w:t>SPONT</w:t>
      </w:r>
      <w:r>
        <w:t>) that survived the earlier GPR overhaul.</w:t>
      </w:r>
    </w:p>
    <w:p>
      <w:pPr>
        <w:pStyle w:val="Heading2"/>
      </w:pPr>
      <w:r>
        <w:t>Stage 0 — gene → reaction expression aggregation</w:t>
      </w:r>
    </w:p>
    <w:p>
      <w:r>
        <w:t>Each reaction's Gene-Protein-Reaction (GPR) rule is parsed into disjunctive</w:t>
      </w:r>
    </w:p>
    <w:p>
      <w:r>
        <w:t>normal form and reduced to a single scalar via</w:t>
      </w:r>
    </w:p>
    <w:p>
      <w:r>
        <w:rPr>
          <w:rFonts w:ascii="Consolas" w:hAnsi="Consolas"/>
          <w:color w:val="9E1818"/>
          <w:sz w:val="18"/>
        </w:rPr>
        <w:t>score(rxn) = max_over_OR( min_over_AND( expr[gene] ) )</w:t>
      </w:r>
      <w:r>
        <w:t xml:space="preserve"> — isoenzymes</w:t>
      </w:r>
    </w:p>
    <w:p>
      <w:r>
        <w:t>contribute the loudest expression, complex subunits the quietest. Missing</w:t>
      </w:r>
    </w:p>
    <w:p>
      <w:r>
        <w:t>genes are excluded from the min; a reaction whose entire GPR is missing is</w:t>
      </w:r>
    </w:p>
    <w:p>
      <w:r>
        <w:t xml:space="preserve">tagged </w:t>
      </w:r>
      <w:r>
        <w:rPr>
          <w:b/>
        </w:rPr>
        <w:t>absent</w:t>
      </w:r>
      <w:r>
        <w:t>.</w:t>
      </w:r>
    </w:p>
    <w:p>
      <w:r>
        <w:t xml:space="preserve">Reactions are placed into four bins on the distribution of </w:t>
      </w:r>
      <w:r>
        <w:rPr>
          <w:rFonts w:ascii="Consolas" w:hAnsi="Consolas"/>
          <w:color w:val="9E1818"/>
          <w:sz w:val="18"/>
        </w:rPr>
        <w:t>Mean log2(TPM+1)</w:t>
      </w:r>
    </w:p>
    <w:p>
      <w:r>
        <w:t>restricted to model genes: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Bin</w:t>
            </w:r>
          </w:p>
        </w:tc>
        <w:tc>
          <w:tcPr>
            <w:tcW w:type="dxa" w:w="340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40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Cutoff (this run)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hi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score ≥ 75%ile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≥ 6.457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med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25%ile ≤ score &lt; 75%ile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[3.121, 6.457)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lo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0 &lt; score &lt; 25%ile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(0, 3.121)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absent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score = 0 or gene missing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>
      <w:pPr>
        <w:pStyle w:val="Heading2"/>
      </w:pPr>
      <w:r>
        <w:t>Stage 1 — pFBA × expression overlay</w:t>
      </w:r>
    </w:p>
    <w:p>
      <w:r>
        <w:t>For every (condition, O₂) pair in the 18-condition panel, parsimonious FBA</w:t>
      </w:r>
    </w:p>
    <w:p>
      <w:r>
        <w:t xml:space="preserve">(pFBA) is solved with the exact medium used by </w:t>
      </w:r>
      <w:r>
        <w:rPr>
          <w:rFonts w:ascii="Consolas" w:hAnsi="Consolas"/>
          <w:color w:val="9E1818"/>
          <w:sz w:val="18"/>
        </w:rPr>
        <w:t>run_simulation_panel.py</w:t>
      </w:r>
      <w:r>
        <w:t>.</w:t>
      </w:r>
    </w:p>
    <w:p>
      <w:r>
        <w:t>Reaction fluxes are joined with the Stage-0 scores and each reaction is</w:t>
      </w:r>
    </w:p>
    <w:p>
      <w:r>
        <w:t>classified: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10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SUPPORTED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</w:r>
          </w:p>
        </w:tc>
      </w:tr>
      <w:tr>
        <w:tc>
          <w:tcPr>
            <w:tcW w:type="dxa" w:w="51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WEAK_SUPPORT</w:t>
            </w:r>
          </w:p>
        </w:tc>
        <w:tc>
          <w:tcPr>
            <w:tcW w:type="dxa" w:w="51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CONFLICT_FLUX_NO_EXPR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</w:r>
          </w:p>
        </w:tc>
      </w:tr>
      <w:tr>
        <w:tc>
          <w:tcPr>
            <w:tcW w:type="dxa" w:w="51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ORPHAN_FLUX</w:t>
            </w:r>
          </w:p>
        </w:tc>
        <w:tc>
          <w:tcPr>
            <w:tcW w:type="dxa" w:w="51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PRIMED_NOT_USED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</w:r>
          </w:p>
        </w:tc>
      </w:tr>
      <w:tr>
        <w:tc>
          <w:tcPr>
            <w:tcW w:type="dxa" w:w="51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SILENT_OK</w:t>
            </w:r>
          </w:p>
        </w:tc>
        <w:tc>
          <w:tcPr>
            <w:tcW w:type="dxa" w:w="51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remainder</w:t>
            </w:r>
          </w:p>
        </w:tc>
      </w:tr>
    </w:tbl>
    <w:p>
      <w:r>
        <w:t>Four condition-fit metrics roll up per (condition, O₂):</w:t>
      </w:r>
    </w:p>
    <w:p>
      <w:pPr>
        <w:pStyle w:val="ListBullet"/>
      </w:pPr>
      <w:r>
        <w:rPr>
          <w:b/>
        </w:rPr>
        <w:t>`agreement_score`</w:t>
      </w:r>
      <w:r>
        <w:t xml:space="preserve"> = SUPPORTED / (SUPPORTED + CONFLICT_FLUX_NO_EXPR + PRIMED_NOT_USED).</w:t>
      </w:r>
    </w:p>
    <w:p>
      <w:r>
        <w:t xml:space="preserve">  Biased toward media that engage more machinery; reported for completeness.</w:t>
      </w:r>
    </w:p>
    <w:p>
      <w:pPr>
        <w:pStyle w:val="ListBullet"/>
      </w:pPr>
      <w:r>
        <w:rPr>
          <w:b/>
        </w:rPr>
        <w:t>`spearman_expr_vs_flux`</w:t>
      </w:r>
      <w:r>
        <w:t xml:space="preserve"> — Spearman ρ between the aggregated expression</w:t>
      </w:r>
    </w:p>
    <w:p>
      <w:r>
        <w:t xml:space="preserve">  and </w:t>
      </w:r>
      <w:r>
        <w:rPr>
          <w:rFonts w:ascii="Consolas" w:hAnsi="Consolas"/>
          <w:color w:val="9E1818"/>
          <w:sz w:val="18"/>
        </w:rPr>
        <w:t>|v_pFBA|</w:t>
      </w:r>
      <w:r>
        <w:t xml:space="preserve"> over GPR'd reactions. Least biased by flux density; used as</w:t>
      </w:r>
    </w:p>
    <w:p>
      <w:r>
        <w:t xml:space="preserve">  the primary condition-fit ranking on the site.</w:t>
      </w:r>
    </w:p>
    <w:p>
      <w:pPr>
        <w:pStyle w:val="ListBullet"/>
      </w:pPr>
      <w:r>
        <w:rPr>
          <w:b/>
        </w:rPr>
        <w:t>`hi_expr_recall`</w:t>
      </w:r>
      <w:r>
        <w:t xml:space="preserve"> — fraction of hi-expression reactions with </w:t>
      </w:r>
      <w:r>
        <w:rPr>
          <w:rFonts w:ascii="Consolas" w:hAnsi="Consolas"/>
          <w:color w:val="9E1818"/>
          <w:sz w:val="18"/>
        </w:rPr>
        <w:t>|v| &gt; ε</w:t>
      </w:r>
      <w:r>
        <w:t>.</w:t>
      </w:r>
    </w:p>
    <w:p>
      <w:pPr>
        <w:pStyle w:val="ListBullet"/>
      </w:pPr>
      <w:r>
        <w:rPr>
          <w:b/>
        </w:rPr>
        <w:t>`flux_precision_hi_med`</w:t>
      </w:r>
      <w:r>
        <w:t xml:space="preserve"> — fraction of flux-carrying GPR'd reactions</w:t>
      </w:r>
    </w:p>
    <w:p>
      <w:r>
        <w:t xml:space="preserve">  whose expression is hi or med.</w:t>
      </w:r>
    </w:p>
    <w:p>
      <w:pPr>
        <w:pStyle w:val="Heading2"/>
      </w:pPr>
      <w:r>
        <w:t>Stage 2 — three independent context-specific analyses</w:t>
      </w:r>
    </w:p>
    <w:p>
      <w:r>
        <w:t>No single expression-integration method is universally best across systems</w:t>
      </w:r>
    </w:p>
    <w:p>
      <w:r>
        <w:t>(Blazier &amp; Papin 2012; Machado &amp; Herrgård 2014; recent 2020s benchmarks), so</w:t>
      </w:r>
    </w:p>
    <w:p>
      <w:r>
        <w:t>three techniques run per (condition, O₂) and are compared on the site:</w:t>
      </w:r>
    </w:p>
    <w:p>
      <w:pPr>
        <w:pStyle w:val="Heading3"/>
      </w:pPr>
      <w:r>
        <w:t>E-Flux (Colijn 2009)</w:t>
      </w:r>
    </w:p>
    <w:p>
      <w:r>
        <w:t>Continuous. For each reaction with a GPR-derived score, upper (and reversibly</w:t>
      </w:r>
    </w:p>
    <w:p>
      <w:r>
        <w:t xml:space="preserve">lower) bounds are scaled by </w:t>
      </w:r>
      <w:r>
        <w:rPr>
          <w:rFonts w:ascii="Consolas" w:hAnsi="Consolas"/>
          <w:color w:val="9E1818"/>
          <w:sz w:val="18"/>
        </w:rPr>
        <w:t>min(1, expr / P99(expr))</w:t>
      </w:r>
      <w:r>
        <w:t>. pFBA is solved on the</w:t>
      </w:r>
    </w:p>
    <w:p>
      <w:r>
        <w:t>constrained model. No threshold parameter.</w:t>
      </w:r>
    </w:p>
    <w:p>
      <w:pPr>
        <w:pStyle w:val="Heading3"/>
      </w:pPr>
      <w:r>
        <w:t>GIMME (Becker &amp; Palsson 2008)</w:t>
      </w:r>
    </w:p>
    <w:p>
      <w:r>
        <w:t>LP. Biomass is fixed to ≥ 90 % of the unconstrained maximum; the objective</w:t>
      </w:r>
    </w:p>
    <w:p>
      <w:r>
        <w:t xml:space="preserve">then minimizes Σ (lo_thr − expr[r]) · |v_r| over reactions with </w:t>
      </w:r>
      <w:r>
        <w:rPr>
          <w:rFonts w:ascii="Consolas" w:hAnsi="Consolas"/>
          <w:color w:val="9E1818"/>
          <w:sz w:val="18"/>
        </w:rPr>
        <w:t>expr &lt; lo_thr</w:t>
      </w:r>
      <w:r>
        <w:t>.</w:t>
      </w:r>
    </w:p>
    <w:p>
      <w:r>
        <w:t>Reactions retained despite the penalty are the "must-carry" set. Threshold</w:t>
      </w:r>
    </w:p>
    <w:p>
      <w:r>
        <w:t xml:space="preserve">sweep: </w:t>
      </w:r>
      <w:r>
        <w:rPr>
          <w:rFonts w:ascii="Consolas" w:hAnsi="Consolas"/>
          <w:color w:val="9E1818"/>
          <w:sz w:val="18"/>
        </w:rPr>
        <w:t>default (lo = 3.12)</w:t>
      </w:r>
      <w:r>
        <w:t xml:space="preserve">, </w:t>
      </w:r>
      <w:r>
        <w:rPr>
          <w:rFonts w:ascii="Consolas" w:hAnsi="Consolas"/>
          <w:color w:val="9E1818"/>
          <w:sz w:val="18"/>
        </w:rPr>
        <w:t>strict (lo = 0.88)</w:t>
      </w:r>
      <w:r>
        <w:t xml:space="preserve">, </w:t>
      </w:r>
      <w:r>
        <w:rPr>
          <w:rFonts w:ascii="Consolas" w:hAnsi="Consolas"/>
          <w:color w:val="9E1818"/>
          <w:sz w:val="18"/>
        </w:rPr>
        <w:t>narrow (lo = 4.99)</w:t>
      </w:r>
      <w:r>
        <w:t xml:space="preserve"> on</w:t>
      </w:r>
    </w:p>
    <w:p>
      <w:r>
        <w:rPr>
          <w:rFonts w:ascii="Consolas" w:hAnsi="Consolas"/>
          <w:color w:val="9E1818"/>
          <w:sz w:val="18"/>
        </w:rPr>
        <w:t>log2(TPM+1)</w:t>
      </w:r>
      <w:r>
        <w:t>.</w:t>
      </w:r>
    </w:p>
    <w:p>
      <w:pPr>
        <w:pStyle w:val="Heading3"/>
      </w:pPr>
      <w:r>
        <w:t>iMAT (Shlomi 2008)</w:t>
      </w:r>
    </w:p>
    <w:p>
      <w:r>
        <w:t xml:space="preserve">MILP. Reactions with </w:t>
      </w:r>
      <w:r>
        <w:rPr>
          <w:rFonts w:ascii="Consolas" w:hAnsi="Consolas"/>
          <w:color w:val="9E1818"/>
          <w:sz w:val="18"/>
        </w:rPr>
        <w:t>expr ≥ hi_thr</w:t>
      </w:r>
      <w:r>
        <w:t xml:space="preserve"> are class H; </w:t>
      </w:r>
      <w:r>
        <w:rPr>
          <w:rFonts w:ascii="Consolas" w:hAnsi="Consolas"/>
          <w:color w:val="9E1818"/>
          <w:sz w:val="18"/>
        </w:rPr>
        <w:t>expr &lt; lo_thr</w:t>
      </w:r>
      <w:r>
        <w:t xml:space="preserve"> are class L;</w:t>
      </w:r>
    </w:p>
    <w:p>
      <w:r>
        <w:t xml:space="preserve">otherwise M. Binary indicators are introduced for </w:t>
      </w:r>
      <w:r>
        <w:rPr>
          <w:rFonts w:ascii="Consolas" w:hAnsi="Consolas"/>
          <w:color w:val="9E1818"/>
          <w:sz w:val="18"/>
        </w:rPr>
        <w:t>|v| ≥ ε</w:t>
      </w:r>
      <w:r>
        <w:t xml:space="preserve"> (H) and</w:t>
      </w:r>
    </w:p>
    <w:p>
      <w:r>
        <w:rPr>
          <w:rFonts w:ascii="Consolas" w:hAnsi="Consolas"/>
          <w:color w:val="9E1818"/>
          <w:sz w:val="18"/>
        </w:rPr>
        <w:t>|v| ≤ ε</w:t>
      </w:r>
      <w:r>
        <w:t xml:space="preserve"> (L). Objective: maximize </w:t>
      </w:r>
      <w:r>
        <w:rPr>
          <w:rFonts w:ascii="Consolas" w:hAnsi="Consolas"/>
          <w:color w:val="9E1818"/>
          <w:sz w:val="18"/>
        </w:rPr>
        <w:t>Σ y_H + Σ z_L</w:t>
      </w:r>
      <w:r>
        <w:t xml:space="preserve"> under a biomass floor</w:t>
      </w:r>
    </w:p>
    <w:p>
      <w:r>
        <w:t>(≥ 10 % of max) and the standard stoichiometric constraints. Solved with</w:t>
      </w:r>
    </w:p>
    <w:p>
      <w:r>
        <w:t xml:space="preserve">CPLEX, </w:t>
      </w:r>
      <w:r>
        <w:rPr>
          <w:rFonts w:ascii="Consolas" w:hAnsi="Consolas"/>
          <w:color w:val="9E1818"/>
          <w:sz w:val="18"/>
        </w:rPr>
        <w:t>mipgap = 0.05</w:t>
      </w:r>
      <w:r>
        <w:t xml:space="preserve">, </w:t>
      </w:r>
      <w:r>
        <w:rPr>
          <w:rFonts w:ascii="Consolas" w:hAnsi="Consolas"/>
          <w:color w:val="9E1818"/>
          <w:sz w:val="18"/>
        </w:rPr>
        <w:t>timelimit = 60 s</w:t>
      </w:r>
      <w:r>
        <w:t>. Two thresholds:</w:t>
      </w:r>
    </w:p>
    <w:p>
      <w:r>
        <w:rPr>
          <w:rFonts w:ascii="Consolas" w:hAnsi="Consolas"/>
          <w:color w:val="9E1818"/>
          <w:sz w:val="18"/>
        </w:rPr>
        <w:t>default</w:t>
      </w:r>
      <w:r>
        <w:t xml:space="preserve"> and </w:t>
      </w:r>
      <w:r>
        <w:rPr>
          <w:rFonts w:ascii="Consolas" w:hAnsi="Consolas"/>
          <w:color w:val="9E1818"/>
          <w:sz w:val="18"/>
        </w:rPr>
        <w:t>strict</w:t>
      </w:r>
      <w:r>
        <w:t xml:space="preserve">. The </w:t>
      </w:r>
      <w:r>
        <w:rPr>
          <w:rFonts w:ascii="Consolas" w:hAnsi="Consolas"/>
          <w:color w:val="9E1818"/>
          <w:sz w:val="18"/>
        </w:rPr>
        <w:t>narrow</w:t>
      </w:r>
      <w:r>
        <w:t xml:space="preserve"> threshold produced a MILP too large for</w:t>
      </w:r>
    </w:p>
    <w:p>
      <w:r>
        <w:t>the 60-s budget and was dropped for iMAT (kept for GIMME).</w:t>
      </w:r>
    </w:p>
    <w:p>
      <w:pPr>
        <w:pStyle w:val="Heading2"/>
      </w:pPr>
      <w:r>
        <w:t>Stage 3 — MADE (deferred)</w:t>
      </w:r>
    </w:p>
    <w:p>
      <w:r>
        <w:t>MADE requires ≥ 2 biological groups with differential expression statistics.</w:t>
      </w:r>
    </w:p>
    <w:p>
      <w:r>
        <w:t>The current dataset is single-condition; MADE is bolted on when additional</w:t>
      </w:r>
    </w:p>
    <w:p>
      <w:r>
        <w:t>groups (S2, S3, …) arrive.</w:t>
      </w:r>
    </w:p>
    <w:p>
      <w:pPr>
        <w:pStyle w:val="Heading2"/>
      </w:pPr>
      <w:r>
        <w:t>Stage 4 — orphan-reaction expression triage</w:t>
      </w:r>
    </w:p>
    <w:p>
      <w:r>
        <w:t xml:space="preserve">Reactions flagged </w:t>
      </w:r>
      <w:r>
        <w:rPr>
          <w:rFonts w:ascii="Consolas" w:hAnsi="Consolas"/>
          <w:color w:val="9E1818"/>
          <w:sz w:val="18"/>
        </w:rPr>
        <w:t>ORPHAN_FLUX</w:t>
      </w:r>
      <w:r>
        <w:t xml:space="preserve"> in Stage 1 are grouped across conditions and</w:t>
      </w:r>
    </w:p>
    <w:p>
      <w:r>
        <w:t>ranked by cross-condition flux magnitude. For each, up to three candidate</w:t>
      </w:r>
    </w:p>
    <w:p>
      <w:r>
        <w:t>gene IDs are proposed from within the model: genes appearing in reactions in</w:t>
      </w:r>
    </w:p>
    <w:p>
      <w:r>
        <w:t xml:space="preserve">the same subsystem, ordered by their own expression score. This does </w:t>
      </w:r>
      <w:r>
        <w:rPr>
          <w:b/>
        </w:rPr>
        <w:t>not</w:t>
      </w:r>
    </w:p>
    <w:p>
      <w:r>
        <w:t>run BLAST; it produces a prioritised triage list that feeds the future</w:t>
      </w:r>
    </w:p>
    <w:p>
      <w:r>
        <w:t>gene-assignment effort.</w:t>
      </w:r>
    </w:p>
    <w:p>
      <w:pPr>
        <w:pStyle w:val="Heading2"/>
      </w:pPr>
      <w:r>
        <w:t>Software</w:t>
      </w:r>
    </w:p>
    <w:p>
      <w:pPr>
        <w:pStyle w:val="ListBullet"/>
      </w:pPr>
      <w:r>
        <w:t>Python 3.10 / 3.12; cobra 0.29–0.30, pandas 2.2, scipy, openpyxl.</w:t>
      </w:r>
    </w:p>
    <w:p>
      <w:pPr>
        <w:pStyle w:val="ListBullet"/>
      </w:pPr>
      <w:r>
        <w:t>Solvers: GLPK (LP, default) and CPLEX (MILP, required for tractable iMAT).</w:t>
      </w:r>
    </w:p>
    <w:p>
      <w:pPr>
        <w:pStyle w:val="ListBullet"/>
      </w:pPr>
      <w:r>
        <w:t xml:space="preserve">Environments used (this box): </w:t>
      </w:r>
      <w:r>
        <w:rPr>
          <w:rFonts w:ascii="Consolas" w:hAnsi="Consolas"/>
          <w:color w:val="9E1818"/>
          <w:sz w:val="18"/>
        </w:rPr>
        <w:t>/opt/env/modelseed</w:t>
      </w:r>
      <w:r>
        <w:t xml:space="preserve"> for Stages 0, 1, 4;</w:t>
      </w:r>
    </w:p>
    <w:p>
      <w:r>
        <w:t xml:space="preserve">  </w:t>
      </w:r>
      <w:r>
        <w:rPr>
          <w:rFonts w:ascii="Consolas" w:hAnsi="Consolas"/>
          <w:color w:val="9E1818"/>
          <w:sz w:val="18"/>
        </w:rPr>
        <w:t>/opt/env/modelseed_cplex</w:t>
      </w:r>
      <w:r>
        <w:t xml:space="preserve"> for Stage 2.</w:t>
      </w:r>
    </w:p>
    <w:p>
      <w:pPr>
        <w:pStyle w:val="Heading2"/>
      </w:pPr>
      <w:r>
        <w:t>References (methods)</w:t>
      </w:r>
    </w:p>
    <w:p>
      <w:pPr>
        <w:pStyle w:val="ListBullet"/>
      </w:pPr>
      <w:r>
        <w:t xml:space="preserve">Becker SA, Palsson BØ. </w:t>
      </w:r>
      <w:r>
        <w:rPr>
          <w:i/>
        </w:rPr>
        <w:t>PLoS Comput Biol</w:t>
      </w:r>
      <w:r>
        <w:t xml:space="preserve"> 2008 4:e1000082 — GIMME.</w:t>
      </w:r>
    </w:p>
    <w:p>
      <w:pPr>
        <w:pStyle w:val="ListBullet"/>
      </w:pPr>
      <w:r>
        <w:t xml:space="preserve">Shlomi T et al. </w:t>
      </w:r>
      <w:r>
        <w:rPr>
          <w:i/>
        </w:rPr>
        <w:t>Nat Biotechnol</w:t>
      </w:r>
      <w:r>
        <w:t xml:space="preserve"> 2008 26:1003 — iMAT.</w:t>
      </w:r>
    </w:p>
    <w:p>
      <w:pPr>
        <w:pStyle w:val="ListBullet"/>
      </w:pPr>
      <w:r>
        <w:t xml:space="preserve">Colijn C et al. </w:t>
      </w:r>
      <w:r>
        <w:rPr>
          <w:i/>
        </w:rPr>
        <w:t>PLoS Comput Biol</w:t>
      </w:r>
      <w:r>
        <w:t xml:space="preserve"> 2009 5:e1000489 — E-Flux.</w:t>
      </w:r>
    </w:p>
    <w:p>
      <w:pPr>
        <w:pStyle w:val="ListBullet"/>
      </w:pPr>
      <w:r>
        <w:t xml:space="preserve">Jerby L, Shlomi T, Ruppin E. </w:t>
      </w:r>
      <w:r>
        <w:rPr>
          <w:i/>
        </w:rPr>
        <w:t>Mol Syst Biol</w:t>
      </w:r>
      <w:r>
        <w:t xml:space="preserve"> 2010 — flux–omics integration overview.</w:t>
      </w:r>
    </w:p>
    <w:p>
      <w:pPr>
        <w:pStyle w:val="ListBullet"/>
      </w:pPr>
      <w:r>
        <w:t xml:space="preserve">Blazier AS, Papin JA. </w:t>
      </w:r>
      <w:r>
        <w:rPr>
          <w:i/>
        </w:rPr>
        <w:t>Front Physiol</w:t>
      </w:r>
      <w:r>
        <w:t xml:space="preserve"> 2012 3:299 — integration-method comparison.</w:t>
      </w:r>
    </w:p>
    <w:p>
      <w:pPr>
        <w:pStyle w:val="ListBullet"/>
      </w:pPr>
      <w:r>
        <w:t xml:space="preserve">Machado D, Herrgård M. </w:t>
      </w:r>
      <w:r>
        <w:rPr>
          <w:i/>
        </w:rPr>
        <w:t>PLoS Comput Biol</w:t>
      </w:r>
      <w:r>
        <w:t xml:space="preserve"> 2014 10:e1003580 — systematic evaluation.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2D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F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