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FSP237 simulation plan: nutrient/carbon conditions across the </w:t>
      </w:r>
      <w:r>
        <w:rPr>
          <w:i/>
        </w:rPr>
        <w:t>Colletotrichum sublineola</w:t>
      </w:r>
      <w:r>
        <w:t xml:space="preserve"> infection cycle on sorghum</w:t>
      </w:r>
    </w:p>
    <w:p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9E1818"/>
          <w:sz w:val="19"/>
        </w:rPr>
        <w:t>fsp237_biomass_extension/fsp237_atp_safe_gsm_extended.json</w:t>
      </w:r>
    </w:p>
    <w:p>
      <w:r>
        <w:rPr>
          <w:b/>
        </w:rPr>
        <w:t>Compiled:</w:t>
      </w:r>
      <w:r>
        <w:t xml:space="preserve"> 2026-06-22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Section 1 — Summary</w:t>
      </w:r>
    </w:p>
    <w:p>
      <w:r>
        <w:rPr>
          <w:i/>
        </w:rPr>
        <w:t>Colletotrichum sublineola</w:t>
      </w:r>
      <w:r>
        <w:t xml:space="preserve"> (Cs) is a hemibiotrophic ascomycete that causes</w:t>
      </w:r>
    </w:p>
    <w:p>
      <w:r>
        <w:t xml:space="preserve">anthracnose on </w:t>
      </w:r>
      <w:r>
        <w:rPr>
          <w:i/>
        </w:rPr>
        <w:t>Sorghum bicolor</w:t>
      </w:r>
      <w:r>
        <w:t>. Its infection cycle has three metabolically</w:t>
      </w:r>
    </w:p>
    <w:p>
      <w:r>
        <w:t>distinct phases — surface/appressorial (no host access, lipid- and</w:t>
      </w:r>
    </w:p>
    <w:p>
      <w:r>
        <w:t>trehalose-fueled), biotrophic primary hyphae in living cells (apoplastic</w:t>
      </w:r>
    </w:p>
    <w:p>
      <w:r>
        <w:t>sugars and amino acids, low and competitive), and necrotrophic secondary</w:t>
      </w:r>
    </w:p>
    <w:p>
      <w:r>
        <w:t>hyphae after cell lysis (host cytoplasm + cell-wall polysaccharides). Each</w:t>
      </w:r>
    </w:p>
    <w:p>
      <w:r>
        <w:t>phase exposes the fungus to a different substrate panel, and a useful FBA</w:t>
      </w:r>
    </w:p>
    <w:p>
      <w:r>
        <w:t>test regime needs to walk through all three, not just glucose.</w:t>
      </w:r>
    </w:p>
    <w:p>
      <w:r>
        <w:t xml:space="preserve">The proposed plan is </w:t>
      </w:r>
      <w:r>
        <w:rPr>
          <w:b/>
        </w:rPr>
        <w:t>15 single-source tests + 3 stage-mimicking cocktails</w:t>
      </w:r>
      <w:r>
        <w:t>:</w:t>
      </w:r>
    </w:p>
    <w:p>
      <w:pPr>
        <w:pStyle w:val="ListBullet"/>
      </w:pPr>
      <w:r>
        <w:rPr>
          <w:b/>
        </w:rPr>
        <w:t>Pre-infection (4 conditions)</w:t>
      </w:r>
      <w:r>
        <w:t>: trehalose, palmitate, oleate, hexacosanoate — exogenous-storage and cuticle-wax mobilization.</w:t>
      </w:r>
    </w:p>
    <w:p>
      <w:pPr>
        <w:pStyle w:val="ListBullet"/>
      </w:pPr>
      <w:r>
        <w:rPr>
          <w:b/>
        </w:rPr>
        <w:t>Biotrophic (5 conditions)</w:t>
      </w:r>
      <w:r>
        <w:t>: glucose-low, sucrose-low, glutamate, GABA, glutamine — apoplastic substrates accessible during living-cell parasitism.</w:t>
      </w:r>
    </w:p>
    <w:p>
      <w:pPr>
        <w:pStyle w:val="ListBullet"/>
      </w:pPr>
      <w:r>
        <w:rPr>
          <w:b/>
        </w:rPr>
        <w:t>Necrotrophic (6 conditions)</w:t>
      </w:r>
      <w:r>
        <w:t>: starch-derived maltose, sucrose, pectin → galacturonate, cellulose → cellobiose, hemicellulose → xylose, mixed amino acids — broad polymer breakdown.</w:t>
      </w:r>
    </w:p>
    <w:p>
      <w:pPr>
        <w:pStyle w:val="ListBullet"/>
      </w:pPr>
      <w:r>
        <w:rPr>
          <w:b/>
        </w:rPr>
        <w:t>3 cocktails</w:t>
      </w:r>
      <w:r>
        <w:t xml:space="preserve"> combining each stage's signature substrates.</w:t>
      </w:r>
    </w:p>
    <w:p>
      <w:r>
        <w:t xml:space="preserve">Out of these, </w:t>
      </w:r>
      <w:r>
        <w:rPr>
          <w:b/>
        </w:rPr>
        <w:t>5 conditions are expected to need gapfilling</w:t>
      </w:r>
      <w:r>
        <w:t xml:space="preserve"> (hexacosanoate β-oxidation, cellulose hydrolysis, hemicellulose/arabinoxylan branch sugars, starch hydrolysis to maltose, sorghum-specific dhurrin pathway). Each gap, if confirmed, is a </w:t>
      </w:r>
      <w:r>
        <w:rPr>
          <w:i/>
        </w:rPr>
        <w:t>biologically real</w:t>
      </w:r>
      <w:r>
        <w:t xml:space="preserve"> metabolic capacity the model lacks — fixing it improves predictive power, not just feasibility.</w:t>
      </w:r>
    </w:p>
    <w:p>
      <w:r>
        <w:t xml:space="preserve">All conditions use the existing extended model's </w:t>
      </w:r>
      <w:r>
        <w:rPr>
          <w:rFonts w:ascii="Consolas" w:hAnsi="Consolas"/>
          <w:color w:val="9E1818"/>
          <w:sz w:val="19"/>
        </w:rPr>
        <w:t>EX_cpd*_e0</w:t>
      </w:r>
      <w:r>
        <w:t xml:space="preserve"> exchanges; cpd IDs are given so each can be tested immediately by toggling the lower bound.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Section 2 — Recommended nutrient/carbon conditions by infection stage</w:t>
      </w:r>
    </w:p>
    <w:p>
      <w:pPr>
        <w:pStyle w:val="Heading3"/>
      </w:pPr>
      <w:r>
        <w:t>A. Pre-infection / surface stage (0–24 h post-spore-deposit)</w:t>
      </w:r>
    </w:p>
    <w:p>
      <w:r>
        <w:rPr>
          <w:b/>
        </w:rPr>
        <w:t>Biological setting.</w:t>
      </w:r>
      <w:r>
        <w:t xml:space="preserve"> The spore lands on the waxy sorghum leaf surface,</w:t>
      </w:r>
    </w:p>
    <w:p>
      <w:r>
        <w:t>germinates, and forms a melanized appressorium. The cuticle is hydrophobic</w:t>
      </w:r>
    </w:p>
    <w:p>
      <w:r>
        <w:t>and effectively N-, P-, and labile-C-starved. Fungal nutrition is</w:t>
      </w:r>
    </w:p>
    <w:p>
      <w:r>
        <w:rPr>
          <w:b/>
        </w:rPr>
        <w:t>autonomous</w:t>
      </w:r>
      <w:r>
        <w:t xml:space="preserve"> in this phase: trehalose, mannitol, and lipid bodies in the</w:t>
      </w:r>
    </w:p>
    <w:p>
      <w:r>
        <w:t>spore are mobilized, β-oxidation supplies acetyl-CoA, glyoxylate cycle</w:t>
      </w:r>
    </w:p>
    <w:p>
      <w:r>
        <w:t>recycles C2 units into TCA intermediates, and glycerol accumulates to</w:t>
      </w:r>
    </w:p>
    <w:p>
      <w:r>
        <w:t>generate appressorial turgor [Talbot 2003 ARM; Wang &amp; Valent 2017].</w:t>
      </w:r>
    </w:p>
    <w:p>
      <w:r>
        <w:t>Sorghum-leaf surface waxes are dominated by very-long-chain alkanes</w:t>
      </w:r>
    </w:p>
    <w:p>
      <w:r>
        <w:t>(C29 and C31 predominate), primary alcohols (C26–C30), and free fatty</w:t>
      </w:r>
    </w:p>
    <w:p>
      <w:r>
        <w:t>acids C24–C28 [Atkin &amp; Hamilton 1982 J Nat Prod; Yates et al. 1991].</w:t>
      </w:r>
    </w:p>
    <w:p>
      <w:r>
        <w:t>Cutin monomers (ω-hydroxy and dihydroxy C16/C18 acids) become available</w:t>
      </w:r>
    </w:p>
    <w:p>
      <w:r>
        <w:t>once cutinase activity starts.</w:t>
      </w:r>
    </w:p>
    <w:p>
      <w:r>
        <w:rPr>
          <w:b/>
        </w:rPr>
        <w:t>Substrates the model should be able to use: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Substrate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 cpd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Need gapfill?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Trehalose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cpd00794_e0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Endogenous reserve; biomass already includes intracellular TRHL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Glycerol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cpd00100_e0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Appressorial osmolyte / turgor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Palmitate (C16:0)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cpd00214_e0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Storage lipid hydrolysis product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Stearate (C18:0, </w:t>
            </w:r>
            <w:r>
              <w:rPr>
                <w:rFonts w:ascii="Consolas" w:hAnsi="Consolas"/>
                <w:color w:val="9E1818"/>
                <w:sz w:val="18"/>
              </w:rPr>
              <w:t>ocdca</w:t>
            </w:r>
            <w:r>
              <w:rPr>
                <w:sz w:val="18"/>
              </w:rPr>
              <w:t>)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cpd01080_e0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Storage lipid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Octadecenoate (C18:1, oleate)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cpd15269_e0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Major lipid-body FA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Octadecadienoate (C18:2, linoleate)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cpd16888_e0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Major lipid-body FA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Hexacosanoate (C26:0)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cpd15240_e0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Possibly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Cuticle wax FA; β-ox of very-long-chain may be incomplete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Cutin monomers (10,16-dihydroxypalmitate; 9,10,18-trihydroxystearate)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Not in model — would require cutinase output + ω-hydroxy-FA degradation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n-Alkanes (C25–C31)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Not in model — needs P450 alkane hydroxylase + ω-oxidation pathway</w:t>
            </w:r>
          </w:p>
        </w:tc>
      </w:tr>
    </w:tbl>
    <w:p/>
    <w:p>
      <w:pPr>
        <w:pStyle w:val="Heading3"/>
      </w:pPr>
      <w:r>
        <w:t>B. Infection / early biotrophic stage (24–72 h)</w:t>
      </w:r>
    </w:p>
    <w:p>
      <w:r>
        <w:rPr>
          <w:b/>
        </w:rPr>
        <w:t>Biological setting.</w:t>
      </w:r>
      <w:r>
        <w:t xml:space="preserve"> After penetration peg breaches the cuticle and cell</w:t>
      </w:r>
    </w:p>
    <w:p>
      <w:r>
        <w:t>wall (via cutinases + minimal cell-wall enzymes — the biotrophic strategy</w:t>
      </w:r>
    </w:p>
    <w:p>
      <w:r>
        <w:t xml:space="preserve">relies on </w:t>
      </w:r>
      <w:r>
        <w:rPr>
          <w:i/>
        </w:rPr>
        <w:t>not</w:t>
      </w:r>
      <w:r>
        <w:t xml:space="preserve"> destroying the host yet [O'Connell et al. 2012 Nat Genet]),</w:t>
      </w:r>
    </w:p>
    <w:p>
      <w:r>
        <w:t>an infection vesicle forms inside the first epidermal cell. Primary hyphae</w:t>
      </w:r>
    </w:p>
    <w:p>
      <w:r>
        <w:t>(BIH) grow biotrophically through living cells, separated from the host</w:t>
      </w:r>
    </w:p>
    <w:p>
      <w:r>
        <w:t>cytoplasm by an intact plasma membrane. Nutrients are limited to whatever</w:t>
      </w:r>
    </w:p>
    <w:p>
      <w:r>
        <w:t>the host transporters secrete into the apoplast plus what the fungus can</w:t>
      </w:r>
    </w:p>
    <w:p>
      <w:r>
        <w:t>extract via plant SWEET/STP sugar transporters that get manipulated by</w:t>
      </w:r>
    </w:p>
    <w:p>
      <w:r>
        <w:t>effectors [Chen et al. 2010 Nature; Bezrutczyk et al. 2018 New Phytol].</w:t>
      </w:r>
    </w:p>
    <w:p>
      <w:r>
        <w:t xml:space="preserve">The apoplast is </w:t>
      </w:r>
      <w:r>
        <w:rPr>
          <w:b/>
        </w:rPr>
        <w:t>sugar-poor</w:t>
      </w:r>
      <w:r>
        <w:t xml:space="preserve"> (sub-mM glucose/fructose/sucrose), with low</w:t>
      </w:r>
    </w:p>
    <w:p>
      <w:r>
        <w:t>levels of amino acids (Glu/Gln dominant in cereals), some organic acids</w:t>
      </w:r>
    </w:p>
    <w:p>
      <w:r>
        <w:t>(malate, citrate), and the defense-amino-acid GABA which can be re-routed</w:t>
      </w:r>
    </w:p>
    <w:p>
      <w:r>
        <w:t>as N/C by the pathogen [Solomon &amp; Oliver 2002 Planta; Bolton 2009 MPMI].</w:t>
      </w:r>
    </w:p>
    <w:p>
      <w:r>
        <w:rPr>
          <w:b/>
        </w:rPr>
        <w:t>Stage-specific transcriptomic signal (from Cgr/Chig — closest evidence):</w:t>
      </w:r>
    </w:p>
    <w:p>
      <w:r>
        <w:t>during BIH stage, plant cell-wall degrading enzyme (PCWDE) genes are</w:t>
      </w:r>
    </w:p>
    <w:p>
      <w:r>
        <w:rPr>
          <w:b/>
        </w:rPr>
        <w:t>down-regulated</w:t>
      </w:r>
      <w:r>
        <w:t xml:space="preserve"> vs necrotrophic stage; secreted effector + secondary</w:t>
      </w:r>
    </w:p>
    <w:p>
      <w:r>
        <w:t>metabolism genes are sharply up [O'Connell et al. 2012; Vargas et al. 2012</w:t>
      </w:r>
    </w:p>
    <w:p>
      <w:r>
        <w:t>Plant Cell].</w:t>
      </w:r>
    </w:p>
    <w:p>
      <w:r>
        <w:rPr>
          <w:b/>
        </w:rPr>
        <w:t>Substrates the model should be able to use: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Substrate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 cpd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Need gapfill?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Glucose (low, ≤1 mmol/gDW/h)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cpd00027_e0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Apoplastic; rate-limit not glucose-presence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Sucrose (low)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cpd00076_e0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Phloem sugar; needs invertase — already in iMM904 backbone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Fructose (low)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cpd00082_e0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Sucrose hydrolysis product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L-Glutamate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cpd00023_e0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Dominant cereal apoplast AA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L-Glutamine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cpd00053_e0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Dominant N transport AA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L-Asparagine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cpd00132_e0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Cereal N transport AA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L-Aspartate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cpd00041_e0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TCA-linked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GABA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cpd00281_e0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Host defense AA — fungal repurposing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L-Malate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cpd00130_e0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Apoplastic organic acid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Citrate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cpd00137_e0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Apoplastic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Methionine, Lys, Pro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cpd00060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E1818"/>
                <w:sz w:val="18"/>
              </w:rPr>
              <w:t>cpd00039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E1818"/>
                <w:sz w:val="18"/>
              </w:rPr>
              <w:t>cpd00129_e0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Minor apoplastic AAs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Dhurrin / p-hydroxybenzaldehyde (cyanogenic glucoside; sorghum-specific)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Sorghum-distinguishing defense compound; aglycone is toxic — Cs detoxification pathway is biologically relevant but completely absent from the model</w:t>
            </w:r>
          </w:p>
        </w:tc>
      </w:tr>
    </w:tbl>
    <w:p/>
    <w:p>
      <w:pPr>
        <w:pStyle w:val="Heading3"/>
      </w:pPr>
      <w:r>
        <w:t>C. Post-infection / necrotrophic stage (72 h+)</w:t>
      </w:r>
    </w:p>
    <w:p>
      <w:r>
        <w:rPr>
          <w:b/>
        </w:rPr>
        <w:t>Biological setting.</w:t>
      </w:r>
      <w:r>
        <w:t xml:space="preserve"> Cs switches from BIH to thicker, faster-growing</w:t>
      </w:r>
    </w:p>
    <w:p>
      <w:r>
        <w:t>necrotrophic secondary hyphae (NSH). PCWDEs are massively up-regulated</w:t>
      </w:r>
    </w:p>
    <w:p>
      <w:r>
        <w:t>[O'Connell 2012; Vargas 2012]. Host cells are killed and lyse, releasing</w:t>
      </w:r>
    </w:p>
    <w:p>
      <w:r>
        <w:t>cytoplasm (free amino acids, sugars, organic acids, starch) and exposing</w:t>
      </w:r>
    </w:p>
    <w:p>
      <w:r>
        <w:t xml:space="preserve">the cell wall. </w:t>
      </w:r>
      <w:r>
        <w:rPr>
          <w:b/>
        </w:rPr>
        <w:t>Grass (Poaceae) cell walls</w:t>
      </w:r>
      <w:r>
        <w:t xml:space="preserve"> are Type II, with cellulose</w:t>
      </w:r>
    </w:p>
    <w:p>
      <w:r>
        <w:t>microfibrils embedded in glucuronoarabinoxylan (GAX, dominant</w:t>
      </w:r>
    </w:p>
    <w:p>
      <w:r>
        <w:t>hemicellulose), mixed-linkage β-(1,3;1,4)-glucan, low pectin (~5%), and</w:t>
      </w:r>
    </w:p>
    <w:p>
      <w:r>
        <w:t>substantial ferulate cross-links between arabinose decorations on GAX</w:t>
      </w:r>
    </w:p>
    <w:p>
      <w:r>
        <w:t>[Vogel 2008 Curr Opin Plant Biol; Carpita 1996 Annu Rev PMB]. Sorghum</w:t>
      </w:r>
    </w:p>
    <w:p>
      <w:r>
        <w:t xml:space="preserve">also accumulates </w:t>
      </w:r>
      <w:r>
        <w:rPr>
          <w:b/>
        </w:rPr>
        <w:t>starch</w:t>
      </w:r>
      <w:r>
        <w:t xml:space="preserve"> (esp. in stem and grain tissues — major C</w:t>
      </w:r>
    </w:p>
    <w:p>
      <w:r>
        <w:t xml:space="preserve">reserve), free </w:t>
      </w:r>
      <w:r>
        <w:rPr>
          <w:b/>
        </w:rPr>
        <w:t>proline</w:t>
      </w:r>
      <w:r>
        <w:t xml:space="preserve"> (osmotic adjustment in drought), and during</w:t>
      </w:r>
    </w:p>
    <w:p>
      <w:r>
        <w:t xml:space="preserve">senescence/decay accumulates free </w:t>
      </w:r>
      <w:r>
        <w:rPr>
          <w:b/>
        </w:rPr>
        <w:t>sucrose and hexoses</w:t>
      </w:r>
      <w:r>
        <w:t xml:space="preserve"> from polymer</w:t>
      </w:r>
    </w:p>
    <w:p>
      <w:r>
        <w:t>breakdown.</w:t>
      </w:r>
    </w:p>
    <w:p>
      <w:r>
        <w:rPr>
          <w:b/>
        </w:rPr>
        <w:t>Substrates the model should be able to use: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Substrate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 cpd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Need gapfill?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Sucrose (high)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cpd00076_e0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Major phloem/storage sugar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Maltose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cpd00179_e0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(consumption); </w:t>
            </w:r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for </w:t>
            </w:r>
            <w:r>
              <w:rPr>
                <w:i/>
                <w:sz w:val="18"/>
              </w:rPr>
              <w:t>production from starch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Starch breakdown product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Starch (amylose/amylopectin)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Not in model as exchange; need α-amylase + glucoamylase to maltose/glucose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Cellobiose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Cellulose breakdown intermediate; need β-glucosidase + transport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Cellulose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Not feasible directly; expected to need cellobiohydrolase + transport stub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Xylose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cpd00154_e0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(uptake); </w:t>
            </w:r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for hemicellulose chain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Hemicellulose monomer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L-Arabinose / D-Arabinose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cpd00224_e0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9E1818"/>
                <w:sz w:val="18"/>
              </w:rPr>
              <w:t>cpd00185_e0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Arabinoxylan side-chain monomer; D-arabinose path was added in extension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D-Galacturonate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cpd00280_e0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Pectin backbone monomer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Pectin (homogalacturonan)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cpd11601_e0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 (exchange exists)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 already produce galacturonate — verify in flux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1,3-β-Glucan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cpd11791_e0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Cell wall + own wall material; verify uptake mode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Glycerol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cpd00100_e0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Lipid backbone from membrane lysis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Mixed amino acids (proteinogenic)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various </w:t>
            </w:r>
            <w:r>
              <w:rPr>
                <w:rFonts w:ascii="Consolas" w:hAnsi="Consolas"/>
                <w:color w:val="9E1818"/>
                <w:sz w:val="18"/>
              </w:rPr>
              <w:t>cpd000*_e0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All 20 present as exchanges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Lecithin / phosphatidylcholine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cpd11624_e0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Membrane lipid release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Ferulate / p-coumarate (lignin-bound)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Sorghum cell wall is rich in hydroxycinnamates; degradation generates aromatic acids — </w:t>
            </w:r>
            <w:r>
              <w:rPr>
                <w:i/>
                <w:sz w:val="18"/>
              </w:rPr>
              <w:t>not in model</w:t>
            </w:r>
          </w:p>
        </w:tc>
      </w:tr>
    </w:tbl>
    <w:p/>
    <w:p>
      <w:pPr>
        <w:pBdr>
          <w:bottom w:val="single" w:sz="6" w:color="C0C7D0"/>
        </w:pBdr>
      </w:pPr>
    </w:p>
    <w:p>
      <w:pPr>
        <w:pStyle w:val="Heading2"/>
      </w:pPr>
      <w:r>
        <w:t>Section 3 — Recommended simulation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71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571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Carbon source</w:t>
            </w:r>
          </w:p>
        </w:tc>
        <w:tc>
          <w:tcPr>
            <w:tcW w:type="dxa" w:w="1571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Model cpd</w:t>
            </w:r>
          </w:p>
        </w:tc>
        <w:tc>
          <w:tcPr>
            <w:tcW w:type="dxa" w:w="1571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Medium concept</w:t>
            </w:r>
          </w:p>
        </w:tc>
        <w:tc>
          <w:tcPr>
            <w:tcW w:type="dxa" w:w="1571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Biological rationale</w:t>
            </w:r>
          </w:p>
        </w:tc>
        <w:tc>
          <w:tcPr>
            <w:tcW w:type="dxa" w:w="1571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 behavior</w:t>
            </w:r>
          </w:p>
        </w:tc>
        <w:tc>
          <w:tcPr>
            <w:tcW w:type="dxa" w:w="1571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Gapfill?</w:t>
            </w:r>
          </w:p>
        </w:tc>
        <w:tc>
          <w:tcPr>
            <w:tcW w:type="dxa" w:w="1571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Pre-infection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Trehalose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cpd00794_e0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trehalose, –1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Spore reserve mobilization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at modest rate (~0.3–0.4× glc)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Tests trehalase + hexokinase route</w:t>
            </w:r>
          </w:p>
        </w:tc>
      </w:tr>
      <w:tr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Pre-infection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Glycerol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cpd00100_e0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glycerol, –1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Appressorial osmolyte; also lipid backbone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(gluconeogenesis + glycerol-3-P)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Confirms G3P dehydrogenase wired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Pre-infection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Palmitate (C16:0)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cpd00214_e0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palmitate, –1; glyoxylate ON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Lipid-body β-oxidation + glyoxylate cycle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(requires ICL/MLS)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Diagnostic for glyoxylate shunt</w:t>
            </w:r>
          </w:p>
        </w:tc>
      </w:tr>
      <w:tr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Pre-infection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Oleate (C18:1)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cpd15269_e0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oleate, –1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Major lipid-body FA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Growth; tests Δ9 desaturase reverse-flux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Pre-infection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Hexacosanoate (C26:0)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cpd15240_e0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C26 FA, –1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Cuticle-wax FA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Test:</w:t>
            </w:r>
            <w:r>
              <w:rPr>
                <w:sz w:val="18"/>
              </w:rPr>
              <w:t xml:space="preserve"> may stall if very-long-chain β-ox missing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Possibly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Sorghum surface wax breakdown</w:t>
            </w:r>
          </w:p>
        </w:tc>
      </w:tr>
      <w:tr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Biotrophic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Glucose (LOW, –1)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cpd00027_e0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minimal, glc=−1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Apoplastic limitation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Linear growth, low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 low-C condition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Biotrophic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Sucrose (LOW, –0.5)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cpd00076_e0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minimal, sucrose=−0.5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Phloem sugar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at ~2× glc-low (2 hexoses/sucrose)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Tests invertase + sugar mobilization</w:t>
            </w:r>
          </w:p>
        </w:tc>
      </w:tr>
      <w:tr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Biotrophic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L-Glutamate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cpd00023_e0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Glu –2 (C+N)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Apoplastic AA serving both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via α-KG → TCA; N from amide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 also satisfy N demand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Biotrophic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L-Glutamine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cpd00053_e0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Gln –2 (C+N)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Major N-transport AA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Growth, supplies 2N + α-KG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Biotrophic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GABA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cpd00281_e0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GABA –2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Plant-defense AA repurposed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via GABA shunt → succinate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If FAILS, model misses GABA shunt — important fix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Necrotrophic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Galacturonate (pectin)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cpd00280_e0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galU –5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Pectin breakdown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via Ashwell pathway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 necrotroph polymer C</w:t>
            </w:r>
          </w:p>
        </w:tc>
      </w:tr>
      <w:tr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Necrotrophic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Xylose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cpd00154_e0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Xyl –5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Hemicellulose monomer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via XR/XDH or isomerase route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Tests xylose assimilation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Necrotrophic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L-Arabinose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cpd00224_e0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Ara –5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Arabinoxylan side-chain monomer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via arabinose isomerase route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Cereal-specific</w:t>
            </w:r>
          </w:p>
        </w:tc>
      </w:tr>
      <w:tr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Necrotrophic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Maltose (starch proxy)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cpd00179_e0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minimal + maltose –5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Starch breakdown product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via maltase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Acceptable starch proxy without amylase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Necrotrophic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Mixed amino acids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10–20 AA exchanges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rich-AA + glc=−0.5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Cytoplasmic release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High biomass; N+C from AA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Cell-lysis simulation</w:t>
            </w:r>
          </w:p>
        </w:tc>
      </w:tr>
      <w:tr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Cocktail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Pre-infection mix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trehalose+glycerol+oleate at –0.3 each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starvation but lipid-fueled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Spore-stage realism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at low rate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 respire heavily</w:t>
            </w:r>
          </w:p>
        </w:tc>
      </w:tr>
      <w:tr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Cocktail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Biotrophic mix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glc=−0.3, suc=−0.2, glu=−0.5, gln=−0.5, mal=−0.5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apoplast cocktail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Living-cell parasitism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Growth at intermediate rate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</w:tcPr>
          <w:p>
            <w:r>
              <w:rPr>
                <w:sz w:val="18"/>
              </w:rPr>
            </w:r>
            <w:r>
              <w:rPr>
                <w:sz w:val="18"/>
              </w:rPr>
              <w:t>Tests AA + sugar integration</w:t>
            </w:r>
          </w:p>
        </w:tc>
      </w:tr>
      <w:tr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Cocktail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Necrotrophic mix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suc=−2, maltose=−2, galU=−1, xyl=−1, ara=−0.5, mixed AA=−0.2 each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host cytoplasm + cell wall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Lysed-cell realism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Highest</w:t>
            </w:r>
            <w:r>
              <w:rPr>
                <w:sz w:val="18"/>
              </w:rPr>
              <w:t xml:space="preserve"> biomass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571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Should outperform any single C</w:t>
            </w:r>
          </w:p>
        </w:tc>
      </w:tr>
    </w:tbl>
    <w:p/>
    <w:p>
      <w:pPr>
        <w:pBdr>
          <w:bottom w:val="single" w:sz="6" w:color="C0C7D0"/>
        </w:pBdr>
      </w:pPr>
    </w:p>
    <w:p>
      <w:pPr>
        <w:pStyle w:val="Heading2"/>
      </w:pPr>
      <w:r>
        <w:t>Section 4 — Highest-priority conditions to test first</w:t>
      </w:r>
    </w:p>
    <w:p>
      <w:r>
        <w:t>Ranked by what each result tells you about the model and the biology:</w:t>
      </w:r>
    </w:p>
    <w:p>
      <w:pPr>
        <w:pStyle w:val="ListNumber"/>
      </w:pPr>
      <w:r>
        <w:rPr>
          <w:b/>
        </w:rPr>
        <w:t>#6 Glucose-low (biotrophic reference)</w:t>
      </w:r>
      <w:r>
        <w:t xml:space="preserve"> — baseline. If this doesn't match the existing baseline (biomass ≈ 0.18 aerobic), something drifted.</w:t>
      </w:r>
    </w:p>
    <w:p>
      <w:pPr>
        <w:pStyle w:val="ListNumber"/>
      </w:pPr>
      <w:r>
        <w:rPr>
          <w:b/>
        </w:rPr>
        <w:t>#3 Palmitate</w:t>
      </w:r>
      <w:r>
        <w:t xml:space="preserve"> — diagnostic for the glyoxylate cycle wiring. Cs MUST grow on lipids alone during the appressorial stage; if it can't, the model needs ICL/MLS curation.</w:t>
      </w:r>
    </w:p>
    <w:p>
      <w:pPr>
        <w:pStyle w:val="ListNumber"/>
      </w:pPr>
      <w:r>
        <w:rPr>
          <w:b/>
        </w:rPr>
        <w:t>#1 Trehalose</w:t>
      </w:r>
      <w:r>
        <w:t xml:space="preserve"> — spore-reserve test. Should grow at roughly 2× hexose rate.</w:t>
      </w:r>
    </w:p>
    <w:p>
      <w:pPr>
        <w:pStyle w:val="ListNumber"/>
      </w:pPr>
      <w:r>
        <w:rPr>
          <w:b/>
        </w:rPr>
        <w:t>#11 Galacturonate</w:t>
      </w:r>
      <w:r>
        <w:t xml:space="preserve"> — necrotrophic polymer breakdown; Ashwell pathway is a standard Colletotrichum capacity. Failure flags a CAZyme-downstream gap.</w:t>
      </w:r>
    </w:p>
    <w:p>
      <w:pPr>
        <w:pStyle w:val="ListNumber"/>
      </w:pPr>
      <w:r>
        <w:rPr>
          <w:b/>
        </w:rPr>
        <w:t>#10 GABA</w:t>
      </w:r>
      <w:r>
        <w:t xml:space="preserve"> — biotrophic re-routing of host defense AA. Functional GABA shunt is a hallmark of phytopathogen success in living tissue.</w:t>
      </w:r>
    </w:p>
    <w:p>
      <w:pPr>
        <w:pStyle w:val="ListNumber"/>
      </w:pPr>
      <w:r>
        <w:rPr>
          <w:b/>
        </w:rPr>
        <w:t>#17 Biotrophic cocktail</w:t>
      </w:r>
      <w:r>
        <w:t xml:space="preserve"> — first integrative test. Should reveal whether the model handles mixed limiting substrates correctly.</w:t>
      </w:r>
    </w:p>
    <w:p>
      <w:pPr>
        <w:pStyle w:val="ListNumber"/>
      </w:pPr>
      <w:r>
        <w:rPr>
          <w:b/>
        </w:rPr>
        <w:t>#18 Necrotrophic cocktail</w:t>
      </w:r>
      <w:r>
        <w:t xml:space="preserve"> — should produce the highest biomass of any condition.</w:t>
      </w:r>
    </w:p>
    <w:p>
      <w:pPr>
        <w:pStyle w:val="ListNumber"/>
      </w:pPr>
      <w:r>
        <w:rPr>
          <w:b/>
        </w:rPr>
        <w:t>#16 Pre-infection cocktail</w:t>
      </w:r>
      <w:r>
        <w:t xml:space="preserve"> — should produce the lowest biomass (correctly).</w:t>
      </w:r>
    </w:p>
    <w:p>
      <w:pPr>
        <w:pStyle w:val="ListNumber"/>
      </w:pPr>
      <w:r>
        <w:rPr>
          <w:b/>
        </w:rPr>
        <w:t>#5 Hexacosanoate (C26)</w:t>
      </w:r>
      <w:r>
        <w:t xml:space="preserve"> — </w:t>
      </w:r>
      <w:r>
        <w:rPr>
          <w:i/>
        </w:rPr>
        <w:t>failure here is expected and informative.</w:t>
      </w:r>
      <w:r>
        <w:t xml:space="preserve"> Tells you exactly which very-long-chain β-ox steps to add.</w:t>
      </w:r>
    </w:p>
    <w:p>
      <w:pPr>
        <w:pStyle w:val="ListNumber"/>
      </w:pPr>
      <w:r>
        <w:rPr>
          <w:b/>
        </w:rPr>
        <w:t>#12, #13 Xylose / Arabinose</w:t>
      </w:r>
      <w:r>
        <w:t xml:space="preserve"> — verify hemicellulose-monomer assimilation works.</w:t>
      </w:r>
    </w:p>
    <w:p>
      <w:r>
        <w:t xml:space="preserve">Run </w:t>
      </w:r>
      <w:r>
        <w:rPr>
          <w:b/>
        </w:rPr>
        <w:t>1–8 first</w:t>
      </w:r>
      <w:r>
        <w:t>; their outcomes will shape what gapfilling is worth doing for the lower-priority conditions.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Section 5 — Key biological questions the simulations should answer</w:t>
      </w:r>
    </w:p>
    <w:p>
      <w:r>
        <w:rPr>
          <w:b/>
        </w:rPr>
        <w:t>Q1. Can the model support the metabolic transition from lipid-only (appressorial) to sugar-rich (necrotrophic)?</w:t>
      </w:r>
    </w:p>
    <w:p>
      <w:r>
        <w:t>This is the most fundamental hemibiotroph test. If conditions 1–4 grow at non-zero rate and 18 grows at the highest rate, the model can describe the full lifecycle in principle. If lipid-only conditions fail, the glyoxylate cycle wiring or β-oxidation is incomplete.</w:t>
      </w:r>
    </w:p>
    <w:p>
      <w:r>
        <w:rPr>
          <w:b/>
        </w:rPr>
        <w:t>Q2. Which host-derived substrates yield the highest biomass per C-atom?</w:t>
      </w:r>
    </w:p>
    <w:p>
      <w:r>
        <w:t xml:space="preserve">Sort conditions 6–15 by </w:t>
      </w:r>
      <w:r>
        <w:rPr>
          <w:rFonts w:ascii="Consolas" w:hAnsi="Consolas"/>
          <w:color w:val="9E1818"/>
          <w:sz w:val="19"/>
        </w:rPr>
        <w:t>biomass / C-uptake-rate</w:t>
      </w:r>
      <w:r>
        <w:t>. Expected winners: sucrose, mixed-AA, glutamine (cofactor-of-2 because it's C+N). Expected laggards: galacturonate, arabinose. A surprise in this ranking points at a flux bottleneck.</w:t>
      </w:r>
    </w:p>
    <w:p>
      <w:r>
        <w:rPr>
          <w:b/>
        </w:rPr>
        <w:t>Q3. Does GABA grow Cs?</w:t>
      </w:r>
    </w:p>
    <w:p>
      <w:r>
        <w:t xml:space="preserve">Plant defense releases GABA; </w:t>
      </w:r>
      <w:r>
        <w:rPr>
          <w:i/>
        </w:rPr>
        <w:t>successful</w:t>
      </w:r>
      <w:r>
        <w:t xml:space="preserve"> fungal pathogens reroute it via the GABA shunt (GABA → succinic semialdehyde → succinate). If condition #10 fails, the model is missing a documented Colletotrichum capacity — gapfill GABA transaminase + SSA dehydrogenase.</w:t>
      </w:r>
    </w:p>
    <w:p>
      <w:r>
        <w:rPr>
          <w:b/>
        </w:rPr>
        <w:t>Q4. Does the model expose the right starch-handling gap?</w:t>
      </w:r>
    </w:p>
    <w:p>
      <w:r>
        <w:t>Maltose alone (cond. #14) should work; full starch (no exchange) is expected to fail. Confirming this guides whether to add an α-amylase + glucoamylase chain or a starch-→-maltose lumped stub.</w:t>
      </w:r>
    </w:p>
    <w:p>
      <w:r>
        <w:rPr>
          <w:b/>
        </w:rPr>
        <w:t>Q5. Is there evidence the model needs cuticle-wax β-oxidation extension?</w:t>
      </w:r>
    </w:p>
    <w:p>
      <w:r>
        <w:t>Condition #5 (C26) tests this. Sorghum surface is rich in C26-C30 alkanes/FA. A robust Cs model should grow on C26 at non-zero rate (slow but positive). Failure → extend β-oxidation peroxisomal cycle by ≥4 rounds.</w:t>
      </w:r>
    </w:p>
    <w:p>
      <w:r>
        <w:rPr>
          <w:b/>
        </w:rPr>
        <w:t>Q6. Does the model show the expected biotrophic → necrotrophic biomass jump?</w:t>
      </w:r>
    </w:p>
    <w:p>
      <w:r>
        <w:t>Compare cocktails #17 vs #18. The literature describes a ~3–5× faster necrotrophic growth than biotrophic [O'Connell 2012]. If #18 is not noticeably higher than #17, mixed-substrate routing or NGAM may be miscalibrated.</w:t>
      </w:r>
    </w:p>
    <w:p>
      <w:r>
        <w:rPr>
          <w:b/>
        </w:rPr>
        <w:t>Q7. Where does the model break first?</w:t>
      </w:r>
    </w:p>
    <w:p>
      <w:r>
        <w:t xml:space="preserve">The 5 expected-gapfill conditions (#5, starch, cellulose, cellobiose, ferulate/dhurrin) are </w:t>
      </w:r>
      <w:r>
        <w:rPr>
          <w:i/>
        </w:rPr>
        <w:t>intentionally</w:t>
      </w:r>
      <w:r>
        <w:t xml:space="preserve"> in the panel to expose biologically real gaps. Each failure is a curated </w:t>
      </w:r>
      <w:r>
        <w:rPr>
          <w:rFonts w:ascii="Consolas" w:hAnsi="Consolas"/>
          <w:color w:val="9E1818"/>
          <w:sz w:val="19"/>
        </w:rPr>
        <w:t>extend_biomass.py</w:t>
      </w:r>
      <w:r>
        <w:t>-style follow-up.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Evidence-quality footnote</w:t>
      </w:r>
    </w:p>
    <w:p>
      <w:pPr>
        <w:pStyle w:val="ListBullet"/>
      </w:pPr>
      <w:r>
        <w:rPr>
          <w:b/>
        </w:rPr>
        <w:t>Direct Cs–sorghum evidence</w:t>
      </w:r>
      <w:r>
        <w:t>: Buiate et al. 2017 BMC Genomics (Cs vs Cgr comparative); Latunde-Dada &amp; Lucas 2007 Mol Plant Pathol (Cs infection on sorghum); Baroncelli et al. 2014 Genome Announc 2:e00540-14 (Cs TX430BB genome). These confirm Cs is a hemibiotroph with expanded CAZyme repertoire.</w:t>
      </w:r>
    </w:p>
    <w:p>
      <w:pPr>
        <w:pStyle w:val="ListBullet"/>
      </w:pPr>
      <w:r>
        <w:rPr>
          <w:b/>
        </w:rPr>
        <w:t>Closest indirect</w:t>
      </w:r>
      <w:r>
        <w:t xml:space="preserve"> (other graminicolous </w:t>
      </w:r>
      <w:r>
        <w:rPr>
          <w:i/>
        </w:rPr>
        <w:t>Colletotrichum</w:t>
      </w:r>
      <w:r>
        <w:t>): Vargas et al. 2012 Plant Cell (</w:t>
      </w:r>
      <w:r>
        <w:rPr>
          <w:i/>
        </w:rPr>
        <w:t>C. graminicola</w:t>
      </w:r>
      <w:r>
        <w:t xml:space="preserve"> on maize, full appressorial-to-necrotrophic biology); O'Connell et al. 2012 Nat Genet (</w:t>
      </w:r>
      <w:r>
        <w:rPr>
          <w:i/>
        </w:rPr>
        <w:t>C. higginsianum</w:t>
      </w:r>
      <w:r>
        <w:t xml:space="preserve"> + </w:t>
      </w:r>
      <w:r>
        <w:rPr>
          <w:i/>
        </w:rPr>
        <w:t>C. graminicola</w:t>
      </w:r>
      <w:r>
        <w:t xml:space="preserve"> in planta transcriptomes — defined the BIH/NSH transition framework).</w:t>
      </w:r>
    </w:p>
    <w:p>
      <w:pPr>
        <w:pStyle w:val="ListBullet"/>
      </w:pPr>
      <w:r>
        <w:rPr>
          <w:b/>
        </w:rPr>
        <w:t>Hemibiotrophy + appressorium metabolism</w:t>
      </w:r>
      <w:r>
        <w:t xml:space="preserve"> (genus-level / kingdom-level): Münch et al. 2008 Mycol Res; Talbot 2003 Annu Rev Microbiol; Wang &amp; Valent 2017 Trends Microbiol.</w:t>
      </w:r>
    </w:p>
    <w:p>
      <w:pPr>
        <w:pStyle w:val="ListBullet"/>
      </w:pPr>
      <w:r>
        <w:rPr>
          <w:b/>
        </w:rPr>
        <w:t>Grass cell wall / sorghum surface chemistry</w:t>
      </w:r>
      <w:r>
        <w:t>: Vogel 2008 Curr Opin Plant Biol; Carpita 1996 Annu Rev PMB; Atkin &amp; Hamilton 1982 J Nat Prod; Yates et al. 1991 (sorghum wax).</w:t>
      </w:r>
    </w:p>
    <w:p>
      <w:pPr>
        <w:pStyle w:val="ListBullet"/>
      </w:pPr>
      <w:r>
        <w:rPr>
          <w:b/>
        </w:rPr>
        <w:t>Apoplast nutrient panel</w:t>
      </w:r>
      <w:r>
        <w:t>: Solomon &amp; Oliver 2002 Planta; Bolton 2009 MPMI; Bezrutczyk et al. 2018 New Phytol (SWEET transporters).</w:t>
      </w:r>
    </w:p>
    <w:p>
      <w:pPr>
        <w:pStyle w:val="ListBullet"/>
      </w:pPr>
      <w:r>
        <w:rPr>
          <w:b/>
        </w:rPr>
        <w:t>Sorghum-specific compounds</w:t>
      </w:r>
      <w:r>
        <w:t>: dhurrin biosynthesis/distribution (Gleadow &amp; Møller 2014 Annu Rev Plant Biol); arabinoxylan + ferulate cross-links (Burton &amp; Fincher 2014 Curr Opin Plant Biol).</w:t>
      </w:r>
    </w:p>
    <w:p>
      <w:r>
        <w:t>Where direct Cs evidence is sparse, the simulation plan defaults to the</w:t>
      </w:r>
    </w:p>
    <w:p>
      <w:r>
        <w:rPr>
          <w:i/>
        </w:rPr>
        <w:t>C. graminicola</w:t>
      </w:r>
      <w:r>
        <w:t xml:space="preserve"> + </w:t>
      </w:r>
      <w:r>
        <w:rPr>
          <w:i/>
        </w:rPr>
        <w:t>C. higginsianum</w:t>
      </w:r>
      <w:r>
        <w:t xml:space="preserve"> paradigm (same hemibiotrophic</w:t>
      </w:r>
    </w:p>
    <w:p>
      <w:r>
        <w:t>lifestyle, related genome scale, well-studied in planta transcriptomes).</w:t>
      </w:r>
    </w:p>
    <w:p>
      <w:r>
        <w:t>This is the standard practice in the field and is the basis for the</w:t>
      </w:r>
    </w:p>
    <w:p>
      <w:r>
        <w:t>sorghum-context choices above; any condition flagged "Yes" for gapfill</w:t>
      </w:r>
    </w:p>
    <w:p>
      <w:r>
        <w:t>should ultimately be confirmed against Cs-specific in vitro carbon-source</w:t>
      </w:r>
    </w:p>
    <w:p>
      <w:r>
        <w:t>growth data when available.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2D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2D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