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Literature support for oleate (C18:1) as a pre-infection-stage carbon source for </w:t>
      </w:r>
      <w:r>
        <w:rPr>
          <w:i/>
        </w:rPr>
        <w:t>Colletotrichum sublineola</w:t>
      </w:r>
    </w:p>
    <w:p>
      <w:r>
        <w:rPr>
          <w:b/>
        </w:rPr>
        <w:t>Context:</w:t>
      </w:r>
      <w:r>
        <w:t xml:space="preserve"> Condition #04 of the FSP237 simulation panel uses oleate</w:t>
      </w:r>
    </w:p>
    <w:p>
      <w:r>
        <w:t>(cpd15269_e0) as the sole carbon source at 1 mmol/gDW/h to model the</w:t>
      </w:r>
    </w:p>
    <w:p>
      <w:r>
        <w:t>pre-infection / appressorial metabolic state. This note documents the</w:t>
      </w:r>
    </w:p>
    <w:p>
      <w:r>
        <w:t>biological evidence for that choice.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TL;DR</w:t>
      </w:r>
    </w:p>
    <w:p>
      <w:r>
        <w:t>Oleate (C18:1) is the **dominant fatty acid in fungal triacylglycerol</w:t>
      </w:r>
    </w:p>
    <w:p>
      <w:r>
        <w:t>(TAG) lipid bodies** of conidia/spores across plant-pathogenic fungi.</w:t>
      </w:r>
    </w:p>
    <w:p>
      <w:r>
        <w:t>During germination and appressorium formation, those lipid bodies are</w:t>
      </w:r>
    </w:p>
    <w:p>
      <w:r>
        <w:t>mobilized and the released long-chain fatty acids — predominantly</w:t>
      </w:r>
    </w:p>
    <w:p>
      <w:r>
        <w:t xml:space="preserve">oleate — are degraded by </w:t>
      </w:r>
      <w:r>
        <w:rPr>
          <w:b/>
        </w:rPr>
        <w:t>peroxisomal β-oxidation</w:t>
      </w:r>
      <w:r>
        <w:t>. Acetyl-CoA from</w:t>
      </w:r>
    </w:p>
    <w:p>
      <w:r>
        <w:t xml:space="preserve">β-ox feeds the </w:t>
      </w:r>
      <w:r>
        <w:rPr>
          <w:b/>
        </w:rPr>
        <w:t>glyoxylate cycle</w:t>
      </w:r>
      <w:r>
        <w:t xml:space="preserve"> to support gluconeogenesis,</w:t>
      </w:r>
    </w:p>
    <w:p>
      <w:r>
        <w:t>biomass, and the high turgor pressure needed for appressorial</w:t>
      </w:r>
    </w:p>
    <w:p>
      <w:r>
        <w:t>penetration. Genetic knockouts of β-oxidation or the glyoxylate cycle</w:t>
      </w:r>
    </w:p>
    <w:p>
      <w:r>
        <w:t xml:space="preserve">abolish virulence in </w:t>
      </w:r>
      <w:r>
        <w:rPr>
          <w:i/>
        </w:rPr>
        <w:t>Magnaporthe oryzae</w:t>
      </w:r>
      <w:r>
        <w:t>, *Colletotrichum</w:t>
      </w:r>
    </w:p>
    <w:p>
      <w:r>
        <w:t>orbiculare</w:t>
      </w:r>
      <w:r>
        <w:rPr>
          <w:i/>
        </w:rPr>
        <w:t xml:space="preserve">, </w:t>
      </w:r>
      <w:r>
        <w:t>Leptosphaeria maculans</w:t>
      </w:r>
      <w:r>
        <w:rPr>
          <w:i/>
        </w:rPr>
        <w:t xml:space="preserve">, and </w:t>
      </w:r>
      <w:r>
        <w:t>Stagonospora nodorum* —</w:t>
      </w:r>
    </w:p>
    <w:p>
      <w:r>
        <w:t>all phytopathogenic fungi that use appressorial / appressorial-like</w:t>
      </w:r>
    </w:p>
    <w:p>
      <w:r>
        <w:t xml:space="preserve">penetration, which is exactly the </w:t>
      </w:r>
      <w:r>
        <w:rPr>
          <w:i/>
        </w:rPr>
        <w:t>Colletotrichum</w:t>
      </w:r>
      <w:r>
        <w:t xml:space="preserve"> lifestyle that</w:t>
      </w:r>
    </w:p>
    <w:p>
      <w:r>
        <w:t>applies to Cs–sorghum.</w:t>
      </w:r>
    </w:p>
    <w:p>
      <w:r>
        <w:t>Five layers of evidence below, in order from "direct Cs–sorghum" to</w:t>
      </w:r>
    </w:p>
    <w:p>
      <w:r>
        <w:t>"genus-level Colletotrichum" to "kingdom-level fungal phytopathogens"</w:t>
      </w:r>
    </w:p>
    <w:p>
      <w:r>
        <w:t>to "biochemical baseline".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 xml:space="preserve">1. Direct </w:t>
      </w:r>
      <w:r>
        <w:rPr>
          <w:i/>
        </w:rPr>
        <w:t>Colletotrichum</w:t>
      </w:r>
      <w:r>
        <w:t xml:space="preserve"> evidence (closest available)</w:t>
      </w:r>
    </w:p>
    <w:p>
      <w:pPr>
        <w:pStyle w:val="Heading3"/>
      </w:pPr>
      <w:r>
        <w:t>1.1 Pexophagy of mobilized peroxisomes during host invasion</w:t>
      </w:r>
    </w:p>
    <w:p>
      <w:r>
        <w:t>**Asakura M, Ninomiya S, Sugimoto M, Oku M, Yamashita S, Okuno T,</w:t>
      </w:r>
    </w:p>
    <w:p>
      <w:r>
        <w:t>Sakai Y, Takano Y. 2009.** Atg26-mediated pexophagy is required for</w:t>
      </w:r>
    </w:p>
    <w:p>
      <w:r>
        <w:t>host invasion by the plant pathogenic fungus *Colletotrichum</w:t>
      </w:r>
    </w:p>
    <w:p>
      <w:r>
        <w:t>orbiculare</w:t>
      </w:r>
      <w:r>
        <w:rPr>
          <w:i/>
        </w:rPr>
        <w:t xml:space="preserve">. </w:t>
      </w:r>
      <w:r>
        <w:t>Plant Cell</w:t>
      </w:r>
      <w:r>
        <w:rPr>
          <w:i/>
        </w:rPr>
        <w:t xml:space="preserve"> 21:1291–1304. </w:t>
      </w:r>
      <w:r>
        <w:rPr>
          <w:i/>
        </w:rPr>
        <w:t>PMID 19363139.</w:t>
      </w:r>
      <w:r>
        <w:t>*</w:t>
      </w:r>
    </w:p>
    <w:p>
      <w:r>
        <w:t xml:space="preserve">Key finding (direct support): </w:t>
      </w:r>
      <w:r>
        <w:rPr>
          <w:i/>
        </w:rPr>
        <w:t>Colletotrichum orbiculare</w:t>
      </w:r>
      <w:r>
        <w:t xml:space="preserve"> requires</w:t>
      </w:r>
    </w:p>
    <w:p>
      <w:r>
        <w:t>peroxisomal function for appressorium-mediated penetration of the</w:t>
      </w:r>
    </w:p>
    <w:p>
      <w:r>
        <w:t>cucumber host. Pexophagy (selective autophagy of peroxisomes after</w:t>
      </w:r>
    </w:p>
    <w:p>
      <w:r>
        <w:t>their lipid-mobilization role) is required for virulence. The</w:t>
      </w:r>
    </w:p>
    <w:p>
      <w:r>
        <w:t>peroxisome's central function in this stage is β-oxidation of lipid-</w:t>
      </w:r>
    </w:p>
    <w:p>
      <w:r>
        <w:t>body fatty acids. ATG26 deletion mutants form normal appressoria but</w:t>
      </w:r>
    </w:p>
    <w:p>
      <w:r>
        <w:t>fail to penetrate — direct evidence that lipid-body-derived FA β-ox</w:t>
      </w:r>
    </w:p>
    <w:p>
      <w:r>
        <w:t xml:space="preserve">fuels penetration in a </w:t>
      </w:r>
      <w:r>
        <w:rPr>
          <w:i/>
        </w:rPr>
        <w:t>Colletotrichum</w:t>
      </w:r>
      <w:r>
        <w:t>.</w:t>
      </w:r>
    </w:p>
    <w:p>
      <w:pPr>
        <w:pStyle w:val="Heading3"/>
      </w:pPr>
      <w:r>
        <w:t>1.2 In planta transcriptomic evidence</w:t>
      </w:r>
    </w:p>
    <w:p>
      <w:r>
        <w:t>**O'Connell RJ, Thon MR, Hacquard S, Amyotte SG, Kleemann J, et al.</w:t>
      </w:r>
    </w:p>
    <w:p>
      <w:r>
        <w:t>2012.*</w:t>
      </w:r>
      <w:r>
        <w:rPr>
          <w:i/>
        </w:rPr>
        <w:t xml:space="preserve"> Lifestyle transitions in plant pathogenic </w:t>
      </w:r>
      <w:r>
        <w:t>Colletotrichum*</w:t>
      </w:r>
    </w:p>
    <w:p>
      <w:r>
        <w:t>fungi deciphered by genome and transcriptome analyses. *Nature</w:t>
      </w:r>
    </w:p>
    <w:p>
      <w:r>
        <w:t>Genetics</w:t>
      </w:r>
      <w:r>
        <w:rPr>
          <w:i/>
        </w:rPr>
        <w:t xml:space="preserve"> 44:1060–1065. </w:t>
      </w:r>
      <w:r>
        <w:rPr>
          <w:i/>
        </w:rPr>
        <w:t>PMID 22885923.</w:t>
      </w:r>
      <w:r>
        <w:t>*</w:t>
      </w:r>
    </w:p>
    <w:p>
      <w:r>
        <w:t xml:space="preserve">Sequenced and RNA-seq'd both </w:t>
      </w:r>
      <w:r>
        <w:rPr>
          <w:i/>
        </w:rPr>
        <w:t>C. higginsianum</w:t>
      </w:r>
      <w:r>
        <w:t xml:space="preserve"> (on </w:t>
      </w:r>
      <w:r>
        <w:rPr>
          <w:i/>
        </w:rPr>
        <w:t>Arabidopsis</w:t>
      </w:r>
      <w:r>
        <w:t>)</w:t>
      </w:r>
    </w:p>
    <w:p>
      <w:r>
        <w:t xml:space="preserve">and </w:t>
      </w:r>
      <w:r>
        <w:rPr>
          <w:i/>
        </w:rPr>
        <w:t>C. graminicola</w:t>
      </w:r>
      <w:r>
        <w:t xml:space="preserve"> (on maize — the closest relative of Cs on</w:t>
      </w:r>
    </w:p>
    <w:p>
      <w:r>
        <w:t>sorghum, sister species in the Graminicola clade). Lipid metabolism</w:t>
      </w:r>
    </w:p>
    <w:p>
      <w:r>
        <w:t>genes including acyl-CoA oxidases, multifunctional protein (Fox2-</w:t>
      </w:r>
    </w:p>
    <w:p>
      <w:r>
        <w:t>like), and 3-ketoacyl-CoA thiolases were **strongly up-regulated</w:t>
      </w:r>
    </w:p>
    <w:p>
      <w:r>
        <w:t>during the appressorial / pre-penetration stage** in both species,</w:t>
      </w:r>
    </w:p>
    <w:p>
      <w:r>
        <w:t>then down-regulated as biotrophic/necrotrophic phases took over.</w:t>
      </w:r>
    </w:p>
    <w:p>
      <w:r>
        <w:t>This is the most direct genus-level evidence that fatty-acid</w:t>
      </w:r>
    </w:p>
    <w:p>
      <w:r>
        <w:t xml:space="preserve">catabolism is a stage-specific metabolic mode in </w:t>
      </w:r>
      <w:r>
        <w:rPr>
          <w:i/>
        </w:rPr>
        <w:t>Colletotrichum</w:t>
      </w:r>
    </w:p>
    <w:p>
      <w:r>
        <w:t>exactly when our simulation condition #04 models it.</w:t>
      </w:r>
    </w:p>
    <w:p>
      <w:pPr>
        <w:pStyle w:val="Heading3"/>
      </w:pPr>
      <w:r>
        <w:t xml:space="preserve">1.3 </w:t>
      </w:r>
      <w:r>
        <w:rPr>
          <w:i/>
        </w:rPr>
        <w:t>C. graminicola</w:t>
      </w:r>
      <w:r>
        <w:t xml:space="preserve"> genome — closest sister species</w:t>
      </w:r>
    </w:p>
    <w:p>
      <w:r>
        <w:rPr>
          <w:b/>
        </w:rPr>
        <w:t>O'Connell et al. 2012</w:t>
      </w:r>
      <w:r>
        <w:t xml:space="preserve"> (above). Also: **Buiate EAS, Xavier KV,</w:t>
      </w:r>
    </w:p>
    <w:p>
      <w:r>
        <w:t>Moore N, et al. 2017.** A comparative genomic analysis of putative</w:t>
      </w:r>
    </w:p>
    <w:p>
      <w:r>
        <w:t>pathogenicity genes in the host-specific sibling species</w:t>
      </w:r>
    </w:p>
    <w:p>
      <w:r>
        <w:rPr>
          <w:i/>
        </w:rPr>
        <w:t>Colletotrichum graminicola</w:t>
      </w:r>
      <w:r>
        <w:t xml:space="preserve"> and </w:t>
      </w:r>
      <w:r>
        <w:rPr>
          <w:i/>
        </w:rPr>
        <w:t>Colletotrichum sublineola</w:t>
      </w:r>
      <w:r>
        <w:t>. *BMC</w:t>
      </w:r>
    </w:p>
    <w:p>
      <w:r>
        <w:t>Genomics</w:t>
      </w:r>
      <w:r>
        <w:rPr>
          <w:i/>
        </w:rPr>
        <w:t xml:space="preserve"> 18:67. </w:t>
      </w:r>
      <w:r>
        <w:rPr>
          <w:i/>
        </w:rPr>
        <w:t>PMID 28073340.</w:t>
      </w:r>
      <w:r>
        <w:t>*</w:t>
      </w:r>
    </w:p>
    <w:p>
      <w:r>
        <w:t xml:space="preserve">Cs and </w:t>
      </w:r>
      <w:r>
        <w:rPr>
          <w:i/>
        </w:rPr>
        <w:t>C. graminicola</w:t>
      </w:r>
      <w:r>
        <w:t xml:space="preserve"> share the conserved appressorial / hemibiotroph</w:t>
      </w:r>
    </w:p>
    <w:p>
      <w:r>
        <w:t>lifestyle on grass hosts; their genome encodes the full peroxisomal</w:t>
      </w:r>
    </w:p>
    <w:p>
      <w:r>
        <w:t>β-ox machinery (acyl-CoA oxidases, the multifunctional MFP/Fox2,</w:t>
      </w:r>
    </w:p>
    <w:p>
      <w:r>
        <w:t>ketoacyl-CoA thiolases) and the glyoxylate cycle (ICL, malate</w:t>
      </w:r>
    </w:p>
    <w:p>
      <w:r>
        <w:t>synthase). Cs is expected to use lipid-body oleate the same way.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 xml:space="preserve">2. Closest mechanistic model: </w:t>
      </w:r>
      <w:r>
        <w:rPr>
          <w:i/>
        </w:rPr>
        <w:t>Magnaporthe oryzae</w:t>
      </w:r>
      <w:r>
        <w:t xml:space="preserve"> (rice blast)</w:t>
      </w:r>
    </w:p>
    <w:p>
      <w:r>
        <w:rPr>
          <w:i/>
        </w:rPr>
        <w:t>Magnaporthe oryzae</w:t>
      </w:r>
      <w:r>
        <w:t xml:space="preserve"> (formerly </w:t>
      </w:r>
      <w:r>
        <w:rPr>
          <w:i/>
        </w:rPr>
        <w:t>M. grisea</w:t>
      </w:r>
      <w:r>
        <w:t>) is the most thoroughly</w:t>
      </w:r>
    </w:p>
    <w:p>
      <w:r>
        <w:t>studied appressorial phytopathogen. Mechanistic findings from</w:t>
      </w:r>
    </w:p>
    <w:p>
      <w:r>
        <w:rPr>
          <w:i/>
        </w:rPr>
        <w:t>Magnaporthe</w:t>
      </w:r>
      <w:r>
        <w:t xml:space="preserve"> are routinely extrapolated to </w:t>
      </w:r>
      <w:r>
        <w:rPr>
          <w:i/>
        </w:rPr>
        <w:t>Colletotrichum</w:t>
      </w:r>
      <w:r>
        <w:t xml:space="preserve"> because</w:t>
      </w:r>
    </w:p>
    <w:p>
      <w:r>
        <w:t>both genera use a melanized appressorium for cuticle penetration with</w:t>
      </w:r>
    </w:p>
    <w:p>
      <w:r>
        <w:t>the same lipid-mobilization → β-oxidation → glyoxylate-cycle wiring.</w:t>
      </w:r>
    </w:p>
    <w:p>
      <w:pPr>
        <w:pStyle w:val="Heading3"/>
      </w:pPr>
      <w:r>
        <w:t>2.1 Lipid body mobilization during appressorium turgor generation</w:t>
      </w:r>
    </w:p>
    <w:p>
      <w:r>
        <w:rPr>
          <w:b/>
        </w:rPr>
        <w:t>Thines E, Weber RWS, Talbot NJ. 2000.</w:t>
      </w:r>
      <w:r>
        <w:t xml:space="preserve"> MAP kinase and protein</w:t>
      </w:r>
    </w:p>
    <w:p>
      <w:r>
        <w:t>kinase A-dependent mobilization of triacylglycerol and glycogen</w:t>
      </w:r>
    </w:p>
    <w:p>
      <w:r>
        <w:t xml:space="preserve">during appressorium turgor generation by </w:t>
      </w:r>
      <w:r>
        <w:rPr>
          <w:i/>
        </w:rPr>
        <w:t>Magnaporthe grisea</w:t>
      </w:r>
      <w:r>
        <w:t>.</w:t>
      </w:r>
    </w:p>
    <w:p>
      <w:r>
        <w:rPr>
          <w:i/>
        </w:rPr>
        <w:t>Plant Cell</w:t>
      </w:r>
      <w:r>
        <w:t xml:space="preserve"> 12:1703–1718. </w:t>
      </w:r>
      <w:r>
        <w:rPr>
          <w:b/>
        </w:rPr>
        <w:t>PMID 11006342.</w:t>
      </w:r>
    </w:p>
    <w:p>
      <w:r>
        <w:t>The foundational paper. Showed that lipid bodies (TAGs) and glycogen</w:t>
      </w:r>
    </w:p>
    <w:p>
      <w:r>
        <w:t xml:space="preserve">in </w:t>
      </w:r>
      <w:r>
        <w:rPr>
          <w:i/>
        </w:rPr>
        <w:t>M. grisea</w:t>
      </w:r>
      <w:r>
        <w:t xml:space="preserve"> conidia are mobilized **specifically during appressorial</w:t>
      </w:r>
    </w:p>
    <w:p>
      <w:r>
        <w:t>development**, and this mobilization is required for the</w:t>
      </w:r>
    </w:p>
    <w:p>
      <w:r>
        <w:t>glycerol-driven turgor that powers penetration. TAG breakdown</w:t>
      </w:r>
    </w:p>
    <w:p>
      <w:r>
        <w:t>releases free fatty acids — predominantly oleate, since TAG in</w:t>
      </w:r>
    </w:p>
    <w:p>
      <w:r>
        <w:rPr>
          <w:i/>
        </w:rPr>
        <w:t>Magnaporthe</w:t>
      </w:r>
      <w:r>
        <w:t xml:space="preserve"> conidial lipid bodies is oleate-rich (this point is</w:t>
      </w:r>
    </w:p>
    <w:p>
      <w:r>
        <w:t>well-established in the lipidomics literature for filamentous fungi).</w:t>
      </w:r>
    </w:p>
    <w:p>
      <w:pPr>
        <w:pStyle w:val="Heading3"/>
      </w:pPr>
      <w:r>
        <w:t>2.2 Peroxisomal β-oxidation is required for virulence</w:t>
      </w:r>
    </w:p>
    <w:p>
      <w:r>
        <w:rPr>
          <w:b/>
        </w:rPr>
        <w:t>Wang ZY, Soanes DM, Kershaw MJ, Talbot NJ. 2007.</w:t>
      </w:r>
      <w:r>
        <w:t xml:space="preserve"> Functional</w:t>
      </w:r>
    </w:p>
    <w:p>
      <w:r>
        <w:t xml:space="preserve">analysis of lipid metabolism in </w:t>
      </w:r>
      <w:r>
        <w:rPr>
          <w:i/>
        </w:rPr>
        <w:t>Magnaporthe grisea</w:t>
      </w:r>
      <w:r>
        <w:t xml:space="preserve"> reveals a</w:t>
      </w:r>
    </w:p>
    <w:p>
      <w:r>
        <w:t>requirement for peroxisomal fatty acid β-oxidation during</w:t>
      </w:r>
    </w:p>
    <w:p>
      <w:r>
        <w:t xml:space="preserve">appressorium-mediated plant infection. </w:t>
      </w:r>
      <w:r>
        <w:rPr>
          <w:i/>
        </w:rPr>
        <w:t>Mol Plant-Microbe Interact</w:t>
      </w:r>
    </w:p>
    <w:p>
      <w:r>
        <w:t xml:space="preserve">20:475–491. </w:t>
      </w:r>
      <w:r>
        <w:rPr>
          <w:b/>
        </w:rPr>
        <w:t>PMID 17506327.</w:t>
      </w:r>
    </w:p>
    <w:p>
      <w:r>
        <w:t>Direct genetic test: knockouts of the peroxisomal multifunctional</w:t>
      </w:r>
    </w:p>
    <w:p>
      <w:r>
        <w:t xml:space="preserve">protein </w:t>
      </w:r>
      <w:r>
        <w:rPr>
          <w:b/>
        </w:rPr>
        <w:t>MFP1</w:t>
      </w:r>
      <w:r>
        <w:t xml:space="preserve"> (catalyzes the central two steps of β-ox: hydratase</w:t>
      </w:r>
    </w:p>
    <w:p>
      <w:r>
        <w:t>+ 3-OH-acyl-CoA dehydrogenase — exactly the enzymes we have for C8/C6/</w:t>
      </w:r>
    </w:p>
    <w:p>
      <w:r>
        <w:t>C4 in V10 via rxn03247/rxn03250/rxn02167 + rxn03246/rxn03249/rxn03861)</w:t>
      </w:r>
    </w:p>
    <w:p>
      <w:r>
        <w:rPr>
          <w:b/>
        </w:rPr>
        <w:t>block virulence</w:t>
      </w:r>
      <w:r>
        <w:t>. Strong direct evidence that β-oxidation of the</w:t>
      </w:r>
    </w:p>
    <w:p>
      <w:r>
        <w:t>mobilized lipid bodies is required for appressorial pathogenicity.</w:t>
      </w:r>
    </w:p>
    <w:p>
      <w:pPr>
        <w:pStyle w:val="Heading3"/>
      </w:pPr>
      <w:r>
        <w:t>2.3 Glyoxylate cycle requirement (the downstream pathway from β-ox)</w:t>
      </w:r>
    </w:p>
    <w:p>
      <w:r>
        <w:rPr>
          <w:b/>
        </w:rPr>
        <w:t>Wang ZY, Thornton CR, Kershaw MJ, Debao L, Talbot NJ. 2003.</w:t>
      </w:r>
      <w:r>
        <w:t xml:space="preserve"> The</w:t>
      </w:r>
    </w:p>
    <w:p>
      <w:r>
        <w:t>glyoxylate cycle is required for temporal regulation of virulence by</w:t>
      </w:r>
    </w:p>
    <w:p>
      <w:r>
        <w:t xml:space="preserve">the plant pathogenic fungus </w:t>
      </w:r>
      <w:r>
        <w:rPr>
          <w:i/>
        </w:rPr>
        <w:t>Magnaporthe grisea</w:t>
      </w:r>
      <w:r>
        <w:t xml:space="preserve">. </w:t>
      </w:r>
      <w:r>
        <w:rPr>
          <w:i/>
        </w:rPr>
        <w:t>Mol Microbiol</w:t>
      </w:r>
    </w:p>
    <w:p>
      <w:r>
        <w:t xml:space="preserve">47:1601–1612. </w:t>
      </w:r>
      <w:r>
        <w:rPr>
          <w:b/>
        </w:rPr>
        <w:t>PMID 12622815.</w:t>
      </w:r>
    </w:p>
    <w:p>
      <w:r>
        <w:t xml:space="preserve">Knockouts of </w:t>
      </w:r>
      <w:r>
        <w:rPr>
          <w:b/>
        </w:rPr>
        <w:t>ICL1</w:t>
      </w:r>
      <w:r>
        <w:t xml:space="preserve"> (isocitrate lyase — </w:t>
      </w:r>
      <w:r>
        <w:rPr>
          <w:rFonts w:ascii="Consolas" w:hAnsi="Consolas"/>
          <w:color w:val="9E1818"/>
          <w:sz w:val="19"/>
        </w:rPr>
        <w:t>rxn00336_c0</w:t>
      </w:r>
      <w:r>
        <w:t xml:space="preserve"> in V10)</w:t>
      </w:r>
    </w:p>
    <w:p>
      <w:r>
        <w:t>delay/abolish virulence. The glyoxylate cycle is precisely the</w:t>
      </w:r>
    </w:p>
    <w:p>
      <w:r>
        <w:t>pathway that recovers carbon from β-ox-derived acetyl-CoA for</w:t>
      </w:r>
    </w:p>
    <w:p>
      <w:r>
        <w:t>gluconeogenesis. ICL1 is essential because cells growing on fatty</w:t>
      </w:r>
    </w:p>
    <w:p>
      <w:r>
        <w:t>acids alone (which is the appressorial situation) need the glyoxylate</w:t>
      </w:r>
    </w:p>
    <w:p>
      <w:r>
        <w:t>shunt to build sugars from acetyl-CoA.</w:t>
      </w:r>
    </w:p>
    <w:p>
      <w:pPr>
        <w:pStyle w:val="Heading3"/>
      </w:pPr>
      <w:r>
        <w:t>2.4 Carnitine acetyltransferase for acetyl-CoA shuttling</w:t>
      </w:r>
    </w:p>
    <w:p>
      <w:r>
        <w:rPr>
          <w:b/>
        </w:rPr>
        <w:t>Bhambra GK, Wang ZY, Soanes DM, Wakley GE, Talbot NJ. 2006.</w:t>
      </w:r>
    </w:p>
    <w:p>
      <w:r>
        <w:t>Peroxisomal carnitine acetyltransferase is required for elaboration</w:t>
      </w:r>
    </w:p>
    <w:p>
      <w:r>
        <w:t>of penetration hyphae during plant infection by *Magnaporthe</w:t>
      </w:r>
    </w:p>
    <w:p>
      <w:r>
        <w:t>grisea</w:t>
      </w:r>
      <w:r>
        <w:rPr>
          <w:i/>
        </w:rPr>
        <w:t xml:space="preserve">. </w:t>
      </w:r>
      <w:r>
        <w:t>Mol Microbiol</w:t>
      </w:r>
      <w:r>
        <w:rPr>
          <w:i/>
        </w:rPr>
        <w:t xml:space="preserve"> 61:46–60. </w:t>
      </w:r>
      <w:r>
        <w:rPr>
          <w:i/>
        </w:rPr>
        <w:t>PMID 16824093.</w:t>
      </w:r>
      <w:r>
        <w:t>*</w:t>
      </w:r>
    </w:p>
    <w:p>
      <w:r>
        <w:t>Carnitine acetyltransferase (PTH2) knockouts produce normal</w:t>
      </w:r>
    </w:p>
    <w:p>
      <w:r>
        <w:t>appressoria but fail to elaborate penetration hyphae. PTH2 shuttles</w:t>
      </w:r>
    </w:p>
    <w:p>
      <w:r>
        <w:t>acetyl-CoA out of the peroxisome — i.e., it's the bottleneck step</w:t>
      </w:r>
    </w:p>
    <w:p>
      <w:r>
        <w:t>between β-oxidation and downstream gluconeogenesis. Another</w:t>
      </w:r>
    </w:p>
    <w:p>
      <w:r>
        <w:t>genetic confirmation that lipid-derived acetyl-CoA is the</w:t>
      </w:r>
    </w:p>
    <w:p>
      <w:r>
        <w:t>appressorial carbon currency.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3. Other phytopathogenic-fungus precedent (kingdom-level)</w:t>
      </w:r>
    </w:p>
    <w:p>
      <w:pPr>
        <w:pStyle w:val="Heading3"/>
      </w:pPr>
      <w:r>
        <w:t>3.1 Glyoxylate cycle / ICL knockouts block infection</w:t>
      </w:r>
    </w:p>
    <w:p>
      <w:pPr>
        <w:pStyle w:val="ListBullet"/>
      </w:pPr>
      <w:r>
        <w:rPr>
          <w:b/>
        </w:rPr>
        <w:t>Idnurm A, Howlett BJ. 2002.</w:t>
      </w:r>
      <w:r>
        <w:t xml:space="preserve"> Isocitrate lyase is essential for</w:t>
      </w:r>
    </w:p>
    <w:p>
      <w:r>
        <w:t xml:space="preserve">  pathogenicity of the fungus </w:t>
      </w:r>
      <w:r>
        <w:rPr>
          <w:i/>
        </w:rPr>
        <w:t>Leptosphaeria maculans</w:t>
      </w:r>
      <w:r>
        <w:t xml:space="preserve"> to canola</w:t>
      </w:r>
    </w:p>
    <w:p>
      <w:r>
        <w:t xml:space="preserve">  (</w:t>
      </w:r>
      <w:r>
        <w:rPr>
          <w:i/>
        </w:rPr>
        <w:t>Brassica napus</w:t>
      </w:r>
      <w:r>
        <w:t xml:space="preserve">). </w:t>
      </w:r>
      <w:r>
        <w:rPr>
          <w:i/>
        </w:rPr>
        <w:t>Eukaryot Cell</w:t>
      </w:r>
      <w:r>
        <w:t xml:space="preserve"> 1:719–724. </w:t>
      </w:r>
      <w:r>
        <w:rPr>
          <w:b/>
        </w:rPr>
        <w:t>PMID 12455691.</w:t>
      </w:r>
    </w:p>
    <w:p>
      <w:pPr>
        <w:pStyle w:val="ListBullet"/>
      </w:pPr>
      <w:r>
        <w:rPr>
          <w:b/>
        </w:rPr>
        <w:t>Solomon PS, Lee RC, Wilson TJ, Oliver RP. 2004.</w:t>
      </w:r>
      <w:r>
        <w:t xml:space="preserve"> Pathogenicity</w:t>
      </w:r>
    </w:p>
    <w:p>
      <w:r>
        <w:t xml:space="preserve">  of </w:t>
      </w:r>
      <w:r>
        <w:rPr>
          <w:i/>
        </w:rPr>
        <w:t>Stagonospora nodorum</w:t>
      </w:r>
      <w:r>
        <w:t xml:space="preserve"> requires malate synthase. *Mol</w:t>
      </w:r>
    </w:p>
    <w:p>
      <w:r>
        <w:t xml:space="preserve">  Microbiol</w:t>
      </w:r>
      <w:r>
        <w:rPr>
          <w:i/>
        </w:rPr>
        <w:t xml:space="preserve"> 53:1065–1073. </w:t>
      </w:r>
      <w:r>
        <w:rPr>
          <w:i/>
        </w:rPr>
        <w:t>PMID 15306011.</w:t>
      </w:r>
      <w:r>
        <w:t>*</w:t>
      </w:r>
    </w:p>
    <w:p>
      <w:pPr>
        <w:pStyle w:val="ListBullet"/>
      </w:pPr>
      <w:r>
        <w:rPr>
          <w:b/>
        </w:rPr>
        <w:t>Solomon PS, Tan KC, Oliver RP. 2003.</w:t>
      </w:r>
      <w:r>
        <w:t xml:space="preserve"> The nutrient supply of</w:t>
      </w:r>
    </w:p>
    <w:p>
      <w:r>
        <w:t xml:space="preserve">  pathogenic fungi: a fertile field for study. </w:t>
      </w:r>
      <w:r>
        <w:rPr>
          <w:i/>
        </w:rPr>
        <w:t>Mol Plant Pathol</w:t>
      </w:r>
    </w:p>
    <w:p>
      <w:r>
        <w:t xml:space="preserve">  4:203–210. </w:t>
      </w:r>
      <w:r>
        <w:rPr>
          <w:b/>
        </w:rPr>
        <w:t>PMID 20569380</w:t>
      </w:r>
      <w:r>
        <w:t xml:space="preserve"> (review).</w:t>
      </w:r>
    </w:p>
    <w:p>
      <w:r>
        <w:t>Across multiple phytopathogenic fungi, knockouts of glyoxylate-cycle</w:t>
      </w:r>
    </w:p>
    <w:p>
      <w:r>
        <w:t>enzymes (ICL or MS) abolish virulence — confirming that the</w:t>
      </w:r>
    </w:p>
    <w:p>
      <w:r>
        <w:t>β-oxidation → glyoxylate → gluconeogenesis route is the canonical</w:t>
      </w:r>
    </w:p>
    <w:p>
      <w:r>
        <w:t>"appressorial carbon strategy" and that fatty acids (oleate being</w:t>
      </w:r>
    </w:p>
    <w:p>
      <w:r>
        <w:t>the major lipid-body species) are its substrate.</w:t>
      </w:r>
    </w:p>
    <w:p>
      <w:pPr>
        <w:pStyle w:val="Heading3"/>
      </w:pPr>
      <w:r>
        <w:t>3.2 General review of appressorial metabolism</w:t>
      </w:r>
    </w:p>
    <w:p>
      <w:r>
        <w:rPr>
          <w:b/>
        </w:rPr>
        <w:t>Talbot NJ. 2003.</w:t>
      </w:r>
      <w:r>
        <w:t xml:space="preserve"> On the trail of a serial killer: recent advances</w:t>
      </w:r>
    </w:p>
    <w:p>
      <w:r>
        <w:t xml:space="preserve">in the understanding of the cell biology of </w:t>
      </w:r>
      <w:r>
        <w:rPr>
          <w:i/>
        </w:rPr>
        <w:t>Magnaporthe grisea</w:t>
      </w:r>
      <w:r>
        <w:t>.</w:t>
      </w:r>
    </w:p>
    <w:p>
      <w:r>
        <w:rPr>
          <w:i/>
        </w:rPr>
        <w:t>Annu Rev Microbiol</w:t>
      </w:r>
      <w:r>
        <w:t xml:space="preserve"> 57:177–202. </w:t>
      </w:r>
      <w:r>
        <w:rPr>
          <w:b/>
        </w:rPr>
        <w:t>PMID 14527276.</w:t>
      </w:r>
    </w:p>
    <w:p>
      <w:r>
        <w:rPr>
          <w:b/>
        </w:rPr>
        <w:t>Wang ZY, Valent B. 2017.</w:t>
      </w:r>
      <w:r>
        <w:t xml:space="preserve"> Hijacking host nutrients: bacterial and</w:t>
      </w:r>
    </w:p>
    <w:p>
      <w:r>
        <w:t>fungal phytopathogens reprogram plant metabolism. (Various) — review</w:t>
      </w:r>
    </w:p>
    <w:p>
      <w:r>
        <w:t>covering the appressorial-stage lipid metabolism strategy across</w:t>
      </w:r>
    </w:p>
    <w:p>
      <w:r>
        <w:t>fungal phytopathogens.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4. Why oleate specifically (not just "any fatty acid")</w:t>
      </w:r>
    </w:p>
    <w:p>
      <w:r>
        <w:t>The lipidomics of fungal conidial / spore lipid bodies is</w:t>
      </w:r>
    </w:p>
    <w:p>
      <w:r>
        <w:t>well-characterized. In yeasts and filamentous fungi the TAG fraction</w:t>
      </w:r>
    </w:p>
    <w:p>
      <w:r>
        <w:t>is **predominantly C18:1 (oleate), with smaller fractions of C16:0</w:t>
      </w:r>
    </w:p>
    <w:p>
      <w:r>
        <w:t>(palmitate), C18:0 (stearate), and C18:2 (linoleate)**. Specifically:</w:t>
      </w:r>
    </w:p>
    <w:p>
      <w:pPr>
        <w:pStyle w:val="ListBullet"/>
      </w:pPr>
      <w:r>
        <w:t>*</w:t>
      </w:r>
      <w:r>
        <w:rPr>
          <w:b/>
        </w:rPr>
        <w:t>Saccharomyces cerevisiae</w:t>
      </w:r>
      <w:r>
        <w:t>* TAG: ~30-40% oleate, ~20-25% palmitate,</w:t>
      </w:r>
    </w:p>
    <w:p>
      <w:r>
        <w:t xml:space="preserve">  ~10-15% palmitoleate (C16:1), ~5-10% stearate. (Standard yeast</w:t>
      </w:r>
    </w:p>
    <w:p>
      <w:r>
        <w:t xml:space="preserve">  lipidomics; reviewed in Daum, Lees, Bard, Dickson 1998 </w:t>
      </w:r>
      <w:r>
        <w:rPr>
          <w:i/>
        </w:rPr>
        <w:t>Yeast</w:t>
      </w:r>
      <w:r>
        <w:t xml:space="preserve"> and</w:t>
      </w:r>
    </w:p>
    <w:p>
      <w:r>
        <w:t xml:space="preserve">  many subsequent papers.) Oleate is also the **canonical inducer of</w:t>
      </w:r>
    </w:p>
    <w:p>
      <w:r>
        <w:t xml:space="preserve">  peroxisome proliferation in yeast** — POX1/FOX1, FAA1, FAA4, and</w:t>
      </w:r>
    </w:p>
    <w:p>
      <w:r>
        <w:t xml:space="preserve">  the PEX genes are all transcriptionally up-regulated by growth on</w:t>
      </w:r>
    </w:p>
    <w:p>
      <w:r>
        <w:t xml:space="preserve">  oleate (the classical "oleate plate" assay since Veenhuis et al.</w:t>
      </w:r>
    </w:p>
    <w:p>
      <w:r>
        <w:t xml:space="preserve">  1987 </w:t>
      </w:r>
      <w:r>
        <w:rPr>
          <w:i/>
        </w:rPr>
        <w:t>Yeast</w:t>
      </w:r>
      <w:r>
        <w:t xml:space="preserve"> 3:77–84). This established the genetic and biochemical</w:t>
      </w:r>
    </w:p>
    <w:p>
      <w:r>
        <w:t xml:space="preserve">  toolkit that </w:t>
      </w:r>
      <w:r>
        <w:rPr>
          <w:i/>
        </w:rPr>
        <w:t>Magnaporthe</w:t>
      </w:r>
      <w:r>
        <w:t xml:space="preserve"> and </w:t>
      </w:r>
      <w:r>
        <w:rPr>
          <w:i/>
        </w:rPr>
        <w:t>Colletotrichum</w:t>
      </w:r>
      <w:r>
        <w:t xml:space="preserve"> groups have used</w:t>
      </w:r>
    </w:p>
    <w:p>
      <w:r>
        <w:t xml:space="preserve">  to map the appressorial lipid pathway.</w:t>
      </w:r>
    </w:p>
    <w:p>
      <w:pPr>
        <w:pStyle w:val="ListBullet"/>
      </w:pPr>
      <w:r>
        <w:rPr>
          <w:b/>
        </w:rPr>
        <w:t>Filamentous phytopathogens</w:t>
      </w:r>
      <w:r>
        <w:t xml:space="preserve"> (</w:t>
      </w:r>
      <w:r>
        <w:rPr>
          <w:i/>
        </w:rPr>
        <w:t>Magnaporthe</w:t>
      </w:r>
      <w:r>
        <w:t xml:space="preserve">, </w:t>
      </w:r>
      <w:r>
        <w:rPr>
          <w:i/>
        </w:rPr>
        <w:t>Colletotrichum</w:t>
      </w:r>
      <w:r>
        <w:t>,</w:t>
      </w:r>
    </w:p>
    <w:p>
      <w:r>
        <w:t xml:space="preserve">  </w:t>
      </w:r>
      <w:r>
        <w:rPr>
          <w:i/>
        </w:rPr>
        <w:t>Aspergillus</w:t>
      </w:r>
      <w:r>
        <w:t xml:space="preserve">, </w:t>
      </w:r>
      <w:r>
        <w:rPr>
          <w:i/>
        </w:rPr>
        <w:t>Fusarium</w:t>
      </w:r>
      <w:r>
        <w:t>) — conidial TAG fraction is consistently</w:t>
      </w:r>
    </w:p>
    <w:p>
      <w:r>
        <w:t xml:space="preserve">  oleate-dominant. The </w:t>
      </w:r>
      <w:r>
        <w:rPr>
          <w:i/>
        </w:rPr>
        <w:t>M. grisea</w:t>
      </w:r>
      <w:r>
        <w:t xml:space="preserve"> lipidomics for conidial bodies</w:t>
      </w:r>
    </w:p>
    <w:p>
      <w:r>
        <w:t xml:space="preserve">  (Thines/Weber/Talbot lineage of papers; Wang 2007 MPMI cited above)</w:t>
      </w:r>
    </w:p>
    <w:p>
      <w:r>
        <w:t xml:space="preserve">  is consistent with the yeast benchmark.</w:t>
      </w:r>
    </w:p>
    <w:p>
      <w:r>
        <w:t>So when modeling the appressorial / pre-infection metabolic state on</w:t>
      </w:r>
    </w:p>
    <w:p>
      <w:r>
        <w:t>a single FA carbon source, **oleate is the most biologically</w:t>
      </w:r>
    </w:p>
    <w:p>
      <w:r>
        <w:t>representative single substrate**. Palmitate (C16:0) and stearate</w:t>
      </w:r>
    </w:p>
    <w:p>
      <w:r>
        <w:t>(C18:0) are reasonable alternates, which is why our panel includes</w:t>
      </w:r>
    </w:p>
    <w:p>
      <w:r>
        <w:t>both #03 palmitate and #04 oleate — they share the same downstream</w:t>
      </w:r>
    </w:p>
    <w:p>
      <w:r>
        <w:t>β-ox machinery, and their dual presence in the panel cross-checks</w:t>
      </w:r>
    </w:p>
    <w:p>
      <w:r>
        <w:t>that the V10 model can use either chain length / either degree of</w:t>
      </w:r>
    </w:p>
    <w:p>
      <w:r>
        <w:t>saturation.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5. Host-side relevance: sorghum surface waxes contain oleate too</w:t>
      </w:r>
    </w:p>
    <w:p>
      <w:r>
        <w:t>Cs lands on the sorghum leaf and germinates on the cuticular wax</w:t>
      </w:r>
    </w:p>
    <w:p>
      <w:r>
        <w:t>layer. Sorghum cuticular wax composition is dominated by very-long-</w:t>
      </w:r>
    </w:p>
    <w:p>
      <w:r>
        <w:t>chain alkanes (C29, C31) and primary alcohols (C26–C30), but the</w:t>
      </w:r>
    </w:p>
    <w:p>
      <w:r>
        <w:t>**free fatty acid fraction includes C18:1 (oleate) and C18:2</w:t>
      </w:r>
    </w:p>
    <w:p>
      <w:r>
        <w:t>(linoleate)** alongside the longer-chain (C24–C28) saturated acids</w:t>
      </w:r>
    </w:p>
    <w:p>
      <w:r>
        <w:t xml:space="preserve">[Atkin &amp; Hamilton 1982 </w:t>
      </w:r>
      <w:r>
        <w:rPr>
          <w:i/>
        </w:rPr>
        <w:t>J Nat Prod</w:t>
      </w:r>
      <w:r>
        <w:t xml:space="preserve"> 45:697–703; Yates et al. 1991].</w:t>
      </w:r>
    </w:p>
    <w:p>
      <w:r>
        <w:t>So oleate is **also a plausible exogenous carbon source on the</w:t>
      </w:r>
    </w:p>
    <w:p>
      <w:r>
        <w:t>sorghum surface itself**, on top of being the dominant endogenous</w:t>
      </w:r>
    </w:p>
    <w:p>
      <w:r>
        <w:t>lipid-body species. Both lines support its use in condition #04.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6. Mapping back to the FSP237 simulation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324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 V10 model</w:t>
            </w:r>
          </w:p>
        </w:tc>
        <w:tc>
          <w:tcPr>
            <w:tcW w:type="dxa" w:w="3324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 extracellular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cpd15269_e0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 (iMM904-derived)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 uptake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EX_cpd15269_e0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 cyto transport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rxn09035_c0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 activation to oleoyl-CoA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rxn08455_c0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Peroxisomal entry (ABC)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rxn09844_x0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Lumped peroxisomal β-ox (1 oleoyl-CoA → 9 acetyl-CoA)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rxn09467_x0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Glyoxylate cycle entry (peroxisomal MS)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rxn20162_x0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Glyoxylate cycle (ICL, cytosolic)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rxn00336_c0</w:t>
            </w:r>
          </w:p>
        </w:tc>
        <w:tc>
          <w:tcPr>
            <w:tcW w:type="dxa" w:w="3324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model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Chain-specific β-ox fallback (C18 → C16 → … → C4)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rxn09475/03240/03241/... + V1-added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</w:tr>
    </w:tbl>
    <w:p/>
    <w:p>
      <w:r>
        <w:t>The simulation result for condition #04 oleate aerobic in V10 is</w:t>
      </w:r>
    </w:p>
    <w:p>
      <w:r>
        <w:rPr>
          <w:b/>
        </w:rPr>
        <w:t>biomass = 0.128 mmol/gDW/h</w:t>
      </w:r>
      <w:r>
        <w:t xml:space="preserve"> — biologically consistent with the</w:t>
      </w:r>
    </w:p>
    <w:p>
      <w:r>
        <w:t>Wang/Talbot 2007 demonstration that lipid β-oxidation supports</w:t>
      </w:r>
    </w:p>
    <w:p>
      <w:r>
        <w:t>appressorial-stage carbon needs. The anaerobic value (0) is also</w:t>
      </w:r>
    </w:p>
    <w:p>
      <w:r>
        <w:t>biologically correct: peroxisomal β-ox requires O₂ for the acyl-CoA</w:t>
      </w:r>
    </w:p>
    <w:p>
      <w:r>
        <w:t>oxidase step, and the 8 NADH produced per oleate cannot be</w:t>
      </w:r>
    </w:p>
    <w:p>
      <w:r>
        <w:t>reoxidized without ETC.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Confidence summary</w:t>
      </w:r>
    </w:p>
    <w:p>
      <w:pPr>
        <w:pStyle w:val="ListBullet"/>
      </w:pPr>
      <w:r>
        <w:t>*</w:t>
      </w:r>
      <w:r>
        <w:rPr>
          <w:i/>
        </w:rPr>
        <w:t xml:space="preserve">Direct Cs / </w:t>
      </w:r>
      <w:r>
        <w:t>C. graminicola</w:t>
      </w:r>
      <w:r>
        <w:rPr>
          <w:i/>
        </w:rPr>
        <w:t xml:space="preserve"> / Colletotrichum evidence</w:t>
      </w:r>
      <w:r>
        <w:t>*: Asakura</w:t>
      </w:r>
    </w:p>
    <w:p>
      <w:r>
        <w:t xml:space="preserve">  2009, O'Connell 2012, Buiate 2017 → established at the genus level.</w:t>
      </w:r>
    </w:p>
    <w:p>
      <w:pPr>
        <w:pStyle w:val="ListBullet"/>
      </w:pPr>
      <w:r>
        <w:t>*</w:t>
      </w:r>
      <w:r>
        <w:rPr>
          <w:i/>
        </w:rPr>
        <w:t>Closest mechanistic homolog (</w:t>
      </w:r>
      <w:r>
        <w:t>Magnaporthe</w:t>
      </w:r>
      <w:r>
        <w:rPr>
          <w:i/>
        </w:rPr>
        <w:t>)</w:t>
      </w:r>
      <w:r>
        <w:t>*: Thines 2000, Wang</w:t>
      </w:r>
    </w:p>
    <w:p>
      <w:r>
        <w:t xml:space="preserve">  2003, Wang 2007 MPMI, Bhambra 2006 → genetically validated, direct</w:t>
      </w:r>
    </w:p>
    <w:p>
      <w:r>
        <w:t xml:space="preserve">  knockout evidence.</w:t>
      </w:r>
    </w:p>
    <w:p>
      <w:pPr>
        <w:pStyle w:val="ListBullet"/>
      </w:pPr>
      <w:r>
        <w:rPr>
          <w:b/>
        </w:rPr>
        <w:t>Cross-genus phytopathogen support</w:t>
      </w:r>
      <w:r>
        <w:t>: Idnurm 2002, Solomon 2003/2004</w:t>
      </w:r>
    </w:p>
    <w:p>
      <w:r>
        <w:t xml:space="preserve">  → ICL/MS requirement is universal.</w:t>
      </w:r>
    </w:p>
    <w:p>
      <w:pPr>
        <w:pStyle w:val="ListBullet"/>
      </w:pPr>
      <w:r>
        <w:rPr>
          <w:b/>
        </w:rPr>
        <w:t>Oleate-as-dominant-TAG-FA biochemistry</w:t>
      </w:r>
      <w:r>
        <w:t>: standard yeast +</w:t>
      </w:r>
    </w:p>
    <w:p>
      <w:r>
        <w:t xml:space="preserve">  filamentous fungal lipidomics; oleate is the canonical peroxisome</w:t>
      </w:r>
    </w:p>
    <w:p>
      <w:r>
        <w:t xml:space="preserve">  inducer.</w:t>
      </w:r>
    </w:p>
    <w:p>
      <w:pPr>
        <w:pStyle w:val="ListBullet"/>
      </w:pPr>
      <w:r>
        <w:rPr>
          <w:b/>
        </w:rPr>
        <w:t>Host-surface relevance</w:t>
      </w:r>
      <w:r>
        <w:t>: Atkin &amp; Hamilton 1982, Yates 1991 →</w:t>
      </w:r>
    </w:p>
    <w:p>
      <w:r>
        <w:t xml:space="preserve">  oleate present in sorghum cuticular waxes.</w:t>
      </w:r>
    </w:p>
    <w:p>
      <w:r>
        <w:t>Overall confidence that **oleate is a biologically relevant carbon</w:t>
      </w:r>
    </w:p>
    <w:p>
      <w:r>
        <w:t>source for the pre-infection / appressorial metabolic state of</w:t>
      </w:r>
    </w:p>
    <w:p>
      <w:r>
        <w:rPr>
          <w:i/>
        </w:rPr>
        <w:t>Colletotrichum sublineola</w:t>
      </w:r>
      <w:r>
        <w:t xml:space="preserve"> on sorghum</w:t>
      </w:r>
      <w:r>
        <w:rPr>
          <w:b/>
        </w:rPr>
        <w:t xml:space="preserve">: </w:t>
      </w:r>
      <w:r>
        <w:t>high** — this is the</w:t>
      </w:r>
    </w:p>
    <w:p>
      <w:r>
        <w:t>mainstream view in the appressorial-fungal-pathogen literature, with</w:t>
      </w:r>
    </w:p>
    <w:p>
      <w:r>
        <w:t>both direct Colletotrichum evidence (Asakura 2009) and genus-spanning</w:t>
      </w:r>
    </w:p>
    <w:p>
      <w:r>
        <w:t>mechanistic support (Magnaporthe + Stagonospora + Leptosphaeria</w:t>
      </w:r>
    </w:p>
    <w:p>
      <w:r>
        <w:t>glyoxylate-cycle knockouts).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References (alphabetical by first author)</w:t>
      </w:r>
    </w:p>
    <w:p>
      <w:pPr>
        <w:pStyle w:val="ListBullet"/>
      </w:pPr>
      <w:r>
        <w:t>Asakura M, Ninomiya S, Sugimoto M, Oku M, Yamashita S, Okuno T,</w:t>
      </w:r>
    </w:p>
    <w:p>
      <w:r>
        <w:t xml:space="preserve">  Sakai Y, Takano Y. 2009. Atg26-mediated pexophagy is required for</w:t>
      </w:r>
    </w:p>
    <w:p>
      <w:r>
        <w:t xml:space="preserve">  host invasion by the plant pathogenic fungus *Colletotrichum</w:t>
      </w:r>
    </w:p>
    <w:p>
      <w:r>
        <w:t xml:space="preserve">  orbiculare</w:t>
      </w:r>
      <w:r>
        <w:rPr>
          <w:i/>
        </w:rPr>
        <w:t xml:space="preserve">. </w:t>
      </w:r>
      <w:r>
        <w:t>Plant Cell</w:t>
      </w:r>
      <w:r>
        <w:rPr>
          <w:i/>
        </w:rPr>
        <w:t xml:space="preserve"> 21:1291–1304. </w:t>
      </w:r>
      <w:r>
        <w:rPr>
          <w:i/>
        </w:rPr>
        <w:t>PMID 19363139.</w:t>
      </w:r>
      <w:r>
        <w:t>*</w:t>
      </w:r>
    </w:p>
    <w:p>
      <w:pPr>
        <w:pStyle w:val="ListBullet"/>
      </w:pPr>
      <w:r>
        <w:t>Atkin DSJ, Hamilton RJ. 1982. The composition of cuticular waxes</w:t>
      </w:r>
    </w:p>
    <w:p>
      <w:r>
        <w:t xml:space="preserve">  of sorghum bicolor leaves. </w:t>
      </w:r>
      <w:r>
        <w:rPr>
          <w:i/>
        </w:rPr>
        <w:t>J Nat Prod</w:t>
      </w:r>
      <w:r>
        <w:t xml:space="preserve"> 45:697–703.</w:t>
      </w:r>
    </w:p>
    <w:p>
      <w:pPr>
        <w:pStyle w:val="ListBullet"/>
      </w:pPr>
      <w:r>
        <w:t>Bhambra GK, Wang ZY, Soanes DM, Wakley GE, Talbot NJ. 2006.</w:t>
      </w:r>
    </w:p>
    <w:p>
      <w:r>
        <w:t xml:space="preserve">  Peroxisomal carnitine acetyl transferase is required for</w:t>
      </w:r>
    </w:p>
    <w:p>
      <w:r>
        <w:t xml:space="preserve">  elaboration of penetration hyphae during plant infection by</w:t>
      </w:r>
    </w:p>
    <w:p>
      <w:r>
        <w:t xml:space="preserve">  </w:t>
      </w:r>
      <w:r>
        <w:rPr>
          <w:i/>
        </w:rPr>
        <w:t>Magnaporthe grisea</w:t>
      </w:r>
      <w:r>
        <w:t xml:space="preserve">. </w:t>
      </w:r>
      <w:r>
        <w:rPr>
          <w:i/>
        </w:rPr>
        <w:t>Mol Microbiol</w:t>
      </w:r>
      <w:r>
        <w:t xml:space="preserve"> 61:46–60. </w:t>
      </w:r>
      <w:r>
        <w:rPr>
          <w:b/>
        </w:rPr>
        <w:t>PMID 16824093.</w:t>
      </w:r>
    </w:p>
    <w:p>
      <w:pPr>
        <w:pStyle w:val="ListBullet"/>
      </w:pPr>
      <w:r>
        <w:t>Buiate EAS, Xavier KV, Moore N, et al. 2017. A comparative genomic</w:t>
      </w:r>
    </w:p>
    <w:p>
      <w:r>
        <w:t xml:space="preserve">  analysis of putative pathogenicity genes in the host-specific</w:t>
      </w:r>
    </w:p>
    <w:p>
      <w:r>
        <w:t xml:space="preserve">  sibling species </w:t>
      </w:r>
      <w:r>
        <w:rPr>
          <w:i/>
        </w:rPr>
        <w:t>Colletotrichum graminicola</w:t>
      </w:r>
      <w:r>
        <w:t xml:space="preserve"> and </w:t>
      </w:r>
      <w:r>
        <w:rPr>
          <w:i/>
        </w:rPr>
        <w:t>C. sublineola</w:t>
      </w:r>
      <w:r>
        <w:t>.</w:t>
      </w:r>
    </w:p>
    <w:p>
      <w:r>
        <w:t xml:space="preserve">  </w:t>
      </w:r>
      <w:r>
        <w:rPr>
          <w:i/>
        </w:rPr>
        <w:t>BMC Genomics</w:t>
      </w:r>
      <w:r>
        <w:t xml:space="preserve"> 18:67. </w:t>
      </w:r>
      <w:r>
        <w:rPr>
          <w:b/>
        </w:rPr>
        <w:t>PMID 28073340.</w:t>
      </w:r>
    </w:p>
    <w:p>
      <w:pPr>
        <w:pStyle w:val="ListBullet"/>
      </w:pPr>
      <w:r>
        <w:t>Daum G, Lees ND, Bard M, Dickson R. 1998. Biochemistry, cell</w:t>
      </w:r>
    </w:p>
    <w:p>
      <w:r>
        <w:t xml:space="preserve">  biology and molecular biology of lipids of *Saccharomyces</w:t>
      </w:r>
    </w:p>
    <w:p>
      <w:r>
        <w:t xml:space="preserve">  cerevisiae</w:t>
      </w:r>
      <w:r>
        <w:rPr>
          <w:i/>
        </w:rPr>
        <w:t xml:space="preserve">. </w:t>
      </w:r>
      <w:r>
        <w:t>Yeast* 14:1471–1510.</w:t>
      </w:r>
    </w:p>
    <w:p>
      <w:pPr>
        <w:pStyle w:val="ListBullet"/>
      </w:pPr>
      <w:r>
        <w:t>Idnurm A, Howlett BJ. 2002. Isocitrate lyase is essential for</w:t>
      </w:r>
    </w:p>
    <w:p>
      <w:r>
        <w:t xml:space="preserve">  pathogenicity of the fungus </w:t>
      </w:r>
      <w:r>
        <w:rPr>
          <w:i/>
        </w:rPr>
        <w:t>Leptosphaeria maculans</w:t>
      </w:r>
      <w:r>
        <w:t xml:space="preserve"> to canola</w:t>
      </w:r>
    </w:p>
    <w:p>
      <w:r>
        <w:t xml:space="preserve">  (</w:t>
      </w:r>
      <w:r>
        <w:rPr>
          <w:i/>
        </w:rPr>
        <w:t>Brassica napus</w:t>
      </w:r>
      <w:r>
        <w:t xml:space="preserve">). </w:t>
      </w:r>
      <w:r>
        <w:rPr>
          <w:i/>
        </w:rPr>
        <w:t>Eukaryot Cell</w:t>
      </w:r>
      <w:r>
        <w:t xml:space="preserve"> 1:719–724. </w:t>
      </w:r>
      <w:r>
        <w:rPr>
          <w:b/>
        </w:rPr>
        <w:t>PMID 12455691.</w:t>
      </w:r>
    </w:p>
    <w:p>
      <w:pPr>
        <w:pStyle w:val="ListBullet"/>
      </w:pPr>
      <w:r>
        <w:t>O'Connell RJ, Thon MR, Hacquard S, et al. 2012. Lifestyle</w:t>
      </w:r>
    </w:p>
    <w:p>
      <w:r>
        <w:t xml:space="preserve">  transitions in plant pathogenic </w:t>
      </w:r>
      <w:r>
        <w:rPr>
          <w:i/>
        </w:rPr>
        <w:t>Colletotrichum</w:t>
      </w:r>
      <w:r>
        <w:t xml:space="preserve"> fungi deciphered</w:t>
      </w:r>
    </w:p>
    <w:p>
      <w:r>
        <w:t xml:space="preserve">  by genome and transcriptome analyses. </w:t>
      </w:r>
      <w:r>
        <w:rPr>
          <w:i/>
        </w:rPr>
        <w:t>Nat Genet</w:t>
      </w:r>
      <w:r>
        <w:t xml:space="preserve"> 44:1060–1065.</w:t>
      </w:r>
    </w:p>
    <w:p>
      <w:r>
        <w:t xml:space="preserve">  </w:t>
      </w:r>
      <w:r>
        <w:rPr>
          <w:b/>
        </w:rPr>
        <w:t>PMID 22885923.</w:t>
      </w:r>
    </w:p>
    <w:p>
      <w:pPr>
        <w:pStyle w:val="ListBullet"/>
      </w:pPr>
      <w:r>
        <w:t>Solomon PS, Lee RC, Wilson TJ, Oliver RP. 2004. Pathogenicity of</w:t>
      </w:r>
    </w:p>
    <w:p>
      <w:r>
        <w:t xml:space="preserve">  </w:t>
      </w:r>
      <w:r>
        <w:rPr>
          <w:i/>
        </w:rPr>
        <w:t>Stagonospora nodorum</w:t>
      </w:r>
      <w:r>
        <w:t xml:space="preserve"> requires malate synthase. </w:t>
      </w:r>
      <w:r>
        <w:rPr>
          <w:i/>
        </w:rPr>
        <w:t>Mol Microbiol</w:t>
      </w:r>
    </w:p>
    <w:p>
      <w:r>
        <w:t xml:space="preserve">  53:1065–1073. </w:t>
      </w:r>
      <w:r>
        <w:rPr>
          <w:b/>
        </w:rPr>
        <w:t>PMID 15306011.</w:t>
      </w:r>
    </w:p>
    <w:p>
      <w:pPr>
        <w:pStyle w:val="ListBullet"/>
      </w:pPr>
      <w:r>
        <w:t>Solomon PS, Tan KC, Oliver RP. 2003. The nutrient supply of</w:t>
      </w:r>
    </w:p>
    <w:p>
      <w:r>
        <w:t xml:space="preserve">  pathogenic fungi: a fertile field for study. </w:t>
      </w:r>
      <w:r>
        <w:rPr>
          <w:i/>
        </w:rPr>
        <w:t>Mol Plant Pathol</w:t>
      </w:r>
    </w:p>
    <w:p>
      <w:r>
        <w:t xml:space="preserve">  4:203–210. </w:t>
      </w:r>
      <w:r>
        <w:rPr>
          <w:b/>
        </w:rPr>
        <w:t>PMID 20569380.</w:t>
      </w:r>
    </w:p>
    <w:p>
      <w:pPr>
        <w:pStyle w:val="ListBullet"/>
      </w:pPr>
      <w:r>
        <w:t>Talbot NJ. 2003. On the trail of a serial killer: recent advances</w:t>
      </w:r>
    </w:p>
    <w:p>
      <w:r>
        <w:t xml:space="preserve">  in the understanding of the cell biology of </w:t>
      </w:r>
      <w:r>
        <w:rPr>
          <w:i/>
        </w:rPr>
        <w:t>Magnaporthe grisea</w:t>
      </w:r>
      <w:r>
        <w:t>.</w:t>
      </w:r>
    </w:p>
    <w:p>
      <w:r>
        <w:t xml:space="preserve">  </w:t>
      </w:r>
      <w:r>
        <w:rPr>
          <w:i/>
        </w:rPr>
        <w:t>Annu Rev Microbiol</w:t>
      </w:r>
      <w:r>
        <w:t xml:space="preserve"> 57:177–202. </w:t>
      </w:r>
      <w:r>
        <w:rPr>
          <w:b/>
        </w:rPr>
        <w:t>PMID 14527276.</w:t>
      </w:r>
    </w:p>
    <w:p>
      <w:pPr>
        <w:pStyle w:val="ListBullet"/>
      </w:pPr>
      <w:r>
        <w:t>Thines E, Weber RWS, Talbot NJ. 2000. MAP kinase and protein</w:t>
      </w:r>
    </w:p>
    <w:p>
      <w:r>
        <w:t xml:space="preserve">  kinase A-dependent mobilization of triacylglycerol and glycogen</w:t>
      </w:r>
    </w:p>
    <w:p>
      <w:r>
        <w:t xml:space="preserve">  during appressorium turgor generation by </w:t>
      </w:r>
      <w:r>
        <w:rPr>
          <w:i/>
        </w:rPr>
        <w:t>Magnaporthe grisea</w:t>
      </w:r>
      <w:r>
        <w:t>.</w:t>
      </w:r>
    </w:p>
    <w:p>
      <w:r>
        <w:t xml:space="preserve">  </w:t>
      </w:r>
      <w:r>
        <w:rPr>
          <w:i/>
        </w:rPr>
        <w:t>Plant Cell</w:t>
      </w:r>
      <w:r>
        <w:t xml:space="preserve"> 12:1703–1718. </w:t>
      </w:r>
      <w:r>
        <w:rPr>
          <w:b/>
        </w:rPr>
        <w:t>PMID 11006342.</w:t>
      </w:r>
    </w:p>
    <w:p>
      <w:pPr>
        <w:pStyle w:val="ListBullet"/>
      </w:pPr>
      <w:r>
        <w:t>Veenhuis M, Mateblowski M, Kunau WH, Harder W. 1987. Proliferation</w:t>
      </w:r>
    </w:p>
    <w:p>
      <w:r>
        <w:t xml:space="preserve">  of microbodies in </w:t>
      </w:r>
      <w:r>
        <w:rPr>
          <w:i/>
        </w:rPr>
        <w:t>Saccharomyces cerevisiae</w:t>
      </w:r>
      <w:r>
        <w:t xml:space="preserve">. </w:t>
      </w:r>
      <w:r>
        <w:rPr>
          <w:i/>
        </w:rPr>
        <w:t>Yeast</w:t>
      </w:r>
      <w:r>
        <w:t xml:space="preserve"> 3:77–84.</w:t>
      </w:r>
    </w:p>
    <w:p>
      <w:pPr>
        <w:pStyle w:val="ListBullet"/>
      </w:pPr>
      <w:r>
        <w:t>Wang ZY, Soanes DM, Kershaw MJ, Talbot NJ. 2007. Functional</w:t>
      </w:r>
    </w:p>
    <w:p>
      <w:r>
        <w:t xml:space="preserve">  analysis of lipid metabolism in </w:t>
      </w:r>
      <w:r>
        <w:rPr>
          <w:i/>
        </w:rPr>
        <w:t>Magnaporthe grisea</w:t>
      </w:r>
      <w:r>
        <w:t xml:space="preserve"> reveals a</w:t>
      </w:r>
    </w:p>
    <w:p>
      <w:r>
        <w:t xml:space="preserve">  requirement for peroxisomal fatty acid β-oxidation during</w:t>
      </w:r>
    </w:p>
    <w:p>
      <w:r>
        <w:t xml:space="preserve">  appressorium-mediated plant infection. </w:t>
      </w:r>
      <w:r>
        <w:rPr>
          <w:i/>
        </w:rPr>
        <w:t>Mol Plant-Microbe Interact</w:t>
      </w:r>
    </w:p>
    <w:p>
      <w:r>
        <w:t xml:space="preserve">  20:475–491. </w:t>
      </w:r>
      <w:r>
        <w:rPr>
          <w:b/>
        </w:rPr>
        <w:t>PMID 17506327.</w:t>
      </w:r>
    </w:p>
    <w:p>
      <w:pPr>
        <w:pStyle w:val="ListBullet"/>
      </w:pPr>
      <w:r>
        <w:t>Wang ZY, Thornton CR, Kershaw MJ, Debao L, Talbot NJ. 2003. The</w:t>
      </w:r>
    </w:p>
    <w:p>
      <w:r>
        <w:t xml:space="preserve">  glyoxylate cycle is required for temporal regulation of virulence</w:t>
      </w:r>
    </w:p>
    <w:p>
      <w:r>
        <w:t xml:space="preserve">  by the plant pathogenic fungus </w:t>
      </w:r>
      <w:r>
        <w:rPr>
          <w:i/>
        </w:rPr>
        <w:t>Magnaporthe grisea</w:t>
      </w:r>
      <w:r>
        <w:t>. *Mol</w:t>
      </w:r>
    </w:p>
    <w:p>
      <w:r>
        <w:t xml:space="preserve">  Microbiol</w:t>
      </w:r>
      <w:r>
        <w:rPr>
          <w:i/>
        </w:rPr>
        <w:t xml:space="preserve"> 47:1601–1612. </w:t>
      </w:r>
      <w:r>
        <w:rPr>
          <w:i/>
        </w:rPr>
        <w:t>PMID 12622815.</w:t>
      </w:r>
      <w:r>
        <w:t>*</w:t>
      </w:r>
    </w:p>
    <w:p>
      <w:pPr>
        <w:pStyle w:val="ListBullet"/>
      </w:pPr>
      <w:r>
        <w:t>Yates IE, Bacon CW, Hinton DM. 1997. Effects of endophytic</w:t>
      </w:r>
    </w:p>
    <w:p>
      <w:r>
        <w:t xml:space="preserve">  infection by </w:t>
      </w:r>
      <w:r>
        <w:rPr>
          <w:i/>
        </w:rPr>
        <w:t>Fusarium moniliforme</w:t>
      </w:r>
      <w:r>
        <w:t xml:space="preserve"> on corn growth and cellular</w:t>
      </w:r>
    </w:p>
    <w:p>
      <w:r>
        <w:t xml:space="preserve">  morphology. </w:t>
      </w:r>
      <w:r>
        <w:rPr>
          <w:i/>
        </w:rPr>
        <w:t>Plant Dis</w:t>
      </w:r>
      <w:r>
        <w:t xml:space="preserve"> 81:723–728. (Surface-wax composition</w:t>
      </w:r>
    </w:p>
    <w:p>
      <w:r>
        <w:t xml:space="preserve">  reference, for sorghum see also Atkin &amp; Hamilton 1982.)</w:t>
      </w:r>
    </w:p>
    <w:p>
      <w:r>
        <w:rPr>
          <w:b/>
        </w:rPr>
        <w:t>Note on PMID confidence</w:t>
      </w:r>
      <w:r>
        <w:t xml:space="preserve">: PMIDs above marked as </w:t>
      </w:r>
      <w:r>
        <w:rPr>
          <w:b/>
        </w:rPr>
        <w:t>bold</w:t>
      </w:r>
      <w:r>
        <w:t xml:space="preserve"> are</w:t>
      </w:r>
    </w:p>
    <w:p>
      <w:r>
        <w:t>high-confidence (well-cited papers I've referenced from memory and</w:t>
      </w:r>
    </w:p>
    <w:p>
      <w:r>
        <w:t>that match author/journal/year combinations stable in the literature).</w:t>
      </w:r>
    </w:p>
    <w:p>
      <w:r>
        <w:t>For absolute citation-checking before publication, verify each PMID</w:t>
      </w:r>
    </w:p>
    <w:p>
      <w:r>
        <w:t>against PubMed directly.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D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