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after="160"/>
      </w:pPr>
      <w:r>
        <w:rPr>
          <w:b/>
          <w:sz w:val="28"/>
          <w:szCs w:val="28"/>
        </w:rPr>
        <w:t>Procurement Contract Requirement Principles</w:t>
      </w:r>
    </w:p>
    <w:p>
      <w:pPr>
        <w:jc w:val="center"/>
        <w:spacing w:after="140"/>
      </w:pPr>
      <w:r>
        <w:rPr>
          <w:sz w:val="22"/>
          <w:szCs w:val="22"/>
        </w:rPr>
        <w:t>A practical 10-page guide for deciding when a purchase order is sufficient and when a formal written contract should be used.</w:t>
      </w:r>
    </w:p>
    <w:p>
      <w:pPr>
        <w:spacing w:after="80"/>
      </w:pPr>
      <w:r>
        <w:rPr>
          <w:b/>
          <w:sz w:val="22"/>
          <w:szCs w:val="22"/>
        </w:rPr>
        <w:t>Purpose</w:t>
      </w:r>
    </w:p>
    <w:p>
      <w:pPr>
        <w:ind w:left="720" w:hanging="360"/>
        <w:spacing w:after="70"/>
      </w:pPr>
      <w:r>
        <w:rPr>
          <w:sz w:val="20"/>
          <w:szCs w:val="20"/>
        </w:rPr>
        <w:t>- Provide a category-based rule set that procurement, sourcing, and business stakeholders can apply before engaging a supplier.</w:t>
      </w:r>
    </w:p>
    <w:p>
      <w:pPr>
        <w:ind w:left="720" w:hanging="360"/>
        <w:spacing w:after="70"/>
      </w:pPr>
      <w:r>
        <w:rPr>
          <w:sz w:val="20"/>
          <w:szCs w:val="20"/>
        </w:rPr>
        <w:t>- Use the UNSPSC hierarchy as the organizing structure so decisions can be mapped to spend categories instead of being made ad hoc.</w:t>
      </w:r>
    </w:p>
    <w:p>
      <w:pPr>
        <w:ind w:left="720" w:hanging="360"/>
        <w:spacing w:after="70"/>
      </w:pPr>
      <w:r>
        <w:rPr>
          <w:sz w:val="20"/>
          <w:szCs w:val="20"/>
        </w:rPr>
        <w:t>- Summarize public best practices on contract need, supplier risk, and situations where a purchase order alone is usually not enough.</w:t>
      </w:r>
    </w:p>
    <w:p>
      <w:pPr>
        <w:spacing w:after="80"/>
      </w:pPr>
      <w:r>
        <w:rPr>
          <w:b/>
          <w:sz w:val="22"/>
          <w:szCs w:val="22"/>
        </w:rPr>
        <w:t>Scope</w:t>
      </w:r>
    </w:p>
    <w:p>
      <w:pPr>
        <w:ind w:left="720" w:hanging="360"/>
        <w:spacing w:after="70"/>
      </w:pPr>
      <w:r>
        <w:rPr>
          <w:sz w:val="20"/>
          <w:szCs w:val="20"/>
        </w:rPr>
        <w:t>- This document is written for commercial and institutional procurement teams in the United States.</w:t>
      </w:r>
    </w:p>
    <w:p>
      <w:pPr>
        <w:ind w:left="720" w:hanging="360"/>
        <w:spacing w:after="70"/>
      </w:pPr>
      <w:r>
        <w:rPr>
          <w:sz w:val="20"/>
          <w:szCs w:val="20"/>
        </w:rPr>
        <w:t>- It addresses goods, services, software, data handling, project work, recurring arrangements, and higher-risk supplier relationships.</w:t>
      </w:r>
    </w:p>
    <w:p>
      <w:pPr>
        <w:ind w:left="720" w:hanging="360"/>
        <w:spacing w:after="70"/>
      </w:pPr>
      <w:r>
        <w:rPr>
          <w:sz w:val="20"/>
          <w:szCs w:val="20"/>
        </w:rPr>
        <w:t>- It is a governance and procurement practice document, not legal advice. Local law, regulated-industry requirements, and internal delegated authority rules still control.</w:t>
      </w:r>
    </w:p>
    <w:p>
      <w:pPr>
        <w:spacing w:after="80"/>
      </w:pPr>
      <w:r>
        <w:rPr>
          <w:b/>
          <w:sz w:val="22"/>
          <w:szCs w:val="22"/>
        </w:rPr>
        <w:t>Prepared on April 13, 2026.</w:t>
      </w:r>
    </w:p>
    <w:p>
      <w:pPr>
        <w:spacing w:after="130"/>
      </w:pPr>
      <w:r>
        <w:br w:type="page"/>
        <w:rPr>
          <w:b/>
          <w:sz w:val="24"/>
          <w:szCs w:val="24"/>
        </w:rPr>
        <w:t>Core Rule: PO First, Contract When Risk or Complexity Requires</w:t>
      </w:r>
    </w:p>
    <w:p>
      <w:pPr>
        <w:spacing w:after="80"/>
      </w:pPr>
      <w:r>
        <w:rPr>
          <w:b/>
          <w:sz w:val="22"/>
          <w:szCs w:val="22"/>
        </w:rPr>
        <w:t>Working principle</w:t>
      </w:r>
    </w:p>
    <w:p>
      <w:pPr>
        <w:ind w:left="720" w:hanging="360"/>
        <w:spacing w:after="70"/>
      </w:pPr>
      <w:r>
        <w:rPr>
          <w:sz w:val="20"/>
          <w:szCs w:val="20"/>
        </w:rPr>
        <w:t>- A purchase order is generally sufficient for straightforward, one-time purchases where the item, quantity, price, and delivery terms are clear and the supplier accepts the buyer's ordering terms.</w:t>
      </w:r>
    </w:p>
    <w:p>
      <w:pPr>
        <w:ind w:left="720" w:hanging="360"/>
        <w:spacing w:after="70"/>
      </w:pPr>
      <w:r>
        <w:rPr>
          <w:sz w:val="20"/>
          <w:szCs w:val="20"/>
        </w:rPr>
        <w:t>- A formal written contract is generally needed when the transaction is service-heavy, longer term, legally complex, negotiable, high value, or exposed to operational, regulatory, privacy, safety, or reputational risk.</w:t>
      </w:r>
    </w:p>
    <w:p>
      <w:pPr>
        <w:spacing w:after="80"/>
      </w:pPr>
      <w:r>
        <w:rPr>
          <w:b/>
          <w:sz w:val="22"/>
          <w:szCs w:val="22"/>
        </w:rPr>
        <w:t>PO is usually sufficient when</w:t>
      </w:r>
    </w:p>
    <w:p>
      <w:pPr>
        <w:ind w:left="720" w:hanging="360"/>
        <w:spacing w:after="70"/>
      </w:pPr>
      <w:r>
        <w:rPr>
          <w:sz w:val="20"/>
          <w:szCs w:val="20"/>
        </w:rPr>
        <w:t>- The purchase is for standard goods or catalog items, the relationship ends when delivery is complete, and no bespoke legal provisions are required.</w:t>
      </w:r>
    </w:p>
    <w:p>
      <w:pPr>
        <w:ind w:left="720" w:hanging="360"/>
        <w:spacing w:after="70"/>
      </w:pPr>
      <w:r>
        <w:rPr>
          <w:sz w:val="20"/>
          <w:szCs w:val="20"/>
        </w:rPr>
        <w:t>- The commercial terms are stable and can be handled through standard PO terms and conditions.</w:t>
      </w:r>
    </w:p>
    <w:p>
      <w:pPr>
        <w:spacing w:after="80"/>
      </w:pPr>
      <w:r>
        <w:rPr>
          <w:b/>
          <w:sz w:val="22"/>
          <w:szCs w:val="22"/>
        </w:rPr>
        <w:t>Formal contract is usually needed when</w:t>
      </w:r>
    </w:p>
    <w:p>
      <w:pPr>
        <w:ind w:left="720" w:hanging="360"/>
        <w:spacing w:after="70"/>
      </w:pPr>
      <w:r>
        <w:rPr>
          <w:sz w:val="20"/>
          <w:szCs w:val="20"/>
        </w:rPr>
        <w:t>- The deal involves services, project milestones, intellectual property, confidentiality, data access, supplier performance commitments, insurance, indemnities, or non-standard liability allocation.</w:t>
      </w:r>
    </w:p>
    <w:p>
      <w:pPr>
        <w:ind w:left="720" w:hanging="360"/>
        <w:spacing w:after="70"/>
      </w:pPr>
      <w:r>
        <w:rPr>
          <w:sz w:val="20"/>
          <w:szCs w:val="20"/>
        </w:rPr>
        <w:t>- The supplier asks for a signature, presents its own paper, or the arrangement extends beyond a simple one-time order.</w:t>
      </w:r>
    </w:p>
    <w:p>
      <w:pPr>
        <w:spacing w:after="130"/>
      </w:pPr>
      <w:r>
        <w:br w:type="page"/>
        <w:rPr>
          <w:b/>
          <w:sz w:val="24"/>
          <w:szCs w:val="24"/>
        </w:rPr>
        <w:t>How UNSPSC Should Drive the Decision</w:t>
      </w:r>
    </w:p>
    <w:p>
      <w:pPr>
        <w:spacing w:after="80"/>
      </w:pPr>
      <w:r>
        <w:rPr>
          <w:b/>
          <w:sz w:val="22"/>
          <w:szCs w:val="22"/>
        </w:rPr>
        <w:t>Use the hierarchy</w:t>
      </w:r>
    </w:p>
    <w:p>
      <w:pPr>
        <w:ind w:left="720" w:hanging="360"/>
        <w:spacing w:after="70"/>
      </w:pPr>
      <w:r>
        <w:rPr>
          <w:sz w:val="20"/>
          <w:szCs w:val="20"/>
        </w:rPr>
        <w:t>- UNSPSC classifies spend using segment, family, class, and commodity. The contract decision should usually begin at segment or family level, then tighten at class or commodity level if the work is specialized.</w:t>
      </w:r>
    </w:p>
    <w:p>
      <w:pPr>
        <w:ind w:left="720" w:hanging="360"/>
        <w:spacing w:after="70"/>
      </w:pPr>
      <w:r>
        <w:rPr>
          <w:sz w:val="20"/>
          <w:szCs w:val="20"/>
        </w:rPr>
        <w:t>- Lower-risk commodity families often support PO-first buying. Higher-risk service or regulated families should trigger contract review by default.</w:t>
      </w:r>
    </w:p>
    <w:p>
      <w:pPr>
        <w:spacing w:after="80"/>
      </w:pPr>
      <w:r>
        <w:rPr>
          <w:b/>
          <w:sz w:val="22"/>
          <w:szCs w:val="22"/>
        </w:rPr>
        <w:t>Examples of category logic</w:t>
      </w:r>
    </w:p>
    <w:p>
      <w:pPr>
        <w:ind w:left="720" w:hanging="360"/>
        <w:spacing w:after="70"/>
      </w:pPr>
      <w:r>
        <w:rPr>
          <w:sz w:val="20"/>
          <w:szCs w:val="20"/>
        </w:rPr>
        <w:t>- Routine office supplies within Office Equipment and Accessories families are commonly PO-sufficient.</w:t>
      </w:r>
    </w:p>
    <w:p>
      <w:pPr>
        <w:ind w:left="720" w:hanging="360"/>
        <w:spacing w:after="70"/>
      </w:pPr>
      <w:r>
        <w:rPr>
          <w:sz w:val="20"/>
          <w:szCs w:val="20"/>
        </w:rPr>
        <w:t>- Software, consulting, engineering, laboratory services, and outsourced technical support often require written agreements even if the dollar amount is modest.</w:t>
      </w:r>
    </w:p>
    <w:p>
      <w:pPr>
        <w:ind w:left="720" w:hanging="360"/>
        <w:spacing w:after="70"/>
      </w:pPr>
      <w:r>
        <w:rPr>
          <w:sz w:val="20"/>
          <w:szCs w:val="20"/>
        </w:rPr>
        <w:t>- The same broad segment can contain both PO-sufficient and contract-required buys, so the family and class matter.</w:t>
      </w:r>
    </w:p>
    <w:p>
      <w:pPr>
        <w:spacing w:after="80"/>
      </w:pPr>
      <w:r>
        <w:rPr>
          <w:b/>
          <w:sz w:val="22"/>
          <w:szCs w:val="22"/>
        </w:rPr>
        <w:t>Governance rule</w:t>
      </w:r>
    </w:p>
    <w:p>
      <w:pPr>
        <w:ind w:left="720" w:hanging="360"/>
        <w:spacing w:after="70"/>
      </w:pPr>
      <w:r>
        <w:rPr>
          <w:sz w:val="20"/>
          <w:szCs w:val="20"/>
        </w:rPr>
        <w:t>- Treat UNSPSC as the starting classifier for workflow routing, but never as the only decision factor. Risk, law, data, and supplier terms can override category defaults.</w:t>
      </w:r>
    </w:p>
    <w:p>
      <w:pPr>
        <w:spacing w:after="130"/>
      </w:pPr>
      <w:r>
        <w:br w:type="page"/>
        <w:rPr>
          <w:b/>
          <w:sz w:val="24"/>
          <w:szCs w:val="24"/>
        </w:rPr>
        <w:t>UNSPSC Categories Commonly Suitable for PO-Only Buying</w:t>
      </w:r>
    </w:p>
    <w:p>
      <w:pPr>
        <w:spacing w:after="80"/>
      </w:pPr>
      <w:r>
        <w:rPr>
          <w:b/>
          <w:sz w:val="22"/>
          <w:szCs w:val="22"/>
        </w:rPr>
        <w:t>Typical PO-first categories</w:t>
      </w:r>
    </w:p>
    <w:p>
      <w:pPr>
        <w:ind w:left="720" w:hanging="360"/>
        <w:spacing w:after="70"/>
      </w:pPr>
      <w:r>
        <w:rPr>
          <w:sz w:val="20"/>
          <w:szCs w:val="20"/>
        </w:rPr>
        <w:t>- Routine goods in standard supply families such as office supplies, janitorial supplies, basic maintenance materials, low-complexity tools, commodity packaging, and standard replacement parts.</w:t>
      </w:r>
    </w:p>
    <w:p>
      <w:pPr>
        <w:ind w:left="720" w:hanging="360"/>
        <w:spacing w:after="70"/>
      </w:pPr>
      <w:r>
        <w:rPr>
          <w:sz w:val="20"/>
          <w:szCs w:val="20"/>
        </w:rPr>
        <w:t>- Catalog or market-standard items where specifications are objective, delivery is discrete, and acceptance depends mainly on quantity, condition, and conformance.</w:t>
      </w:r>
    </w:p>
    <w:p>
      <w:pPr>
        <w:ind w:left="720" w:hanging="360"/>
        <w:spacing w:after="70"/>
      </w:pPr>
      <w:r>
        <w:rPr>
          <w:sz w:val="20"/>
          <w:szCs w:val="20"/>
        </w:rPr>
        <w:t>- Low-risk spot buys with no access to systems, facilities, people, confidential information, or regulated materials.</w:t>
      </w:r>
    </w:p>
    <w:p>
      <w:pPr>
        <w:spacing w:after="80"/>
      </w:pPr>
      <w:r>
        <w:rPr>
          <w:b/>
          <w:sz w:val="22"/>
          <w:szCs w:val="22"/>
        </w:rPr>
        <w:t>Conditions that should still be true</w:t>
      </w:r>
    </w:p>
    <w:p>
      <w:pPr>
        <w:ind w:left="720" w:hanging="360"/>
        <w:spacing w:after="70"/>
      </w:pPr>
      <w:r>
        <w:rPr>
          <w:sz w:val="20"/>
          <w:szCs w:val="20"/>
        </w:rPr>
        <w:t>- No ongoing statement of work is required.</w:t>
      </w:r>
    </w:p>
    <w:p>
      <w:pPr>
        <w:ind w:left="720" w:hanging="360"/>
        <w:spacing w:after="70"/>
      </w:pPr>
      <w:r>
        <w:rPr>
          <w:sz w:val="20"/>
          <w:szCs w:val="20"/>
        </w:rPr>
        <w:t>- No intellectual property is being developed, assigned, licensed, or restricted.</w:t>
      </w:r>
    </w:p>
    <w:p>
      <w:pPr>
        <w:ind w:left="720" w:hanging="360"/>
        <w:spacing w:after="70"/>
      </w:pPr>
      <w:r>
        <w:rPr>
          <w:sz w:val="20"/>
          <w:szCs w:val="20"/>
        </w:rPr>
        <w:t>- No personal data, health data, payment card data, or sensitive research information is shared with the supplier.</w:t>
      </w:r>
    </w:p>
    <w:p>
      <w:pPr>
        <w:ind w:left="720" w:hanging="360"/>
        <w:spacing w:after="70"/>
      </w:pPr>
      <w:r>
        <w:rPr>
          <w:sz w:val="20"/>
          <w:szCs w:val="20"/>
        </w:rPr>
        <w:t>- The supplier is not performing work on-site under safety or labor controls that require allocated responsibilities.</w:t>
      </w:r>
    </w:p>
    <w:p>
      <w:pPr>
        <w:spacing w:after="80"/>
      </w:pPr>
      <w:r>
        <w:rPr>
          <w:b/>
          <w:sz w:val="22"/>
          <w:szCs w:val="22"/>
        </w:rPr>
        <w:t>Practical view</w:t>
      </w:r>
    </w:p>
    <w:p>
      <w:pPr>
        <w:ind w:left="720" w:hanging="360"/>
        <w:spacing w:after="70"/>
      </w:pPr>
      <w:r>
        <w:rPr>
          <w:sz w:val="20"/>
          <w:szCs w:val="20"/>
        </w:rPr>
        <w:t>- If the transaction can be fully described by item, price, quantity, shipment, inspection, and payment terms, a PO is often enough.</w:t>
      </w:r>
    </w:p>
    <w:p>
      <w:pPr>
        <w:spacing w:after="130"/>
      </w:pPr>
      <w:r>
        <w:br w:type="page"/>
        <w:rPr>
          <w:b/>
          <w:sz w:val="24"/>
          <w:szCs w:val="24"/>
        </w:rPr>
        <w:t>UNSPSC Categories That Should Default to Formal Contract Review</w:t>
      </w:r>
    </w:p>
    <w:p>
      <w:pPr>
        <w:spacing w:after="80"/>
      </w:pPr>
      <w:r>
        <w:rPr>
          <w:b/>
          <w:sz w:val="22"/>
          <w:szCs w:val="22"/>
        </w:rPr>
        <w:t>High-likelihood contract categories</w:t>
      </w:r>
    </w:p>
    <w:p>
      <w:pPr>
        <w:ind w:left="720" w:hanging="360"/>
        <w:spacing w:after="70"/>
      </w:pPr>
      <w:r>
        <w:rPr>
          <w:sz w:val="20"/>
          <w:szCs w:val="20"/>
        </w:rPr>
        <w:t>- Professional, consulting, technical, and managed services.</w:t>
      </w:r>
    </w:p>
    <w:p>
      <w:pPr>
        <w:ind w:left="720" w:hanging="360"/>
        <w:spacing w:after="70"/>
      </w:pPr>
      <w:r>
        <w:rPr>
          <w:sz w:val="20"/>
          <w:szCs w:val="20"/>
        </w:rPr>
        <w:t>- Software, SaaS, cloud, data access, hosting, maintenance, and integration services.</w:t>
      </w:r>
    </w:p>
    <w:p>
      <w:pPr>
        <w:ind w:left="720" w:hanging="360"/>
        <w:spacing w:after="70"/>
      </w:pPr>
      <w:r>
        <w:rPr>
          <w:sz w:val="20"/>
          <w:szCs w:val="20"/>
        </w:rPr>
        <w:t>- Construction, engineering, installation, and facility work involving performance, safety, permits, or site access.</w:t>
      </w:r>
    </w:p>
    <w:p>
      <w:pPr>
        <w:ind w:left="720" w:hanging="360"/>
        <w:spacing w:after="70"/>
      </w:pPr>
      <w:r>
        <w:rPr>
          <w:sz w:val="20"/>
          <w:szCs w:val="20"/>
        </w:rPr>
        <w:t>- Research, laboratory, clinical, regulated, or specialized scientific services.</w:t>
      </w:r>
    </w:p>
    <w:p>
      <w:pPr>
        <w:ind w:left="720" w:hanging="360"/>
        <w:spacing w:after="70"/>
      </w:pPr>
      <w:r>
        <w:rPr>
          <w:sz w:val="20"/>
          <w:szCs w:val="20"/>
        </w:rPr>
        <w:t>- Independent contractor engagements and work performed by non-employees where law or classification rules may require written terms.</w:t>
      </w:r>
    </w:p>
    <w:p>
      <w:pPr>
        <w:spacing w:after="80"/>
      </w:pPr>
      <w:r>
        <w:rPr>
          <w:b/>
          <w:sz w:val="22"/>
          <w:szCs w:val="22"/>
        </w:rPr>
        <w:t>Why these categories need contracts</w:t>
      </w:r>
    </w:p>
    <w:p>
      <w:pPr>
        <w:ind w:left="720" w:hanging="360"/>
        <w:spacing w:after="70"/>
      </w:pPr>
      <w:r>
        <w:rPr>
          <w:sz w:val="20"/>
          <w:szCs w:val="20"/>
        </w:rPr>
        <w:t>- They typically require scope definition, deliverables, acceptance criteria, project governance, service levels, term and termination rights, liability language, and documented compliance obligations.</w:t>
      </w:r>
    </w:p>
    <w:p>
      <w:pPr>
        <w:ind w:left="720" w:hanging="360"/>
        <w:spacing w:after="70"/>
      </w:pPr>
      <w:r>
        <w:rPr>
          <w:sz w:val="20"/>
          <w:szCs w:val="20"/>
        </w:rPr>
        <w:t>- A PO usually does not capture enough detail for disputes over work quality, timing, change control, or legal responsibility.</w:t>
      </w:r>
    </w:p>
    <w:p>
      <w:pPr>
        <w:spacing w:after="130"/>
      </w:pPr>
      <w:r>
        <w:br w:type="page"/>
        <w:rPr>
          <w:b/>
          <w:sz w:val="24"/>
          <w:szCs w:val="24"/>
        </w:rPr>
        <w:t>Risk Triggers That Override Category Defaults</w:t>
      </w:r>
    </w:p>
    <w:p>
      <w:pPr>
        <w:spacing w:after="80"/>
      </w:pPr>
      <w:r>
        <w:rPr>
          <w:b/>
          <w:sz w:val="22"/>
          <w:szCs w:val="22"/>
        </w:rPr>
        <w:t>A contract should be required regardless of UNSPSC category if any of the following apply</w:t>
      </w:r>
    </w:p>
    <w:p>
      <w:pPr>
        <w:ind w:left="720" w:hanging="360"/>
        <w:spacing w:after="70"/>
      </w:pPr>
      <w:r>
        <w:rPr>
          <w:sz w:val="20"/>
          <w:szCs w:val="20"/>
        </w:rPr>
        <w:t>- The supplier will receive, host, process, or access confidential information, employee data, customer data, student data, health information, cardholder data, trade secrets, or research information.</w:t>
      </w:r>
    </w:p>
    <w:p>
      <w:pPr>
        <w:ind w:left="720" w:hanging="360"/>
        <w:spacing w:after="70"/>
      </w:pPr>
      <w:r>
        <w:rPr>
          <w:sz w:val="20"/>
          <w:szCs w:val="20"/>
        </w:rPr>
        <w:t>- The supplier will develop deliverables, software, content, designs, or inventions where ownership, licensing, or use rights must be clear.</w:t>
      </w:r>
    </w:p>
    <w:p>
      <w:pPr>
        <w:ind w:left="720" w:hanging="360"/>
        <w:spacing w:after="70"/>
      </w:pPr>
      <w:r>
        <w:rPr>
          <w:sz w:val="20"/>
          <w:szCs w:val="20"/>
        </w:rPr>
        <w:t>- The relationship is ongoing, auto-renewing, subscription-based, exclusive, or difficult to exit without transition obligations.</w:t>
      </w:r>
    </w:p>
    <w:p>
      <w:pPr>
        <w:ind w:left="720" w:hanging="360"/>
        <w:spacing w:after="70"/>
      </w:pPr>
      <w:r>
        <w:rPr>
          <w:sz w:val="20"/>
          <w:szCs w:val="20"/>
        </w:rPr>
        <w:t>- The supplier is entering facilities, using hazardous materials, handling regulated goods, or performing safety-critical work.</w:t>
      </w:r>
    </w:p>
    <w:p>
      <w:pPr>
        <w:ind w:left="720" w:hanging="360"/>
        <w:spacing w:after="70"/>
      </w:pPr>
      <w:r>
        <w:rPr>
          <w:sz w:val="20"/>
          <w:szCs w:val="20"/>
        </w:rPr>
        <w:t>- The transaction includes non-standard payment terms, advance payments, milestone payments, credits, rebates, or penalties.</w:t>
      </w:r>
    </w:p>
    <w:p>
      <w:pPr>
        <w:ind w:left="720" w:hanging="360"/>
        <w:spacing w:after="70"/>
      </w:pPr>
      <w:r>
        <w:rPr>
          <w:sz w:val="20"/>
          <w:szCs w:val="20"/>
        </w:rPr>
        <w:t>- The supplier's paper includes limitations of liability, disclaimers, unilateral amendments, automatic renewals, or venue and governing-law clauses that need review.</w:t>
      </w:r>
    </w:p>
    <w:p>
      <w:pPr>
        <w:spacing w:after="80"/>
      </w:pPr>
      <w:r>
        <w:rPr>
          <w:b/>
          <w:sz w:val="22"/>
          <w:szCs w:val="22"/>
        </w:rPr>
        <w:t>Bottom line</w:t>
      </w:r>
    </w:p>
    <w:p>
      <w:pPr>
        <w:ind w:left="720" w:hanging="360"/>
        <w:spacing w:after="70"/>
      </w:pPr>
      <w:r>
        <w:rPr>
          <w:sz w:val="20"/>
          <w:szCs w:val="20"/>
        </w:rPr>
        <w:t>- If the business needs terms beyond price and delivery, it probably needs a contract.</w:t>
      </w:r>
    </w:p>
    <w:p>
      <w:pPr>
        <w:spacing w:after="130"/>
      </w:pPr>
      <w:r>
        <w:br w:type="page"/>
        <w:rPr>
          <w:b/>
          <w:sz w:val="24"/>
          <w:szCs w:val="24"/>
        </w:rPr>
        <w:t>Category-by-Category Principles Using UNSPSC Families</w:t>
      </w:r>
    </w:p>
    <w:p>
      <w:pPr>
        <w:spacing w:after="80"/>
      </w:pPr>
      <w:r>
        <w:rPr>
          <w:b/>
          <w:sz w:val="22"/>
          <w:szCs w:val="22"/>
        </w:rPr>
        <w:t>Goods-oriented families often suitable for PO-first treatment</w:t>
      </w:r>
    </w:p>
    <w:p>
      <w:pPr>
        <w:ind w:left="720" w:hanging="360"/>
        <w:spacing w:after="70"/>
      </w:pPr>
      <w:r>
        <w:rPr>
          <w:sz w:val="20"/>
          <w:szCs w:val="20"/>
        </w:rPr>
        <w:t>- Office Equipment and Accessories and Supplies, standard cleaning supplies, standard tools, common packaging, and commodity maintenance materials can normally start with PO-only rules.</w:t>
      </w:r>
    </w:p>
    <w:p>
      <w:pPr>
        <w:spacing w:after="80"/>
      </w:pPr>
      <w:r>
        <w:rPr>
          <w:b/>
          <w:sz w:val="22"/>
          <w:szCs w:val="22"/>
        </w:rPr>
        <w:t>Goods-oriented families that often still need contracts</w:t>
      </w:r>
    </w:p>
    <w:p>
      <w:pPr>
        <w:ind w:left="720" w:hanging="360"/>
        <w:spacing w:after="70"/>
      </w:pPr>
      <w:r>
        <w:rPr>
          <w:sz w:val="20"/>
          <w:szCs w:val="20"/>
        </w:rPr>
        <w:t>- Capital equipment with installation or maintenance obligations, chemicals or gases outside standard catalog channels, leased equipment, and goods tied to warranties, calibration, training, or service obligations should move into contract review.</w:t>
      </w:r>
    </w:p>
    <w:p>
      <w:pPr>
        <w:spacing w:after="80"/>
      </w:pPr>
      <w:r>
        <w:rPr>
          <w:b/>
          <w:sz w:val="22"/>
          <w:szCs w:val="22"/>
        </w:rPr>
        <w:t>Service-oriented families that should default to contract review</w:t>
      </w:r>
    </w:p>
    <w:p>
      <w:pPr>
        <w:ind w:left="720" w:hanging="360"/>
        <w:spacing w:after="70"/>
      </w:pPr>
      <w:r>
        <w:rPr>
          <w:sz w:val="20"/>
          <w:szCs w:val="20"/>
        </w:rPr>
        <w:t>- Consulting, IT and telecom services, software and licensing, engineering, temporary labor, facilities services, logistics outsourcing, marketing services, and scientific services.</w:t>
      </w:r>
    </w:p>
    <w:p>
      <w:pPr>
        <w:spacing w:after="80"/>
      </w:pPr>
      <w:r>
        <w:rPr>
          <w:b/>
          <w:sz w:val="22"/>
          <w:szCs w:val="22"/>
        </w:rPr>
        <w:t>Regulated or sensitive families</w:t>
      </w:r>
    </w:p>
    <w:p>
      <w:pPr>
        <w:ind w:left="720" w:hanging="360"/>
        <w:spacing w:after="70"/>
      </w:pPr>
      <w:r>
        <w:rPr>
          <w:sz w:val="20"/>
          <w:szCs w:val="20"/>
        </w:rPr>
        <w:t>- Medical, laboratory, clinical, research, payment-processing, and information-management families should be presumed contract-required because legal and operational controls usually extend beyond PO terms.</w:t>
      </w:r>
    </w:p>
    <w:p>
      <w:pPr>
        <w:spacing w:after="130"/>
      </w:pPr>
      <w:r>
        <w:br w:type="page"/>
        <w:rPr>
          <w:b/>
          <w:sz w:val="24"/>
          <w:szCs w:val="24"/>
        </w:rPr>
        <w:t>When Local Law, Jurisdiction, and Compliance Make Contracting Mandatory</w:t>
      </w:r>
    </w:p>
    <w:p>
      <w:pPr>
        <w:spacing w:after="80"/>
      </w:pPr>
      <w:r>
        <w:rPr>
          <w:b/>
          <w:sz w:val="22"/>
          <w:szCs w:val="22"/>
        </w:rPr>
        <w:t>Legal and compliance triggers</w:t>
      </w:r>
    </w:p>
    <w:p>
      <w:pPr>
        <w:ind w:left="720" w:hanging="360"/>
        <w:spacing w:after="70"/>
      </w:pPr>
      <w:r>
        <w:rPr>
          <w:sz w:val="20"/>
          <w:szCs w:val="20"/>
        </w:rPr>
        <w:t>- Sale-of-goods rules in the United States can support PO-based contracting for goods, but service arrangements often need fuller written terms because scope, deliverables, and liability are not adequately covered by basic order language.</w:t>
      </w:r>
    </w:p>
    <w:p>
      <w:pPr>
        <w:ind w:left="720" w:hanging="360"/>
        <w:spacing w:after="70"/>
      </w:pPr>
      <w:r>
        <w:rPr>
          <w:sz w:val="20"/>
          <w:szCs w:val="20"/>
        </w:rPr>
        <w:t>- Independent contractor rules, labor classification rules, privacy laws, export controls, healthcare or education privacy requirements, and regulated-industry obligations may require specific written clauses.</w:t>
      </w:r>
    </w:p>
    <w:p>
      <w:pPr>
        <w:ind w:left="720" w:hanging="360"/>
        <w:spacing w:after="70"/>
      </w:pPr>
      <w:r>
        <w:rPr>
          <w:sz w:val="20"/>
          <w:szCs w:val="20"/>
        </w:rPr>
        <w:t>- International services or work performed outside the United States can create tax, sanctions, currency, local-law, and enforcement issues that are difficult to handle with PO terms alone.</w:t>
      </w:r>
    </w:p>
    <w:p>
      <w:pPr>
        <w:spacing w:after="80"/>
      </w:pPr>
      <w:r>
        <w:rPr>
          <w:b/>
          <w:sz w:val="22"/>
          <w:szCs w:val="22"/>
        </w:rPr>
        <w:t>Approval principle</w:t>
      </w:r>
    </w:p>
    <w:p>
      <w:pPr>
        <w:ind w:left="720" w:hanging="360"/>
        <w:spacing w:after="70"/>
      </w:pPr>
      <w:r>
        <w:rPr>
          <w:sz w:val="20"/>
          <w:szCs w:val="20"/>
        </w:rPr>
        <w:t>- Any transaction touching local law, public sector rules, regulated data, or mandatory compliance flow-downs should be routed to formal contract review before work begins.</w:t>
      </w:r>
    </w:p>
    <w:p>
      <w:pPr>
        <w:spacing w:after="80"/>
      </w:pPr>
      <w:r>
        <w:rPr>
          <w:b/>
          <w:sz w:val="22"/>
          <w:szCs w:val="22"/>
        </w:rPr>
        <w:t>Practical implication</w:t>
      </w:r>
    </w:p>
    <w:p>
      <w:pPr>
        <w:ind w:left="720" w:hanging="360"/>
        <w:spacing w:after="70"/>
      </w:pPr>
      <w:r>
        <w:rPr>
          <w:sz w:val="20"/>
          <w:szCs w:val="20"/>
        </w:rPr>
        <w:t>- The more the transaction depends on jurisdiction-specific rules, the less appropriate PO-only buying becomes.</w:t>
      </w:r>
    </w:p>
    <w:p>
      <w:pPr>
        <w:spacing w:after="130"/>
      </w:pPr>
      <w:r>
        <w:br w:type="page"/>
        <w:rPr>
          <w:b/>
          <w:sz w:val="24"/>
          <w:szCs w:val="24"/>
        </w:rPr>
        <w:t>Decision Process and Operating Checklist</w:t>
      </w:r>
    </w:p>
    <w:p>
      <w:pPr>
        <w:spacing w:after="80"/>
      </w:pPr>
      <w:r>
        <w:rPr>
          <w:b/>
          <w:sz w:val="22"/>
          <w:szCs w:val="22"/>
        </w:rPr>
        <w:t>Step 1</w:t>
      </w:r>
    </w:p>
    <w:p>
      <w:pPr>
        <w:ind w:left="720" w:hanging="360"/>
        <w:spacing w:after="70"/>
      </w:pPr>
      <w:r>
        <w:rPr>
          <w:sz w:val="20"/>
          <w:szCs w:val="20"/>
        </w:rPr>
        <w:t>- Classify the spend using UNSPSC segment, family, and class.</w:t>
      </w:r>
    </w:p>
    <w:p>
      <w:pPr>
        <w:spacing w:after="80"/>
      </w:pPr>
      <w:r>
        <w:rPr>
          <w:b/>
          <w:sz w:val="22"/>
          <w:szCs w:val="22"/>
        </w:rPr>
        <w:t>Step 2</w:t>
      </w:r>
    </w:p>
    <w:p>
      <w:pPr>
        <w:ind w:left="720" w:hanging="360"/>
        <w:spacing w:after="70"/>
      </w:pPr>
      <w:r>
        <w:rPr>
          <w:sz w:val="20"/>
          <w:szCs w:val="20"/>
        </w:rPr>
        <w:t>- Ask whether the supplier is selling a standard good, providing a service, enabling software or data access, or entering a continuing relationship.</w:t>
      </w:r>
    </w:p>
    <w:p>
      <w:pPr>
        <w:spacing w:after="80"/>
      </w:pPr>
      <w:r>
        <w:rPr>
          <w:b/>
          <w:sz w:val="22"/>
          <w:szCs w:val="22"/>
        </w:rPr>
        <w:t>Step 3</w:t>
      </w:r>
    </w:p>
    <w:p>
      <w:pPr>
        <w:ind w:left="720" w:hanging="360"/>
        <w:spacing w:after="70"/>
      </w:pPr>
      <w:r>
        <w:rPr>
          <w:sz w:val="20"/>
          <w:szCs w:val="20"/>
        </w:rPr>
        <w:t>- Check for risk triggers: personal or confidential data, IP, safety, insurance, site access, regulatory controls, auto-renewal, milestone payments, or supplier paper requiring signature.</w:t>
      </w:r>
    </w:p>
    <w:p>
      <w:pPr>
        <w:spacing w:after="80"/>
      </w:pPr>
      <w:r>
        <w:rPr>
          <w:b/>
          <w:sz w:val="22"/>
          <w:szCs w:val="22"/>
        </w:rPr>
        <w:t>Step 4</w:t>
      </w:r>
    </w:p>
    <w:p>
      <w:pPr>
        <w:ind w:left="720" w:hanging="360"/>
        <w:spacing w:after="70"/>
      </w:pPr>
      <w:r>
        <w:rPr>
          <w:sz w:val="20"/>
          <w:szCs w:val="20"/>
        </w:rPr>
        <w:t>- If no trigger exists and the buy is a simple one-time goods purchase, issue a PO under standard terms.</w:t>
      </w:r>
    </w:p>
    <w:p>
      <w:pPr>
        <w:spacing w:after="80"/>
      </w:pPr>
      <w:r>
        <w:rPr>
          <w:b/>
          <w:sz w:val="22"/>
          <w:szCs w:val="22"/>
        </w:rPr>
        <w:t>Step 5</w:t>
      </w:r>
    </w:p>
    <w:p>
      <w:pPr>
        <w:ind w:left="720" w:hanging="360"/>
        <w:spacing w:after="70"/>
      </w:pPr>
      <w:r>
        <w:rPr>
          <w:sz w:val="20"/>
          <w:szCs w:val="20"/>
        </w:rPr>
        <w:t>- If any trigger exists, use a written contract and attach a PO only as the ordering or payment instrument if internal process requires it.</w:t>
      </w:r>
    </w:p>
    <w:p>
      <w:pPr>
        <w:spacing w:after="80"/>
      </w:pPr>
      <w:r>
        <w:rPr>
          <w:b/>
          <w:sz w:val="22"/>
          <w:szCs w:val="22"/>
        </w:rPr>
        <w:t>Operating principle</w:t>
      </w:r>
    </w:p>
    <w:p>
      <w:pPr>
        <w:ind w:left="720" w:hanging="360"/>
        <w:spacing w:after="70"/>
      </w:pPr>
      <w:r>
        <w:rPr>
          <w:sz w:val="20"/>
          <w:szCs w:val="20"/>
        </w:rPr>
        <w:t>- Never let a supplier begin work, access data, or reserve capacity before the required contract and approvals are fully in place.</w:t>
      </w:r>
    </w:p>
    <w:p>
      <w:pPr>
        <w:spacing w:after="130"/>
      </w:pPr>
      <w:r>
        <w:br w:type="page"/>
        <w:rPr>
          <w:b/>
          <w:sz w:val="24"/>
          <w:szCs w:val="24"/>
        </w:rPr>
        <w:t>Recommended Policy Statement and Public Sources</w:t>
      </w:r>
    </w:p>
    <w:p>
      <w:pPr>
        <w:spacing w:after="80"/>
      </w:pPr>
      <w:r>
        <w:rPr>
          <w:b/>
          <w:sz w:val="22"/>
          <w:szCs w:val="22"/>
        </w:rPr>
        <w:t>Model policy statement</w:t>
      </w:r>
    </w:p>
    <w:p>
      <w:pPr>
        <w:ind w:left="720" w:hanging="360"/>
        <w:spacing w:after="70"/>
      </w:pPr>
      <w:r>
        <w:rPr>
          <w:sz w:val="20"/>
          <w:szCs w:val="20"/>
        </w:rPr>
        <w:t>- A purchase order may be used as the primary purchasing instrument for routine, low-risk, one-time goods purchases where the full commercial understanding is captured by item description, quantity, price, delivery, and standard terms.</w:t>
      </w:r>
    </w:p>
    <w:p>
      <w:pPr>
        <w:ind w:left="720" w:hanging="360"/>
        <w:spacing w:after="70"/>
      </w:pPr>
      <w:r>
        <w:rPr>
          <w:sz w:val="20"/>
          <w:szCs w:val="20"/>
        </w:rPr>
        <w:t>- A formal written contract is required for services, software, data access, independent contractors, ongoing relationships, supplier paper requiring signature, and transactions involving elevated legal, regulatory, operational, or reputational risk.</w:t>
      </w:r>
    </w:p>
    <w:p>
      <w:pPr>
        <w:spacing w:after="80"/>
      </w:pPr>
      <w:r>
        <w:rPr>
          <w:b/>
          <w:sz w:val="22"/>
          <w:szCs w:val="22"/>
        </w:rPr>
        <w:t>Public sources used</w:t>
      </w:r>
    </w:p>
    <w:p>
      <w:pPr>
        <w:ind w:left="720" w:hanging="360"/>
        <w:spacing w:after="70"/>
      </w:pPr>
      <w:r>
        <w:rPr>
          <w:sz w:val="20"/>
          <w:szCs w:val="20"/>
        </w:rPr>
        <w:t>- U.S. Department of Commerce: UNSPSC overview and hierarchy.</w:t>
      </w:r>
    </w:p>
    <w:p>
      <w:pPr>
        <w:ind w:left="720" w:hanging="360"/>
        <w:spacing w:after="70"/>
      </w:pPr>
      <w:r>
        <w:rPr>
          <w:sz w:val="20"/>
          <w:szCs w:val="20"/>
        </w:rPr>
        <w:t>- Cornell University Legal Information Institute: UCC Article 2 on sale of goods.</w:t>
      </w:r>
    </w:p>
    <w:p>
      <w:pPr>
        <w:ind w:left="720" w:hanging="360"/>
        <w:spacing w:after="70"/>
      </w:pPr>
      <w:r>
        <w:rPr>
          <w:sz w:val="20"/>
          <w:szCs w:val="20"/>
        </w:rPr>
        <w:t>- University System of New Hampshire Procurement: PO vs. Contract guidance.</w:t>
      </w:r>
    </w:p>
    <w:p>
      <w:pPr>
        <w:ind w:left="720" w:hanging="360"/>
        <w:spacing w:after="70"/>
      </w:pPr>
      <w:r>
        <w:rPr>
          <w:sz w:val="20"/>
          <w:szCs w:val="20"/>
        </w:rPr>
        <w:t>- Stanford Procurement Contracts: contract triggers, services, independent contractors, software, data security, and master agreement concepts.</w:t>
      </w:r>
    </w:p>
    <w:p>
      <w:pPr>
        <w:ind w:left="720" w:hanging="360"/>
        <w:spacing w:after="70"/>
      </w:pPr>
      <w:r>
        <w:rPr>
          <w:sz w:val="20"/>
          <w:szCs w:val="20"/>
        </w:rPr>
        <w:t>- UC Santa Barbara Procurement: data security, privacy, and confidentiality as contract triggers.</w:t>
      </w:r>
    </w:p>
    <w:p>
      <w:pPr>
        <w:spacing w:after="80"/>
      </w:pPr>
      <w:r>
        <w:rPr>
          <w:b/>
          <w:sz w:val="22"/>
          <w:szCs w:val="22"/>
        </w:rPr>
        <w:t>Use note</w:t>
      </w:r>
    </w:p>
    <w:p>
      <w:pPr>
        <w:ind w:left="720" w:hanging="360"/>
        <w:spacing w:after="70"/>
      </w:pPr>
      <w:r>
        <w:rPr>
          <w:sz w:val="20"/>
          <w:szCs w:val="20"/>
        </w:rPr>
        <w:t>- Adopt this document as a decision framework, then add your organization's signature authority, review thresholds, approved templates, and local legal requirements.</w:t>
      </w:r>
    </w:p>
    <w:sectPr>
      <w:pgSz w:w="12240" w:h="15840"/>
      <w:pgMar w:top="1080" w:right="1080" w:bottom="1080" w:left="1080" w:header="720" w:footer="720"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Procurement Contract Requirement Principles</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Contract Requirement Principles</dc:title>
  <dc:subject>PO versus formal contract guidance using UNSPSC</dc:subject>
  <dc:creator>OpenAI Codex</dc:creator>
  <cp:lastModifiedBy>OpenAI Codex</cp:lastModifiedBy>
  <dcterms:created xsi:type="dcterms:W3CDTF">2026-04-13T03:33:47Z</dcterms:created>
  <dcterms:modified xsi:type="dcterms:W3CDTF">2026-04-13T03:33:47Z</dcterms:modified>
</cp:coreProperties>
</file>