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BD72" w14:textId="77777777" w:rsidR="00775BA6" w:rsidRPr="00775BA6" w:rsidRDefault="00775BA6" w:rsidP="00775BA6">
      <w:pPr>
        <w:pStyle w:val="Heading2"/>
        <w:jc w:val="center"/>
        <w:rPr>
          <w:b/>
          <w:bCs/>
        </w:rPr>
      </w:pPr>
      <w:r w:rsidRPr="00775BA6">
        <w:rPr>
          <w:b/>
          <w:bCs/>
        </w:rPr>
        <w:t>Clinical Decision Making and Pattern Recognition in Health Care: Auditable Agentic AI for Treatment, Payment, and Operations</w:t>
      </w:r>
    </w:p>
    <w:p w14:paraId="22B2A3D3" w14:textId="77777777" w:rsidR="00775BA6" w:rsidRDefault="00775BA6" w:rsidP="00775BA6">
      <w:pPr>
        <w:rPr>
          <w:b/>
          <w:bCs/>
        </w:rPr>
      </w:pPr>
    </w:p>
    <w:p w14:paraId="11E2C271" w14:textId="278B3666" w:rsidR="00775BA6" w:rsidRPr="00775BA6" w:rsidRDefault="00775BA6" w:rsidP="00775BA6">
      <w:pPr>
        <w:pStyle w:val="NoSpacing"/>
        <w:rPr>
          <w:b/>
          <w:bCs/>
        </w:rPr>
      </w:pPr>
      <w:r w:rsidRPr="00775BA6">
        <w:rPr>
          <w:b/>
          <w:bCs/>
        </w:rPr>
        <w:t>Janam Ajay Patel</w:t>
      </w:r>
    </w:p>
    <w:p w14:paraId="434A1EA0" w14:textId="77777777" w:rsidR="00775BA6" w:rsidRPr="00775BA6" w:rsidRDefault="00775BA6" w:rsidP="00775BA6">
      <w:pPr>
        <w:pStyle w:val="NoSpacing"/>
        <w:rPr>
          <w:b/>
          <w:bCs/>
        </w:rPr>
      </w:pPr>
      <w:r w:rsidRPr="00775BA6">
        <w:rPr>
          <w:b/>
          <w:bCs/>
        </w:rPr>
        <w:t>Masters of Computer Science, North Carolina State University</w:t>
      </w:r>
    </w:p>
    <w:p w14:paraId="0D85B519" w14:textId="77777777" w:rsidR="00775BA6" w:rsidRPr="00775BA6" w:rsidRDefault="00775BA6" w:rsidP="00775BA6">
      <w:pPr>
        <w:pStyle w:val="NoSpacing"/>
        <w:rPr>
          <w:b/>
          <w:bCs/>
        </w:rPr>
      </w:pPr>
      <w:r w:rsidRPr="00775BA6">
        <w:rPr>
          <w:b/>
          <w:bCs/>
        </w:rPr>
        <w:t>Cotiviti Intern Screening, Topic 2</w:t>
      </w:r>
    </w:p>
    <w:p w14:paraId="5D8132CF" w14:textId="77777777" w:rsidR="00775BA6" w:rsidRPr="00775BA6" w:rsidRDefault="00775BA6" w:rsidP="00775BA6">
      <w:pPr>
        <w:pStyle w:val="NoSpacing"/>
        <w:rPr>
          <w:b/>
          <w:bCs/>
        </w:rPr>
      </w:pPr>
      <w:r w:rsidRPr="00775BA6">
        <w:rPr>
          <w:b/>
          <w:bCs/>
        </w:rPr>
        <w:t>06/26/2026</w:t>
      </w:r>
    </w:p>
    <w:p w14:paraId="408707EA" w14:textId="77777777" w:rsidR="00775BA6" w:rsidRPr="00775BA6" w:rsidRDefault="00775BA6" w:rsidP="00775BA6">
      <w:r w:rsidRPr="00775BA6">
        <w:pict w14:anchorId="34FE4EA0">
          <v:rect id="_x0000_i1037" style="width:0;height:.75pt" o:hralign="center" o:hrstd="t" o:hr="t" fillcolor="#a0a0a0" stroked="f"/>
        </w:pict>
      </w:r>
    </w:p>
    <w:p w14:paraId="1747783F" w14:textId="77777777" w:rsidR="00775BA6" w:rsidRPr="00775BA6" w:rsidRDefault="00775BA6" w:rsidP="00775BA6">
      <w:pPr>
        <w:rPr>
          <w:b/>
          <w:bCs/>
        </w:rPr>
      </w:pPr>
      <w:r w:rsidRPr="00775BA6">
        <w:rPr>
          <w:b/>
          <w:bCs/>
        </w:rPr>
        <w:t>Defining the Concept</w:t>
      </w:r>
    </w:p>
    <w:p w14:paraId="2BDCD35E" w14:textId="77777777" w:rsidR="00775BA6" w:rsidRPr="00775BA6" w:rsidRDefault="00775BA6" w:rsidP="00775BA6">
      <w:pPr>
        <w:jc w:val="both"/>
      </w:pPr>
      <w:r w:rsidRPr="00775BA6">
        <w:t>Clinical decision making is the process by which a clinician moves from a patient's data—labs, conditions, medications, history—to a defensible action, such as starting a therapy or denying an inappropriate claim. </w:t>
      </w:r>
      <w:r w:rsidRPr="00775BA6">
        <w:rPr>
          <w:i/>
          <w:iCs/>
        </w:rPr>
        <w:t>Pattern recognition</w:t>
      </w:r>
      <w:r w:rsidRPr="00775BA6">
        <w:t> is the computational backbone of that process: classification (does this patient match a treatment cohort?), prediction (what outcome is likely?), inference (does this decision follow from the evidence?), clustering (which patients behave alike?), and time-series anomaly detection (is this trajectory deviating?). In the language of Cotiviti's business, these techniques apply across </w:t>
      </w:r>
      <w:r w:rsidRPr="00775BA6">
        <w:rPr>
          <w:b/>
          <w:bCs/>
        </w:rPr>
        <w:t>Treatment, Payment, and Operations (TPO)</w:t>
      </w:r>
      <w:r w:rsidRPr="00775BA6">
        <w:t>: the same reasoning that decides whether a drug is appropriate for a patient also decides whether a </w:t>
      </w:r>
      <w:r w:rsidRPr="00775BA6">
        <w:rPr>
          <w:i/>
          <w:iCs/>
        </w:rPr>
        <w:t>claim</w:t>
      </w:r>
      <w:r w:rsidRPr="00775BA6">
        <w:t> for that drug is appropriate for payment. Treatment appropriateness and claims appropriateness are the same pattern-recognition problem viewed from two ends of the care continuum.</w:t>
      </w:r>
    </w:p>
    <w:p w14:paraId="51A585C1" w14:textId="77777777" w:rsidR="00775BA6" w:rsidRPr="00775BA6" w:rsidRDefault="00775BA6" w:rsidP="00775BA6">
      <w:pPr>
        <w:jc w:val="both"/>
      </w:pPr>
      <w:r w:rsidRPr="00775BA6">
        <w:t>The defining frontier of 2024–2026 is </w:t>
      </w:r>
      <w:r w:rsidRPr="00775BA6">
        <w:rPr>
          <w:b/>
          <w:bCs/>
        </w:rPr>
        <w:t>agentic generative AI with chain reasoning</w:t>
      </w:r>
      <w:r w:rsidRPr="00775BA6">
        <w:t>: systems that decompose a clinical question into steps—retrieve relevant evidence, generate candidate actions, filter unsafe options, rank survivors, and explain the choice—rather than emitting a single opaque answer. The strategic question for a payment-integrity company is not </w:t>
      </w:r>
      <w:r w:rsidRPr="00775BA6">
        <w:rPr>
          <w:i/>
          <w:iCs/>
        </w:rPr>
        <w:t>whether</w:t>
      </w:r>
      <w:r w:rsidRPr="00775BA6">
        <w:t> to adopt these methods, but </w:t>
      </w:r>
      <w:r w:rsidRPr="00775BA6">
        <w:rPr>
          <w:i/>
          <w:iCs/>
        </w:rPr>
        <w:t>how</w:t>
      </w:r>
      <w:r w:rsidRPr="00775BA6">
        <w:t> to adopt them in a way that survives audit, regulation, and clinical scrutiny.</w:t>
      </w:r>
    </w:p>
    <w:p w14:paraId="56091753" w14:textId="77777777" w:rsidR="00775BA6" w:rsidRPr="00775BA6" w:rsidRDefault="00775BA6" w:rsidP="00775BA6">
      <w:pPr>
        <w:jc w:val="both"/>
        <w:rPr>
          <w:b/>
          <w:bCs/>
        </w:rPr>
      </w:pPr>
      <w:r w:rsidRPr="00775BA6">
        <w:rPr>
          <w:b/>
          <w:bCs/>
        </w:rPr>
        <w:t>Trends</w:t>
      </w:r>
    </w:p>
    <w:p w14:paraId="35D0BFAB" w14:textId="77777777" w:rsidR="00775BA6" w:rsidRPr="00775BA6" w:rsidRDefault="00775BA6" w:rsidP="00775BA6">
      <w:pPr>
        <w:jc w:val="both"/>
      </w:pPr>
      <w:r w:rsidRPr="00775BA6">
        <w:t>Three trends dominate the space. First, </w:t>
      </w:r>
      <w:r w:rsidRPr="00775BA6">
        <w:rPr>
          <w:b/>
          <w:bCs/>
        </w:rPr>
        <w:t>retrieval-grounded reasoning</w:t>
      </w:r>
      <w:r w:rsidRPr="00775BA6">
        <w:t> has displaced free-form generation as the responsible default. Because large language models hallucinate, leading clinical systems now force every assertion to be backed by a retrieved, citable source—a guideline excerpt, a peer record, or a structured rule. Second, </w:t>
      </w:r>
      <w:r w:rsidRPr="00775BA6">
        <w:rPr>
          <w:b/>
          <w:bCs/>
        </w:rPr>
        <w:t>the separation of decision from explanation</w:t>
      </w:r>
      <w:r w:rsidRPr="00775BA6">
        <w:t>. Regulators and auditors do not trust a probabilistic model that both </w:t>
      </w:r>
      <w:r w:rsidRPr="00775BA6">
        <w:rPr>
          <w:i/>
          <w:iCs/>
        </w:rPr>
        <w:t>decides</w:t>
      </w:r>
      <w:r w:rsidRPr="00775BA6">
        <w:t> and </w:t>
      </w:r>
      <w:r w:rsidRPr="00775BA6">
        <w:rPr>
          <w:i/>
          <w:iCs/>
        </w:rPr>
        <w:t>justifies</w:t>
      </w:r>
      <w:r w:rsidRPr="00775BA6">
        <w:t>, because the justification can be confabulated. The emerging pattern is a deterministic, inspectable model (gradient-boosted rankers, rule engines) that makes the decision, with a language model confined to </w:t>
      </w:r>
      <w:r w:rsidRPr="00775BA6">
        <w:rPr>
          <w:i/>
          <w:iCs/>
        </w:rPr>
        <w:t>describing</w:t>
      </w:r>
      <w:r w:rsidRPr="00775BA6">
        <w:t> a decision it cannot alter. Third, </w:t>
      </w:r>
      <w:r w:rsidRPr="00775BA6">
        <w:rPr>
          <w:b/>
          <w:bCs/>
        </w:rPr>
        <w:t>synthetic and open data are lowering the barrier to building and validating these systems</w:t>
      </w:r>
      <w:r w:rsidRPr="00775BA6">
        <w:t> without exposing protected health information—tools such as Synthea (</w:t>
      </w:r>
      <w:proofErr w:type="spellStart"/>
      <w:r w:rsidRPr="00775BA6">
        <w:t>Walonoski</w:t>
      </w:r>
      <w:proofErr w:type="spellEnd"/>
      <w:r w:rsidRPr="00775BA6">
        <w:t xml:space="preserve"> et al., 2018) and open interaction databases such as </w:t>
      </w:r>
      <w:proofErr w:type="spellStart"/>
      <w:r w:rsidRPr="00775BA6">
        <w:t>DDInter</w:t>
      </w:r>
      <w:proofErr w:type="spellEnd"/>
      <w:r w:rsidRPr="00775BA6">
        <w:t xml:space="preserve"> 2.0 (Tian et al., 2025) let </w:t>
      </w:r>
      <w:proofErr w:type="gramStart"/>
      <w:r w:rsidRPr="00775BA6">
        <w:t>teams</w:t>
      </w:r>
      <w:proofErr w:type="gramEnd"/>
      <w:r w:rsidRPr="00775BA6">
        <w:t xml:space="preserve"> prototype clinically realistic pipelines safely.</w:t>
      </w:r>
    </w:p>
    <w:p w14:paraId="2455C7E8" w14:textId="77777777" w:rsidR="00775BA6" w:rsidRPr="00775BA6" w:rsidRDefault="00775BA6" w:rsidP="00775BA6">
      <w:pPr>
        <w:jc w:val="both"/>
        <w:rPr>
          <w:b/>
          <w:bCs/>
        </w:rPr>
      </w:pPr>
      <w:r w:rsidRPr="00775BA6">
        <w:rPr>
          <w:b/>
          <w:bCs/>
        </w:rPr>
        <w:t>Opportunities and Threats</w:t>
      </w:r>
    </w:p>
    <w:p w14:paraId="09E2DF62" w14:textId="77777777" w:rsidR="00775BA6" w:rsidRPr="00775BA6" w:rsidRDefault="00775BA6" w:rsidP="00775BA6">
      <w:pPr>
        <w:jc w:val="both"/>
      </w:pPr>
      <w:r w:rsidRPr="00775BA6">
        <w:rPr>
          <w:b/>
          <w:bCs/>
        </w:rPr>
        <w:t>Opportunities.</w:t>
      </w:r>
      <w:r w:rsidRPr="00775BA6">
        <w:t> For Cotiviti, agentic pattern recognition is directly adjacent to the core franchise. A pipeline that ranks treatment appropriateness against clinical guidelines is structurally identical to one that ranks </w:t>
      </w:r>
      <w:r w:rsidRPr="00775BA6">
        <w:rPr>
          <w:i/>
          <w:iCs/>
        </w:rPr>
        <w:t>claim</w:t>
      </w:r>
      <w:r w:rsidRPr="00775BA6">
        <w:t> appropriateness against coding and payment policy—both retrieve authoritative rules, score candidates, flag violations, and must explain themselves to a human reviewer. The opportunity is to extend payment integrity </w:t>
      </w:r>
      <w:r w:rsidRPr="00775BA6">
        <w:rPr>
          <w:i/>
          <w:iCs/>
        </w:rPr>
        <w:t>upstream</w:t>
      </w:r>
      <w:r w:rsidRPr="00775BA6">
        <w:t xml:space="preserve"> into clinical-appropriateness review and quality </w:t>
      </w:r>
      <w:r w:rsidRPr="00775BA6">
        <w:lastRenderedPageBreak/>
        <w:t>measurement, and to make every automated determination </w:t>
      </w:r>
      <w:r w:rsidRPr="00775BA6">
        <w:rPr>
          <w:b/>
          <w:bCs/>
        </w:rPr>
        <w:t>explainable and audit-ready by construction</w:t>
      </w:r>
      <w:r w:rsidRPr="00775BA6">
        <w:t>, accelerating reviewer throughput rather than replacing the reviewer.</w:t>
      </w:r>
    </w:p>
    <w:p w14:paraId="5FA06CBF" w14:textId="77777777" w:rsidR="00775BA6" w:rsidRPr="00775BA6" w:rsidRDefault="00775BA6" w:rsidP="00775BA6">
      <w:pPr>
        <w:jc w:val="both"/>
      </w:pPr>
      <w:r w:rsidRPr="00775BA6">
        <w:rPr>
          <w:b/>
          <w:bCs/>
        </w:rPr>
        <w:t>Threats.</w:t>
      </w:r>
      <w:r w:rsidRPr="00775BA6">
        <w:t> The principal threat is </w:t>
      </w:r>
      <w:r w:rsidRPr="00775BA6">
        <w:rPr>
          <w:i/>
          <w:iCs/>
        </w:rPr>
        <w:t>unaudited</w:t>
      </w:r>
      <w:r w:rsidRPr="00775BA6">
        <w:t> generative AI. A black-box model that cannot cite its basis is unusable in an environment where every decision may be contested by a provider, a payer, or a regulator. Hallucinated justifications create legal and reputational liability; opaque models invite bias claims; and clinical AI increasingly falls under FDA Software-as-a-Medical-Device oversight (FDA, 2021), raising the cost of unexplainable systems. A second threat is competitive: if Cotiviti does not own the explainable-clinical-reasoning layer, vendors who bolt generic LLMs onto claims data will set the market's (lower) bar for trustworthiness.</w:t>
      </w:r>
    </w:p>
    <w:p w14:paraId="2878B36E" w14:textId="77777777" w:rsidR="00775BA6" w:rsidRPr="00775BA6" w:rsidRDefault="00775BA6" w:rsidP="00775BA6">
      <w:pPr>
        <w:jc w:val="both"/>
        <w:rPr>
          <w:b/>
          <w:bCs/>
        </w:rPr>
      </w:pPr>
      <w:r w:rsidRPr="00775BA6">
        <w:rPr>
          <w:b/>
          <w:bCs/>
        </w:rPr>
        <w:t>Proposed Strategic Option for Cotiviti</w:t>
      </w:r>
    </w:p>
    <w:p w14:paraId="398846D9" w14:textId="77777777" w:rsidR="00775BA6" w:rsidRPr="00775BA6" w:rsidRDefault="00775BA6" w:rsidP="00775BA6">
      <w:pPr>
        <w:jc w:val="both"/>
      </w:pPr>
      <w:r w:rsidRPr="00775BA6">
        <w:t>I propose Cotiviti pilot a </w:t>
      </w:r>
      <w:r w:rsidRPr="00775BA6">
        <w:rPr>
          <w:b/>
          <w:bCs/>
        </w:rPr>
        <w:t>"decision-deterministic, explanation-only" architecture</w:t>
      </w:r>
      <w:r w:rsidRPr="00775BA6">
        <w:t xml:space="preserve"> as the reference pattern for clinical and payment determinations. The accompanying proof of concept demonstrates this on a treatment-recommendation task for Type 2 Diabetes and its comorbidities, but the architecture is the deliverable, not the disease. The pipeline (1) retrieves similar patients and relevant guideline chunks via embeddings, (2) generates candidate therapies, (3) removes contraindications and drug–drug interactions through a rule engine backed by </w:t>
      </w:r>
      <w:proofErr w:type="spellStart"/>
      <w:r w:rsidRPr="00775BA6">
        <w:t>DDInter</w:t>
      </w:r>
      <w:proofErr w:type="spellEnd"/>
      <w:r w:rsidRPr="00775BA6">
        <w:t xml:space="preserve"> 2.0, (4) ranks survivors with a gradient-boosted ranker over five transparent clinical features, and (5) produces a cited rationale with a language model that is </w:t>
      </w:r>
      <w:r w:rsidRPr="00775BA6">
        <w:rPr>
          <w:i/>
          <w:iCs/>
        </w:rPr>
        <w:t>structurally forbidden</w:t>
      </w:r>
      <w:r w:rsidRPr="00775BA6">
        <w:t> from changing the ranking. A </w:t>
      </w:r>
      <w:r w:rsidRPr="00775BA6">
        <w:rPr>
          <w:b/>
          <w:bCs/>
        </w:rPr>
        <w:t>grounding guard</w:t>
      </w:r>
      <w:r w:rsidRPr="00775BA6">
        <w:t> suppresses any output lacking a citation.</w:t>
      </w:r>
    </w:p>
    <w:p w14:paraId="3C12BC0A" w14:textId="77777777" w:rsidR="00775BA6" w:rsidRPr="00775BA6" w:rsidRDefault="00775BA6" w:rsidP="00775BA6">
      <w:pPr>
        <w:jc w:val="both"/>
      </w:pPr>
      <w:r w:rsidRPr="00775BA6">
        <w:t>The strategic value to Cotiviti is threefold: </w:t>
      </w:r>
      <w:r w:rsidRPr="00775BA6">
        <w:rPr>
          <w:b/>
          <w:bCs/>
        </w:rPr>
        <w:t>auditability</w:t>
      </w:r>
      <w:r w:rsidRPr="00775BA6">
        <w:t> (every recommendation carries its guideline citation, its safety basis, and the removed alternatives with reasons—exactly the trail an appeals process requires); </w:t>
      </w:r>
      <w:r w:rsidRPr="00775BA6">
        <w:rPr>
          <w:b/>
          <w:bCs/>
        </w:rPr>
        <w:t>risk mitigation</w:t>
      </w:r>
      <w:r w:rsidRPr="00775BA6">
        <w:t> (the LLM cannot fabricate a determination because it never makes one); and </w:t>
      </w:r>
      <w:r w:rsidRPr="00775BA6">
        <w:rPr>
          <w:b/>
          <w:bCs/>
        </w:rPr>
        <w:t>transferability</w:t>
      </w:r>
      <w:r w:rsidRPr="00775BA6">
        <w:t> (swap guideline chunks for coding policies and the same machinery performs payment-integrity review). I recommend Cotiviti (a) adopt this pattern as an internal reference architecture for any LLM-assisted determination, (b) invest in a curated, versioned "policy-as-evidence" corpus so that retrieval is grounded in Cotiviti's own authoritative rules, and (c) position explainability as a market differentiator with payer and provider clients who must defend every decision. In a domain where the cost of a wrong, unexplained answer is measured in audits and appeals, the company that makes </w:t>
      </w:r>
      <w:r w:rsidRPr="00775BA6">
        <w:rPr>
          <w:i/>
          <w:iCs/>
        </w:rPr>
        <w:t>auditable</w:t>
      </w:r>
      <w:r w:rsidRPr="00775BA6">
        <w:t> AI cheaper than </w:t>
      </w:r>
      <w:r w:rsidRPr="00775BA6">
        <w:rPr>
          <w:i/>
          <w:iCs/>
        </w:rPr>
        <w:t>opaque</w:t>
      </w:r>
      <w:r w:rsidRPr="00775BA6">
        <w:t> AI wins.</w:t>
      </w:r>
    </w:p>
    <w:p w14:paraId="35C490DE" w14:textId="77777777" w:rsidR="00775BA6" w:rsidRPr="00775BA6" w:rsidRDefault="00775BA6" w:rsidP="00775BA6">
      <w:r w:rsidRPr="00775BA6">
        <w:pict w14:anchorId="1B1B15A9">
          <v:rect id="_x0000_i1038" style="width:0;height:.75pt" o:hralign="center" o:hrstd="t" o:hr="t" fillcolor="#a0a0a0" stroked="f"/>
        </w:pict>
      </w:r>
    </w:p>
    <w:p w14:paraId="50F66831" w14:textId="77777777" w:rsidR="00775BA6" w:rsidRPr="00775BA6" w:rsidRDefault="00775BA6" w:rsidP="00775BA6">
      <w:pPr>
        <w:rPr>
          <w:b/>
          <w:bCs/>
        </w:rPr>
      </w:pPr>
      <w:r w:rsidRPr="00775BA6">
        <w:rPr>
          <w:b/>
          <w:bCs/>
        </w:rPr>
        <w:t>References</w:t>
      </w:r>
    </w:p>
    <w:p w14:paraId="18080DF3" w14:textId="77777777" w:rsidR="00775BA6" w:rsidRPr="00775BA6" w:rsidRDefault="00775BA6" w:rsidP="00775BA6">
      <w:r w:rsidRPr="00775BA6">
        <w:t>Food and Drug Administration. (2021). </w:t>
      </w:r>
      <w:r w:rsidRPr="00775BA6">
        <w:rPr>
          <w:i/>
          <w:iCs/>
        </w:rPr>
        <w:t>Artificial intelligence/machine learning (AI/ML)-based software as a medical device (SaMD) action plan.</w:t>
      </w:r>
      <w:r w:rsidRPr="00775BA6">
        <w:t> U.S. Department of Health and Human Services. </w:t>
      </w:r>
      <w:hyperlink r:id="rId4" w:history="1">
        <w:r w:rsidRPr="00775BA6">
          <w:rPr>
            <w:rStyle w:val="Hyperlink"/>
          </w:rPr>
          <w:t>https://www.fda.gov/medical-devices/software-medical-device-samd/artificial-intelligence-and-machine-learning-software-medical-device</w:t>
        </w:r>
      </w:hyperlink>
    </w:p>
    <w:p w14:paraId="080BD735" w14:textId="77777777" w:rsidR="00775BA6" w:rsidRPr="00775BA6" w:rsidRDefault="00775BA6" w:rsidP="00775BA6">
      <w:r w:rsidRPr="00775BA6">
        <w:t>American Diabetes Association Professional Practice Committee. (2024). Standards of care in diabetes—2024. </w:t>
      </w:r>
      <w:r w:rsidRPr="00775BA6">
        <w:rPr>
          <w:i/>
          <w:iCs/>
        </w:rPr>
        <w:t>Diabetes Care, 47</w:t>
      </w:r>
      <w:r w:rsidRPr="00775BA6">
        <w:t>(Supplement 1), S1–S321. </w:t>
      </w:r>
      <w:hyperlink r:id="rId5" w:history="1">
        <w:r w:rsidRPr="00775BA6">
          <w:rPr>
            <w:rStyle w:val="Hyperlink"/>
          </w:rPr>
          <w:t>https://doi.org/10.2337/dc24-Sint</w:t>
        </w:r>
      </w:hyperlink>
    </w:p>
    <w:p w14:paraId="494BBB02" w14:textId="77777777" w:rsidR="00775BA6" w:rsidRPr="00775BA6" w:rsidRDefault="00775BA6" w:rsidP="00775BA6">
      <w:r w:rsidRPr="00775BA6">
        <w:t>Kidney Disease: Improving Global Outcomes (KDIGO) Diabetes Work Group. (2022). KDIGO 2022 clinical practice guideline for diabetes management in chronic kidney disease. </w:t>
      </w:r>
      <w:r w:rsidRPr="00775BA6">
        <w:rPr>
          <w:i/>
          <w:iCs/>
        </w:rPr>
        <w:t>Kidney International, 102</w:t>
      </w:r>
      <w:r w:rsidRPr="00775BA6">
        <w:t>(5S), S1–S127. </w:t>
      </w:r>
      <w:hyperlink r:id="rId6" w:history="1">
        <w:r w:rsidRPr="00775BA6">
          <w:rPr>
            <w:rStyle w:val="Hyperlink"/>
          </w:rPr>
          <w:t>https://doi.org/10.1016/j.kint.2022.06.008</w:t>
        </w:r>
      </w:hyperlink>
    </w:p>
    <w:p w14:paraId="795222C0" w14:textId="77777777" w:rsidR="00775BA6" w:rsidRPr="00775BA6" w:rsidRDefault="00775BA6" w:rsidP="00775BA6">
      <w:r w:rsidRPr="00775BA6">
        <w:lastRenderedPageBreak/>
        <w:t xml:space="preserve">Ke, G., Meng, Q., Finley, T., Wang, T., Chen, W., Ma, W., Ye, Q., &amp; Liu, T.-Y. (2017). </w:t>
      </w:r>
      <w:proofErr w:type="spellStart"/>
      <w:r w:rsidRPr="00775BA6">
        <w:t>LightGBM</w:t>
      </w:r>
      <w:proofErr w:type="spellEnd"/>
      <w:r w:rsidRPr="00775BA6">
        <w:t>: A highly efficient gradient boosting decision tree. </w:t>
      </w:r>
      <w:r w:rsidRPr="00775BA6">
        <w:rPr>
          <w:i/>
          <w:iCs/>
        </w:rPr>
        <w:t>Advances in Neural Information Processing Systems, 30</w:t>
      </w:r>
      <w:r w:rsidRPr="00775BA6">
        <w:t>, 3146–3154.</w:t>
      </w:r>
    </w:p>
    <w:p w14:paraId="5F0C1696" w14:textId="77777777" w:rsidR="00775BA6" w:rsidRPr="00775BA6" w:rsidRDefault="00775BA6" w:rsidP="00775BA6">
      <w:r w:rsidRPr="00775BA6">
        <w:t xml:space="preserve">Tian, S., Li, J., Zhang, Y., et al. (2025). </w:t>
      </w:r>
      <w:proofErr w:type="spellStart"/>
      <w:r w:rsidRPr="00775BA6">
        <w:t>DDInter</w:t>
      </w:r>
      <w:proofErr w:type="spellEnd"/>
      <w:r w:rsidRPr="00775BA6">
        <w:t xml:space="preserve"> 2.0: An enhanced drug–drug interaction resource with expanded data and pharmacovigilance evidence. </w:t>
      </w:r>
      <w:r w:rsidRPr="00775BA6">
        <w:rPr>
          <w:i/>
          <w:iCs/>
        </w:rPr>
        <w:t>Nucleic Acids Research, 53</w:t>
      </w:r>
      <w:r w:rsidRPr="00775BA6">
        <w:t>(D1), D1351–D1359. </w:t>
      </w:r>
      <w:hyperlink r:id="rId7" w:history="1">
        <w:r w:rsidRPr="00775BA6">
          <w:rPr>
            <w:rStyle w:val="Hyperlink"/>
          </w:rPr>
          <w:t>https://doi.org/10.1093/nar/gkae726</w:t>
        </w:r>
      </w:hyperlink>
    </w:p>
    <w:p w14:paraId="6DCB55A0" w14:textId="77777777" w:rsidR="00775BA6" w:rsidRPr="00775BA6" w:rsidRDefault="00775BA6" w:rsidP="00775BA6">
      <w:r w:rsidRPr="00775BA6">
        <w:t>Topol, E. J. (2019). High-performance medicine: The convergence of human and artificial intelligence. </w:t>
      </w:r>
      <w:r w:rsidRPr="00775BA6">
        <w:rPr>
          <w:i/>
          <w:iCs/>
        </w:rPr>
        <w:t>Nature Medicine, 25</w:t>
      </w:r>
      <w:r w:rsidRPr="00775BA6">
        <w:t>(1), 44–56. </w:t>
      </w:r>
      <w:hyperlink r:id="rId8" w:history="1">
        <w:r w:rsidRPr="00775BA6">
          <w:rPr>
            <w:rStyle w:val="Hyperlink"/>
          </w:rPr>
          <w:t>https://doi.org/10.1038/s41591-018-0300-7</w:t>
        </w:r>
      </w:hyperlink>
    </w:p>
    <w:p w14:paraId="2CA0D2DD" w14:textId="77777777" w:rsidR="00775BA6" w:rsidRPr="00775BA6" w:rsidRDefault="00775BA6" w:rsidP="00775BA6">
      <w:r w:rsidRPr="00775BA6">
        <w:t xml:space="preserve">Walonoski, J., Kramer, M., Nichols, J., Quina, A., </w:t>
      </w:r>
      <w:proofErr w:type="spellStart"/>
      <w:r w:rsidRPr="00775BA6">
        <w:t>Moesel</w:t>
      </w:r>
      <w:proofErr w:type="spellEnd"/>
      <w:r w:rsidRPr="00775BA6">
        <w:t>, C., Hall, D., Duffett, C., Dube, K., Gallagher, T., &amp; McLachlan, S. (2018). Synthea: An approach, method, and software mechanism for generating synthetic patients and the synthetic electronic health care record. </w:t>
      </w:r>
      <w:r w:rsidRPr="00775BA6">
        <w:rPr>
          <w:i/>
          <w:iCs/>
        </w:rPr>
        <w:t>Journal of the American Medical Informatics Association, 25</w:t>
      </w:r>
      <w:r w:rsidRPr="00775BA6">
        <w:t>(3), 230–238. </w:t>
      </w:r>
      <w:hyperlink r:id="rId9" w:history="1">
        <w:r w:rsidRPr="00775BA6">
          <w:rPr>
            <w:rStyle w:val="Hyperlink"/>
          </w:rPr>
          <w:t>https://doi.org/10.1093/jamia/ocx079</w:t>
        </w:r>
      </w:hyperlink>
    </w:p>
    <w:p w14:paraId="36FBA731" w14:textId="77777777" w:rsidR="00EF3B95" w:rsidRDefault="00EF3B95"/>
    <w:sectPr w:rsidR="00EF3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A6"/>
    <w:rsid w:val="00304929"/>
    <w:rsid w:val="00550C9C"/>
    <w:rsid w:val="00775BA6"/>
    <w:rsid w:val="00EF3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B7BDF"/>
  <w15:chartTrackingRefBased/>
  <w15:docId w15:val="{A0F98854-833B-4323-8D43-E4EFF28A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A6"/>
    <w:rPr>
      <w:rFonts w:eastAsiaTheme="majorEastAsia" w:cstheme="majorBidi"/>
      <w:color w:val="272727" w:themeColor="text1" w:themeTint="D8"/>
    </w:rPr>
  </w:style>
  <w:style w:type="paragraph" w:styleId="Title">
    <w:name w:val="Title"/>
    <w:basedOn w:val="Normal"/>
    <w:next w:val="Normal"/>
    <w:link w:val="TitleChar"/>
    <w:uiPriority w:val="10"/>
    <w:qFormat/>
    <w:rsid w:val="00775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A6"/>
    <w:pPr>
      <w:spacing w:before="160"/>
      <w:jc w:val="center"/>
    </w:pPr>
    <w:rPr>
      <w:i/>
      <w:iCs/>
      <w:color w:val="404040" w:themeColor="text1" w:themeTint="BF"/>
    </w:rPr>
  </w:style>
  <w:style w:type="character" w:customStyle="1" w:styleId="QuoteChar">
    <w:name w:val="Quote Char"/>
    <w:basedOn w:val="DefaultParagraphFont"/>
    <w:link w:val="Quote"/>
    <w:uiPriority w:val="29"/>
    <w:rsid w:val="00775BA6"/>
    <w:rPr>
      <w:i/>
      <w:iCs/>
      <w:color w:val="404040" w:themeColor="text1" w:themeTint="BF"/>
    </w:rPr>
  </w:style>
  <w:style w:type="paragraph" w:styleId="ListParagraph">
    <w:name w:val="List Paragraph"/>
    <w:basedOn w:val="Normal"/>
    <w:uiPriority w:val="34"/>
    <w:qFormat/>
    <w:rsid w:val="00775BA6"/>
    <w:pPr>
      <w:ind w:left="720"/>
      <w:contextualSpacing/>
    </w:pPr>
  </w:style>
  <w:style w:type="character" w:styleId="IntenseEmphasis">
    <w:name w:val="Intense Emphasis"/>
    <w:basedOn w:val="DefaultParagraphFont"/>
    <w:uiPriority w:val="21"/>
    <w:qFormat/>
    <w:rsid w:val="00775BA6"/>
    <w:rPr>
      <w:i/>
      <w:iCs/>
      <w:color w:val="2F5496" w:themeColor="accent1" w:themeShade="BF"/>
    </w:rPr>
  </w:style>
  <w:style w:type="paragraph" w:styleId="IntenseQuote">
    <w:name w:val="Intense Quote"/>
    <w:basedOn w:val="Normal"/>
    <w:next w:val="Normal"/>
    <w:link w:val="IntenseQuoteChar"/>
    <w:uiPriority w:val="30"/>
    <w:qFormat/>
    <w:rsid w:val="00775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BA6"/>
    <w:rPr>
      <w:i/>
      <w:iCs/>
      <w:color w:val="2F5496" w:themeColor="accent1" w:themeShade="BF"/>
    </w:rPr>
  </w:style>
  <w:style w:type="character" w:styleId="IntenseReference">
    <w:name w:val="Intense Reference"/>
    <w:basedOn w:val="DefaultParagraphFont"/>
    <w:uiPriority w:val="32"/>
    <w:qFormat/>
    <w:rsid w:val="00775BA6"/>
    <w:rPr>
      <w:b/>
      <w:bCs/>
      <w:smallCaps/>
      <w:color w:val="2F5496" w:themeColor="accent1" w:themeShade="BF"/>
      <w:spacing w:val="5"/>
    </w:rPr>
  </w:style>
  <w:style w:type="character" w:styleId="Hyperlink">
    <w:name w:val="Hyperlink"/>
    <w:basedOn w:val="DefaultParagraphFont"/>
    <w:uiPriority w:val="99"/>
    <w:unhideWhenUsed/>
    <w:rsid w:val="00775BA6"/>
    <w:rPr>
      <w:color w:val="0563C1" w:themeColor="hyperlink"/>
      <w:u w:val="single"/>
    </w:rPr>
  </w:style>
  <w:style w:type="character" w:styleId="UnresolvedMention">
    <w:name w:val="Unresolved Mention"/>
    <w:basedOn w:val="DefaultParagraphFont"/>
    <w:uiPriority w:val="99"/>
    <w:semiHidden/>
    <w:unhideWhenUsed/>
    <w:rsid w:val="00775BA6"/>
    <w:rPr>
      <w:color w:val="605E5C"/>
      <w:shd w:val="clear" w:color="auto" w:fill="E1DFDD"/>
    </w:rPr>
  </w:style>
  <w:style w:type="paragraph" w:styleId="NoSpacing">
    <w:name w:val="No Spacing"/>
    <w:uiPriority w:val="1"/>
    <w:qFormat/>
    <w:rsid w:val="00775B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1-018-0300-7" TargetMode="External"/><Relationship Id="rId3" Type="http://schemas.openxmlformats.org/officeDocument/2006/relationships/webSettings" Target="webSettings.xml"/><Relationship Id="rId7" Type="http://schemas.openxmlformats.org/officeDocument/2006/relationships/hyperlink" Target="https://doi.org/10.1093/nar/gkae7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kint.2022.06.008" TargetMode="External"/><Relationship Id="rId11" Type="http://schemas.openxmlformats.org/officeDocument/2006/relationships/theme" Target="theme/theme1.xml"/><Relationship Id="rId5" Type="http://schemas.openxmlformats.org/officeDocument/2006/relationships/hyperlink" Target="https://doi.org/10.2337/dc24-Sint" TargetMode="External"/><Relationship Id="rId10" Type="http://schemas.openxmlformats.org/officeDocument/2006/relationships/fontTable" Target="fontTable.xml"/><Relationship Id="rId4" Type="http://schemas.openxmlformats.org/officeDocument/2006/relationships/hyperlink" Target="https://www.fda.gov/medical-devices/software-medical-device-samd/artificial-intelligence-and-machine-learning-software-medical-device" TargetMode="External"/><Relationship Id="rId9" Type="http://schemas.openxmlformats.org/officeDocument/2006/relationships/hyperlink" Target="https://doi.org/10.1093/jamia/ocx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1211</Words>
  <Characters>6905</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Janam Patel</dc:creator>
  <cp:keywords/>
  <dc:description/>
  <cp:lastModifiedBy>Janam Patel</cp:lastModifiedBy>
  <cp:revision>1</cp:revision>
  <dcterms:created xsi:type="dcterms:W3CDTF">2026-06-26T19:59:00Z</dcterms:created>
  <dcterms:modified xsi:type="dcterms:W3CDTF">2026-06-26T20:02:00Z</dcterms:modified>
</cp:coreProperties>
</file>