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Linting is a process for identifying bugs and stylistic errors in your code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Done by analysis tools called ‘linters’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flag issues and style violations in your code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Helps with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Readability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Debugging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Consistency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Self-improvement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Python linters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Pylint: looks for errors, enforces a coding standard that is close to PEP8, and even offers simple refactoring suggestions.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Flake8: wrapper around PyFlakes, pycodestyle and McCabe; this will check Python source code for errors and violations of some of the PEP8 style conventions.</w:t>
      </w:r>
    </w:p>
    <w:p w:rsidR="00000000" w:rsidDel="00000000" w:rsidP="00000000" w:rsidRDefault="00000000" w:rsidRPr="00000000" w14:paraId="0000000C">
      <w:pPr>
        <w:ind w:left="0" w:firstLine="0"/>
        <w:rPr>
          <w:color w:val="0034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Linting in python script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pylint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Install with: pip install pylint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Pylint is used to analyse a Python module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run with: pylint my_script.py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Flagged issue format: {path}:{line}:{column}: {msg_id}: {msg} ({symbol})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decide we want to overrule Pylint and ignore a message for a line of code, we can include the comment # pylint: disable=some-message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Flake8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install with: pip install flake8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color w:val="003438"/>
          <w:sz w:val="24"/>
          <w:szCs w:val="24"/>
        </w:rPr>
      </w:pPr>
      <w:r w:rsidDel="00000000" w:rsidR="00000000" w:rsidRPr="00000000">
        <w:rPr>
          <w:color w:val="003438"/>
          <w:sz w:val="24"/>
          <w:szCs w:val="24"/>
          <w:rtl w:val="0"/>
        </w:rPr>
        <w:t xml:space="preserve">Run with: flake8 my_script.py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color w:val="003438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running </w:t>
      </w:r>
      <w:r w:rsidDel="00000000" w:rsidR="00000000" w:rsidRPr="00000000">
        <w:rPr>
          <w:rFonts w:ascii="Courier New" w:cs="Courier New" w:eastAsia="Courier New" w:hAnsi="Courier New"/>
          <w:color w:val="003438"/>
          <w:sz w:val="24"/>
          <w:szCs w:val="24"/>
          <w:rtl w:val="0"/>
        </w:rPr>
        <w:t xml:space="preserve">flake8</w:t>
      </w: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 will lint all scripts within the current directory and all sub-directories.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ignore a particular line of code, you can just add a comment </w:t>
      </w:r>
      <w:r w:rsidDel="00000000" w:rsidR="00000000" w:rsidRPr="00000000">
        <w:rPr>
          <w:rFonts w:ascii="Lato" w:cs="Lato" w:eastAsia="Lato" w:hAnsi="Lato"/>
          <w:i w:val="1"/>
          <w:color w:val="003438"/>
          <w:sz w:val="24"/>
          <w:szCs w:val="24"/>
          <w:rtl w:val="0"/>
        </w:rPr>
        <w:t xml:space="preserve"># noqa</w:t>
      </w: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 at the end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ignore a particular error, you can use, for example, # noqa: F401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 configure Flake8 so that it will only flag particular errors.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ind w:left="288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adding a setup.cfg file to your working directory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Ex config file:</w:t>
      </w:r>
    </w:p>
    <w:p w:rsidR="00000000" w:rsidDel="00000000" w:rsidP="00000000" w:rsidRDefault="00000000" w:rsidRPr="00000000" w14:paraId="0000001D">
      <w:pPr>
        <w:numPr>
          <w:ilvl w:val="4"/>
          <w:numId w:val="3"/>
        </w:numPr>
        <w:ind w:left="360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 for set the maximum line length to be 88;</w:t>
      </w:r>
    </w:p>
    <w:p w:rsidR="00000000" w:rsidDel="00000000" w:rsidP="00000000" w:rsidRDefault="00000000" w:rsidRPr="00000000" w14:paraId="0000001E">
      <w:pPr>
        <w:numPr>
          <w:ilvl w:val="4"/>
          <w:numId w:val="3"/>
        </w:numPr>
        <w:ind w:left="3600" w:hanging="360"/>
        <w:rPr>
          <w:rFonts w:ascii="Lato" w:cs="Lato" w:eastAsia="Lato" w:hAnsi="Lato"/>
          <w:color w:val="003438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ignore the E302 blank line flags;</w:t>
      </w:r>
    </w:p>
    <w:p w:rsidR="00000000" w:rsidDel="00000000" w:rsidP="00000000" w:rsidRDefault="00000000" w:rsidRPr="00000000" w14:paraId="0000001F">
      <w:pPr>
        <w:numPr>
          <w:ilvl w:val="4"/>
          <w:numId w:val="3"/>
        </w:numPr>
        <w:ind w:left="3600" w:hanging="360"/>
        <w:rPr>
          <w:rFonts w:ascii="Lato" w:cs="Lato" w:eastAsia="Lato" w:hAnsi="Lato"/>
          <w:color w:val="003438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ignore the F401 flag for my_script.py only.</w:t>
      </w:r>
    </w:p>
    <w:p w:rsidR="00000000" w:rsidDel="00000000" w:rsidP="00000000" w:rsidRDefault="00000000" w:rsidRPr="00000000" w14:paraId="00000020">
      <w:pPr>
        <w:numPr>
          <w:ilvl w:val="4"/>
          <w:numId w:val="3"/>
        </w:numPr>
        <w:ind w:left="360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</w:rPr>
        <w:drawing>
          <wp:inline distB="114300" distT="114300" distL="114300" distR="114300">
            <wp:extent cx="1807312" cy="1171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312" cy="117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Lato" w:cs="Lato" w:eastAsia="Lato" w:hAnsi="Lato"/>
          <w:color w:val="003438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Differences /similarities 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rFonts w:ascii="Lato" w:cs="Lato" w:eastAsia="Lato" w:hAnsi="Lato"/>
          <w:color w:val="003438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Flake8 is flagging lots of issues related to whitespace and blank lines;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rFonts w:ascii="Lato" w:cs="Lato" w:eastAsia="Lato" w:hAnsi="Lato"/>
          <w:color w:val="003438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Pylint is identifying violations with naming conventions and layout (docstrings, import order, etc);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rFonts w:ascii="Lato" w:cs="Lato" w:eastAsia="Lato" w:hAnsi="Lato"/>
          <w:color w:val="003438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Both linters are pointing out unused imports.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color w:val="0034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Linting in editor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VSCode: opening the command palette with Ctrl+Shift+P and clicking on Python: Select Linter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select which linter we want to us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</w:rPr>
        <w:drawing>
          <wp:inline distB="114300" distT="114300" distL="114300" distR="114300">
            <wp:extent cx="3155213" cy="4417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213" cy="44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Auto-formatters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Follow formatting guidelines automatically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Popular autoformatter: Black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Installed by:  pip install black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Run with: black my_script.py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Pre-commit hooks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Used to implement linters and autoformatters in project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pre-commit package manager can be installed with: pip install pre-commit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root of our GitHub repo, we then need to create a file called .pre-commit-config.yaml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specify the checks we want to run before each commit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Ex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</w:rPr>
        <w:drawing>
          <wp:inline distB="114300" distT="114300" distL="114300" distR="114300">
            <wp:extent cx="4269638" cy="16438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9638" cy="164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Lato" w:cs="Lato" w:eastAsia="Lato" w:hAnsi="Lato"/>
          <w:color w:val="003438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After creating .pre-commit-config.yaml file we can then run: pre-commit install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rFonts w:ascii="Lato" w:cs="Lato" w:eastAsia="Lato" w:hAnsi="Lato"/>
          <w:color w:val="003438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003438"/>
          <w:sz w:val="24"/>
          <w:szCs w:val="24"/>
          <w:rtl w:val="0"/>
        </w:rPr>
        <w:t xml:space="preserve">whenever the command git commit is run, the pre-commit hooks will automatically be applied</w:t>
      </w:r>
    </w:p>
    <w:sectPr>
      <w:pgSz w:h="16838" w:w="11906" w:orient="portrait"/>
      <w:pgMar w:bottom="1451.3385826771655" w:top="1451.3385826771655" w:left="1451.3385826771655" w:right="1451.33858267716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