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Sahirasta</w:t>
      </w:r>
    </w:p>
    <w:p>
      <w:pPr>
        <w:pStyle w:val="Heading1"/>
      </w:pPr>
      <w:r>
        <w:t>Core Site Pages Structure Master</w:t>
      </w:r>
    </w:p>
    <w:p>
      <w:r>
        <w:t>Working structure document for core site pages</w:t>
      </w:r>
    </w:p>
    <w:p>
      <w:pPr>
        <w:pStyle w:val="Heading1"/>
      </w:pPr>
      <w:r>
        <w:t>Page 1 - Process Page</w:t>
      </w:r>
    </w:p>
    <w:p>
      <w:pPr>
        <w:pStyle w:val="Heading2"/>
      </w:pPr>
      <w:r>
        <w:t>Recommended page structure</w:t>
      </w:r>
    </w:p>
    <w:p>
      <w:pPr>
        <w:pStyle w:val="Heading2"/>
      </w:pPr>
      <w:r>
        <w:t>1. Hero section</w:t>
      </w:r>
    </w:p>
    <w:p>
      <w:r>
        <w:t>Clear promise: explain how Sahirasta works from first review to route clarity, document assessment, execution, and follow-up.</w:t>
      </w:r>
    </w:p>
    <w:p>
      <w:r>
        <w:t>Sub-line should reassure users that they do not need to know the exact technical category before starting. Many real matters begin with symptoms, not labels.</w:t>
      </w:r>
    </w:p>
    <w:p>
      <w:r>
        <w:t>Primary CTA: Request a case review. Secondary CTA: See how the process works.</w:t>
      </w:r>
    </w:p>
    <w:p>
      <w:pPr>
        <w:pStyle w:val="Heading2"/>
      </w:pPr>
      <w:r>
        <w:t>2. Why this page exists</w:t>
      </w:r>
    </w:p>
    <w:p>
      <w:r>
        <w:t>Explain that most people arriving here are not asking for abstract methodology. They want to know what happens next, whether their issue can be understood, and whether there is a disciplined way forward.</w:t>
      </w:r>
    </w:p>
    <w:p>
      <w:r>
        <w:t>Make clear that Sahirasta is built for messy real-world cases: old records, mixed asset types, death-related matters, blocked payouts, missing papers, and uncertainty about route.</w:t>
      </w:r>
    </w:p>
    <w:p>
      <w:r>
        <w:t>Tone should be calm and practical. This section should reduce anxiety, not sound like a corporate workflow brochure.</w:t>
      </w:r>
    </w:p>
    <w:p>
      <w:pPr>
        <w:pStyle w:val="Heading2"/>
      </w:pPr>
      <w:r>
        <w:t>3. Who should start here</w:t>
      </w:r>
    </w:p>
    <w:p>
      <w:r>
        <w:t>People who know something is stuck but do not yet know the exact service category.</w:t>
      </w:r>
    </w:p>
    <w:p>
      <w:r>
        <w:t>Users whose matter may involve shares, IEPF, insurance, PF, mutual funds, dormant bank deposits, or more than one of these together.</w:t>
      </w:r>
    </w:p>
    <w:p>
      <w:r>
        <w:t>NRIs, widows, legal heirs, and families handling scattered records after death.</w:t>
      </w:r>
    </w:p>
    <w:p>
      <w:r>
        <w:t>People with incomplete documents who want to understand whether the case is still workable.</w:t>
      </w:r>
    </w:p>
    <w:p>
      <w:pPr>
        <w:pStyle w:val="Heading2"/>
      </w:pPr>
      <w:r>
        <w:t>4. What kinds of matters this process covers</w:t>
      </w:r>
    </w:p>
    <w:p>
      <w:r>
        <w:t>Briefly list the main Sahirasta clusters: shares and IEPF, insurance recovery and policy issues, provident fund, mutual funds, and dormant bank deposits.</w:t>
      </w:r>
    </w:p>
    <w:p>
      <w:r>
        <w:t>Do not re-create the entire service hub here. The purpose is to show breadth without making the page feel repetitive.</w:t>
      </w:r>
    </w:p>
    <w:p>
      <w:r>
        <w:t>Add a bridge line that some cases sit in one category, while others overlap across succession, KYC, document, or record-correction issues.</w:t>
      </w:r>
    </w:p>
    <w:p>
      <w:pPr>
        <w:pStyle w:val="Heading2"/>
      </w:pPr>
      <w:r>
        <w:t>5. Step-by-step process overview</w:t>
      </w:r>
    </w:p>
    <w:p>
      <w:r>
        <w:t>Recommended step ladder should feel real, not inflated. Suggested logic:</w:t>
      </w:r>
    </w:p>
    <w:p>
      <w:r>
        <w:t>Step 1 - Share the broad facts.</w:t>
      </w:r>
    </w:p>
    <w:p>
      <w:r>
        <w:t>Step 2 - Review the available records.</w:t>
      </w:r>
    </w:p>
    <w:p>
      <w:r>
        <w:t>Step 3 - Identify the likely asset type, blocker, and route.</w:t>
      </w:r>
    </w:p>
    <w:p>
      <w:r>
        <w:t>Step 4 - Assess complexity, missing pieces, and viability.</w:t>
      </w:r>
    </w:p>
    <w:p>
      <w:r>
        <w:t>Step 5 - Explain scope, likely work involved, and fee logic before execution begins.</w:t>
      </w:r>
    </w:p>
    <w:p>
      <w:r>
        <w:t>Step 6 - Move into document organisation, filing, coordination, and follow-up where the case is actionable.</w:t>
      </w:r>
    </w:p>
    <w:p>
      <w:r>
        <w:t>Step 7 - Work toward payout, regularisation, transmission, recovery, or a realistic conclusion about the case position.</w:t>
      </w:r>
    </w:p>
    <w:p>
      <w:r>
        <w:t>Keep the wording serious. Avoid promising recovery as if every case ends in money coming back quickly.</w:t>
      </w:r>
    </w:p>
    <w:p>
      <w:pPr>
        <w:pStyle w:val="Heading2"/>
      </w:pPr>
      <w:r>
        <w:t>6. What clients should keep ready at the start</w:t>
      </w:r>
    </w:p>
    <w:p>
      <w:r>
        <w:t>List the usual evidence types: old statements, policy papers, share certificates, folio details, PF/UAN details, passbooks, bank records, death certificate, nominee or heirship papers, ID/address proof, PAN, and bank proof.</w:t>
      </w:r>
    </w:p>
    <w:p>
      <w:r>
        <w:t>Clarify that the user does not need a perfect file set before making first contact. Even fragments can help classify the case.</w:t>
      </w:r>
    </w:p>
    <w:p>
      <w:pPr>
        <w:pStyle w:val="Heading2"/>
      </w:pPr>
      <w:r>
        <w:t>7. What affects time and complexity</w:t>
      </w:r>
    </w:p>
    <w:p>
      <w:r>
        <w:t>Old records, KYC gaps, name/signature/address mismatch, institution-side delays, employer or company history, death-related entitlement questions, NRI execution, and missing documents should be listed as real complexity drivers.</w:t>
      </w:r>
    </w:p>
    <w:p>
      <w:r>
        <w:t>Be honest that some cases move faster than others. The page should build trust by setting the right expectation.</w:t>
      </w:r>
    </w:p>
    <w:p>
      <w:pPr>
        <w:pStyle w:val="Heading2"/>
      </w:pPr>
      <w:r>
        <w:t>8. What Sahirasta does and does not do</w:t>
      </w:r>
    </w:p>
    <w:p>
      <w:r>
        <w:t>Explain that Sahirasta helps identify the route, organise the case, and move actionable matters forward with process discipline.</w:t>
      </w:r>
    </w:p>
    <w:p>
      <w:r>
        <w:t>Also state limits clearly: Sahirasta is not the bank, insurer, EPFO, AMC, RTA, company, or regulator; it cannot bypass legal entitlement requirements or make weak records disappear.</w:t>
      </w:r>
    </w:p>
    <w:p>
      <w:r>
        <w:t>This section matters because it prevents the page from sounding inflated.</w:t>
      </w:r>
    </w:p>
    <w:p>
      <w:pPr>
        <w:pStyle w:val="Heading2"/>
      </w:pPr>
      <w:r>
        <w:t>9. Special situations</w:t>
      </w:r>
    </w:p>
    <w:p>
      <w:r>
        <w:t>Include a short section for NRIs, widows, legal heirs, and no-document or mixed-issue cases.</w:t>
      </w:r>
    </w:p>
    <w:p>
      <w:r>
        <w:t>This section should point users toward the relevant pathway pages, while still explaining that the same core process logic applies: classify, assess, assemble, act.</w:t>
      </w:r>
    </w:p>
    <w:p>
      <w:pPr>
        <w:pStyle w:val="Heading2"/>
      </w:pPr>
      <w:r>
        <w:t>10. FAQ block</w:t>
      </w:r>
    </w:p>
    <w:p>
      <w:r>
        <w:t>Recommended questions:</w:t>
      </w:r>
    </w:p>
    <w:p>
      <w:r>
        <w:t>How much do I need to know before contacting Sahirasta?</w:t>
      </w:r>
    </w:p>
    <w:p>
      <w:r>
        <w:t>Do I need all documents before the first review?</w:t>
      </w:r>
    </w:p>
    <w:p>
      <w:r>
        <w:t>Can one case involve more than one asset type?</w:t>
      </w:r>
    </w:p>
    <w:p>
      <w:r>
        <w:t>Will Sahirasta take up every case?</w:t>
      </w:r>
    </w:p>
    <w:p>
      <w:r>
        <w:t>How does the process change for NRIs or after a death?</w:t>
      </w:r>
    </w:p>
    <w:p>
      <w:pPr>
        <w:pStyle w:val="Heading2"/>
      </w:pPr>
      <w:r>
        <w:t>11. Final CTA</w:t>
      </w:r>
    </w:p>
    <w:p>
      <w:r>
        <w:t>Close with a practical invitation to begin with the facts available, not with a perfect classification.</w:t>
      </w:r>
    </w:p>
    <w:p>
      <w:r>
        <w:t>Primary CTA should remain Request a case review or Request a consultation.</w:t>
      </w:r>
    </w:p>
    <w:p>
      <w:r>
        <w:t>Final line should reinforce that the first goal is clarity on the route, not jargon or guesswork.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