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9"/>
          <w:sz w:val="44"/>
        </w:rPr>
        <w:t>Sahirasta Homepage Draft</w:t>
      </w:r>
    </w:p>
    <w:p>
      <w:pPr>
        <w:jc w:val="center"/>
      </w:pPr>
      <w:r>
        <w:rPr>
          <w:rFonts w:ascii="Aptos" w:hAnsi="Aptos"/>
          <w:i/>
          <w:color w:val="5A5A5A"/>
          <w:sz w:val="22"/>
        </w:rPr>
        <w:t>Sections 1–3 for Codex Upload</w:t>
      </w:r>
    </w:p>
    <w:p/>
    <w:p>
      <w:pPr>
        <w:spacing w:line="269" w:lineRule="auto" w:after="160"/>
      </w:pPr>
      <w:r>
        <w:rPr>
          <w:sz w:val="21"/>
        </w:rPr>
        <w:t>This working document converts the approved homepage outline into a build-ready structure for the first three sections. It is intended to serve as the source document for later website implementation.</w:t>
      </w:r>
    </w:p>
    <w:p>
      <w:pPr>
        <w:spacing w:after="240"/>
      </w:pPr>
      <w:r>
        <w:rPr>
          <w:b/>
          <w:color w:val="A64D00"/>
          <w:sz w:val="21"/>
        </w:rPr>
        <w:t>Important: Any public-facing numbers in Section 3 must be verified against current official or authoritative sources before publication.</w:t>
      </w:r>
    </w:p>
    <w:p>
      <w:pPr>
        <w:pStyle w:val="Heading1"/>
      </w:pPr>
      <w:r>
        <w:t>1. Hero Section</w:t>
      </w:r>
    </w:p>
    <w:tbl>
      <w:tblPr>
        <w:tblStyle w:val="TableGrid"/>
        <w:tblW w:type="auto" w:w="0"/>
        <w:jc w:val="center"/>
        <w:tblLayout w:type="fixed"/>
        <w:tblLook w:firstColumn="1" w:firstRow="1" w:lastColumn="0" w:lastRow="0" w:noHBand="0" w:noVBand="1" w:val="04A0"/>
      </w:tblPr>
      <w:tblGrid>
        <w:gridCol w:w="4968"/>
        <w:gridCol w:w="4968"/>
      </w:tblGrid>
      <w:tr>
        <w:tc>
          <w:tcPr>
            <w:tcW w:type="dxa" w:w="2381"/>
            <w:shd w:fill="EAF1FB"/>
            <w:vAlign w:val="center"/>
            <w:tcMar>
              <w:top w:w="80" w:type="dxa"/>
              <w:start w:w="100" w:type="dxa"/>
              <w:bottom w:w="80" w:type="dxa"/>
              <w:end w:w="100" w:type="dxa"/>
            </w:tcMar>
          </w:tcPr>
          <w:p>
            <w:pPr>
              <w:spacing w:after="0" w:line="259" w:lineRule="auto"/>
            </w:pPr>
            <w:r>
              <w:rPr>
                <w:rFonts w:ascii="Aptos" w:hAnsi="Aptos"/>
                <w:b/>
                <w:sz w:val="20"/>
              </w:rPr>
              <w:t>Section title</w:t>
            </w:r>
          </w:p>
        </w:tc>
        <w:tc>
          <w:tcPr>
            <w:tcW w:type="dxa" w:w="7257"/>
            <w:shd w:fill="FFFFFF"/>
            <w:vAlign w:val="center"/>
            <w:tcMar>
              <w:top w:w="80" w:type="dxa"/>
              <w:start w:w="100" w:type="dxa"/>
              <w:bottom w:w="80" w:type="dxa"/>
              <w:end w:w="100" w:type="dxa"/>
            </w:tcMar>
          </w:tcPr>
          <w:p>
            <w:pPr>
              <w:spacing w:after="0" w:line="259" w:lineRule="auto"/>
            </w:pPr>
            <w:r>
              <w:rPr>
                <w:rFonts w:ascii="Aptos" w:hAnsi="Aptos"/>
                <w:sz w:val="20"/>
              </w:rPr>
              <w:t>Recover Stuck Financial Assets with Expert Help</w:t>
            </w:r>
          </w:p>
        </w:tc>
      </w:tr>
      <w:tr>
        <w:tc>
          <w:tcPr>
            <w:tcW w:type="dxa" w:w="2381"/>
            <w:shd w:fill="EAF1FB"/>
            <w:vAlign w:val="center"/>
            <w:tcMar>
              <w:top w:w="80" w:type="dxa"/>
              <w:start w:w="100" w:type="dxa"/>
              <w:bottom w:w="80" w:type="dxa"/>
              <w:end w:w="100" w:type="dxa"/>
            </w:tcMar>
          </w:tcPr>
          <w:p>
            <w:pPr>
              <w:spacing w:after="0" w:line="259" w:lineRule="auto"/>
            </w:pPr>
            <w:r>
              <w:rPr>
                <w:rFonts w:ascii="Aptos" w:hAnsi="Aptos"/>
                <w:b/>
                <w:sz w:val="20"/>
              </w:rPr>
              <w:t>Primary goal</w:t>
            </w:r>
          </w:p>
        </w:tc>
        <w:tc>
          <w:tcPr>
            <w:tcW w:type="dxa" w:w="7257"/>
            <w:shd w:fill="FFFFFF"/>
            <w:vAlign w:val="center"/>
            <w:tcMar>
              <w:top w:w="80" w:type="dxa"/>
              <w:start w:w="100" w:type="dxa"/>
              <w:bottom w:w="80" w:type="dxa"/>
              <w:end w:w="100" w:type="dxa"/>
            </w:tcMar>
          </w:tcPr>
          <w:p>
            <w:pPr>
              <w:spacing w:after="0" w:line="259" w:lineRule="auto"/>
            </w:pPr>
            <w:r>
              <w:rPr>
                <w:rFonts w:ascii="Aptos" w:hAnsi="Aptos"/>
                <w:sz w:val="20"/>
              </w:rPr>
              <w:t>Make Sahirasta’s role instantly clear: recovery and resolution of stuck, unclaimed, forgotten, or document-blocked financial assets in India.</w:t>
            </w:r>
          </w:p>
        </w:tc>
      </w:tr>
      <w:tr>
        <w:tc>
          <w:tcPr>
            <w:tcW w:type="dxa" w:w="2381"/>
            <w:shd w:fill="EAF1FB"/>
            <w:vAlign w:val="center"/>
            <w:tcMar>
              <w:top w:w="80" w:type="dxa"/>
              <w:start w:w="100" w:type="dxa"/>
              <w:bottom w:w="80" w:type="dxa"/>
              <w:end w:w="100" w:type="dxa"/>
            </w:tcMar>
          </w:tcPr>
          <w:p>
            <w:pPr>
              <w:spacing w:after="0" w:line="259" w:lineRule="auto"/>
            </w:pPr>
            <w:r>
              <w:rPr>
                <w:rFonts w:ascii="Aptos" w:hAnsi="Aptos"/>
                <w:b/>
                <w:sz w:val="20"/>
              </w:rPr>
              <w:t>Target visitor reaction</w:t>
            </w:r>
          </w:p>
        </w:tc>
        <w:tc>
          <w:tcPr>
            <w:tcW w:type="dxa" w:w="7257"/>
            <w:shd w:fill="FFFFFF"/>
            <w:vAlign w:val="center"/>
            <w:tcMar>
              <w:top w:w="80" w:type="dxa"/>
              <w:start w:w="100" w:type="dxa"/>
              <w:bottom w:w="80" w:type="dxa"/>
              <w:end w:w="100" w:type="dxa"/>
            </w:tcMar>
          </w:tcPr>
          <w:p>
            <w:pPr>
              <w:spacing w:after="0" w:line="259" w:lineRule="auto"/>
            </w:pPr>
            <w:r>
              <w:rPr>
                <w:rFonts w:ascii="Aptos" w:hAnsi="Aptos"/>
                <w:sz w:val="20"/>
              </w:rPr>
              <w:t>I may finally have found the right kind of help for this issue.</w:t>
            </w:r>
          </w:p>
        </w:tc>
      </w:tr>
      <w:tr>
        <w:tc>
          <w:tcPr>
            <w:tcW w:type="dxa" w:w="2381"/>
            <w:shd w:fill="EAF1FB"/>
            <w:vAlign w:val="center"/>
            <w:tcMar>
              <w:top w:w="80" w:type="dxa"/>
              <w:start w:w="100" w:type="dxa"/>
              <w:bottom w:w="80" w:type="dxa"/>
              <w:end w:w="100" w:type="dxa"/>
            </w:tcMar>
          </w:tcPr>
          <w:p>
            <w:pPr>
              <w:spacing w:after="0" w:line="259" w:lineRule="auto"/>
            </w:pPr>
            <w:r>
              <w:rPr>
                <w:rFonts w:ascii="Aptos" w:hAnsi="Aptos"/>
                <w:b/>
                <w:sz w:val="20"/>
              </w:rPr>
              <w:t>Primary CTA</w:t>
            </w:r>
          </w:p>
        </w:tc>
        <w:tc>
          <w:tcPr>
            <w:tcW w:type="dxa" w:w="7257"/>
            <w:shd w:fill="FFFFFF"/>
            <w:vAlign w:val="center"/>
            <w:tcMar>
              <w:top w:w="80" w:type="dxa"/>
              <w:start w:w="100" w:type="dxa"/>
              <w:bottom w:w="80" w:type="dxa"/>
              <w:end w:w="100" w:type="dxa"/>
            </w:tcMar>
          </w:tcPr>
          <w:p>
            <w:pPr>
              <w:spacing w:after="0" w:line="259" w:lineRule="auto"/>
            </w:pPr>
            <w:r>
              <w:rPr>
                <w:rFonts w:ascii="Aptos" w:hAnsi="Aptos"/>
                <w:sz w:val="20"/>
              </w:rPr>
              <w:t>Request a Free Consultation</w:t>
            </w:r>
          </w:p>
        </w:tc>
      </w:tr>
      <w:tr>
        <w:tc>
          <w:tcPr>
            <w:tcW w:type="dxa" w:w="2381"/>
            <w:shd w:fill="EAF1FB"/>
            <w:vAlign w:val="center"/>
            <w:tcMar>
              <w:top w:w="80" w:type="dxa"/>
              <w:start w:w="100" w:type="dxa"/>
              <w:bottom w:w="80" w:type="dxa"/>
              <w:end w:w="100" w:type="dxa"/>
            </w:tcMar>
          </w:tcPr>
          <w:p>
            <w:pPr>
              <w:spacing w:after="0" w:line="259" w:lineRule="auto"/>
            </w:pPr>
            <w:r>
              <w:rPr>
                <w:rFonts w:ascii="Aptos" w:hAnsi="Aptos"/>
                <w:b/>
                <w:sz w:val="20"/>
              </w:rPr>
              <w:t>Secondary CTA</w:t>
            </w:r>
          </w:p>
        </w:tc>
        <w:tc>
          <w:tcPr>
            <w:tcW w:type="dxa" w:w="7257"/>
            <w:shd w:fill="FFFFFF"/>
            <w:vAlign w:val="center"/>
            <w:tcMar>
              <w:top w:w="80" w:type="dxa"/>
              <w:start w:w="100" w:type="dxa"/>
              <w:bottom w:w="80" w:type="dxa"/>
              <w:end w:w="100" w:type="dxa"/>
            </w:tcMar>
          </w:tcPr>
          <w:p>
            <w:pPr>
              <w:spacing w:after="0" w:line="259" w:lineRule="auto"/>
            </w:pPr>
            <w:r>
              <w:rPr>
                <w:rFonts w:ascii="Aptos" w:hAnsi="Aptos"/>
                <w:sz w:val="20"/>
              </w:rPr>
              <w:t>Explore Services</w:t>
            </w:r>
          </w:p>
        </w:tc>
      </w:tr>
    </w:tbl>
    <w:p/>
    <w:p>
      <w:pPr>
        <w:pStyle w:val="Heading2"/>
      </w:pPr>
      <w:r>
        <w:t>Recommended copy draft</w:t>
      </w:r>
    </w:p>
    <w:p>
      <w:pPr>
        <w:spacing w:after="80" w:line="269" w:lineRule="auto"/>
      </w:pPr>
      <w:r>
        <w:rPr>
          <w:b/>
        </w:rPr>
        <w:t xml:space="preserve">Headline: </w:t>
      </w:r>
      <w:r>
        <w:t>Recover Stuck Financial Assets with Expert Help</w:t>
      </w:r>
    </w:p>
    <w:p>
      <w:pPr>
        <w:spacing w:after="80" w:line="269" w:lineRule="auto"/>
      </w:pPr>
      <w:r>
        <w:rPr>
          <w:b/>
        </w:rPr>
        <w:t xml:space="preserve">Subheadline: </w:t>
      </w:r>
      <w:r>
        <w:t>Sahirasta helps individuals, families, legal heirs, widows, and NRIs recover unclaimed or document-blocked financial assets in India — including IEPF claims, shares, insurance, PF, mutual funds, and dormant bank deposits.</w:t>
      </w:r>
    </w:p>
    <w:p>
      <w:pPr>
        <w:spacing w:after="160" w:line="269" w:lineRule="auto"/>
      </w:pPr>
      <w:r>
        <w:rPr>
          <w:b/>
        </w:rPr>
        <w:t xml:space="preserve">Support line (optional): </w:t>
      </w:r>
      <w:r>
        <w:t>Clear guidance. Serious handling. Founder-led accountability.</w:t>
      </w:r>
    </w:p>
    <w:p>
      <w:pPr>
        <w:pStyle w:val="Heading2"/>
      </w:pPr>
      <w:r>
        <w:t>Content notes for implementation</w:t>
      </w:r>
    </w:p>
    <w:p>
      <w:pPr>
        <w:pStyle w:val="ListBullet"/>
        <w:spacing w:after="40" w:line="259" w:lineRule="auto"/>
        <w:ind w:left="0"/>
      </w:pPr>
      <w:r>
        <w:rPr>
          <w:rFonts w:ascii="Aptos" w:hAnsi="Aptos"/>
          <w:sz w:val="21"/>
        </w:rPr>
        <w:t>Keep the hero visually clean and serious. Avoid flashy gradients, financial stock imagery, or generic corporate handshake photos.</w:t>
      </w:r>
    </w:p>
    <w:p>
      <w:pPr>
        <w:pStyle w:val="ListBullet"/>
        <w:spacing w:after="40" w:line="259" w:lineRule="auto"/>
        <w:ind w:left="0"/>
      </w:pPr>
      <w:r>
        <w:rPr>
          <w:rFonts w:ascii="Aptos" w:hAnsi="Aptos"/>
          <w:sz w:val="21"/>
        </w:rPr>
        <w:t>The hero must communicate category clarity first, not broad “wealth” language.</w:t>
      </w:r>
    </w:p>
    <w:p>
      <w:pPr>
        <w:pStyle w:val="ListBullet"/>
        <w:spacing w:after="40" w:line="259" w:lineRule="auto"/>
        <w:ind w:left="0"/>
      </w:pPr>
      <w:r>
        <w:rPr>
          <w:rFonts w:ascii="Aptos" w:hAnsi="Aptos"/>
          <w:sz w:val="21"/>
        </w:rPr>
        <w:t>Buttons should be visible without scrolling on desktop and mobile.</w:t>
      </w:r>
    </w:p>
    <w:p>
      <w:pPr>
        <w:pStyle w:val="ListBullet"/>
        <w:spacing w:after="40" w:line="259" w:lineRule="auto"/>
        <w:ind w:left="0"/>
      </w:pPr>
      <w:r>
        <w:rPr>
          <w:rFonts w:ascii="Aptos" w:hAnsi="Aptos"/>
          <w:sz w:val="21"/>
        </w:rPr>
        <w:t>Below the CTA row, consider a compact proof strip later (for example: for Indians and NRIs • legal heir cases • document-heavy claims).</w:t>
      </w:r>
    </w:p>
    <w:p>
      <w:pPr>
        <w:pStyle w:val="Heading1"/>
      </w:pPr>
      <w:r>
        <w:t>2. Problems We Solve</w:t>
      </w:r>
    </w:p>
    <w:tbl>
      <w:tblPr>
        <w:tblStyle w:val="TableGrid"/>
        <w:tblW w:type="auto" w:w="0"/>
        <w:jc w:val="center"/>
        <w:tblLayout w:type="fixed"/>
        <w:tblLook w:firstColumn="1" w:firstRow="1" w:lastColumn="0" w:lastRow="0" w:noHBand="0" w:noVBand="1" w:val="04A0"/>
      </w:tblPr>
      <w:tblGrid>
        <w:gridCol w:w="4968"/>
        <w:gridCol w:w="4968"/>
      </w:tblGrid>
      <w:tr>
        <w:tc>
          <w:tcPr>
            <w:tcW w:type="dxa" w:w="2381"/>
            <w:shd w:fill="EAF1FB"/>
            <w:vAlign w:val="center"/>
            <w:tcMar>
              <w:top w:w="80" w:type="dxa"/>
              <w:start w:w="100" w:type="dxa"/>
              <w:bottom w:w="80" w:type="dxa"/>
              <w:end w:w="100" w:type="dxa"/>
            </w:tcMar>
          </w:tcPr>
          <w:p>
            <w:pPr>
              <w:spacing w:after="0" w:line="259" w:lineRule="auto"/>
            </w:pPr>
            <w:r>
              <w:rPr>
                <w:rFonts w:ascii="Aptos" w:hAnsi="Aptos"/>
                <w:b/>
                <w:sz w:val="20"/>
              </w:rPr>
              <w:t>Section title</w:t>
            </w:r>
          </w:p>
        </w:tc>
        <w:tc>
          <w:tcPr>
            <w:tcW w:type="dxa" w:w="7257"/>
            <w:shd w:fill="FFFFFF"/>
            <w:vAlign w:val="center"/>
            <w:tcMar>
              <w:top w:w="80" w:type="dxa"/>
              <w:start w:w="100" w:type="dxa"/>
              <w:bottom w:w="80" w:type="dxa"/>
              <w:end w:w="100" w:type="dxa"/>
            </w:tcMar>
          </w:tcPr>
          <w:p>
            <w:pPr>
              <w:spacing w:after="0" w:line="259" w:lineRule="auto"/>
            </w:pPr>
            <w:r>
              <w:rPr>
                <w:rFonts w:ascii="Aptos" w:hAnsi="Aptos"/>
                <w:sz w:val="20"/>
              </w:rPr>
              <w:t>Common Financial Recovery Problems We Help Resolve</w:t>
            </w:r>
          </w:p>
        </w:tc>
      </w:tr>
      <w:tr>
        <w:tc>
          <w:tcPr>
            <w:tcW w:type="dxa" w:w="2381"/>
            <w:shd w:fill="EAF1FB"/>
            <w:vAlign w:val="center"/>
            <w:tcMar>
              <w:top w:w="80" w:type="dxa"/>
              <w:start w:w="100" w:type="dxa"/>
              <w:bottom w:w="80" w:type="dxa"/>
              <w:end w:w="100" w:type="dxa"/>
            </w:tcMar>
          </w:tcPr>
          <w:p>
            <w:pPr>
              <w:spacing w:after="0" w:line="259" w:lineRule="auto"/>
            </w:pPr>
            <w:r>
              <w:rPr>
                <w:rFonts w:ascii="Aptos" w:hAnsi="Aptos"/>
                <w:b/>
                <w:sz w:val="20"/>
              </w:rPr>
              <w:t>Primary goal</w:t>
            </w:r>
          </w:p>
        </w:tc>
        <w:tc>
          <w:tcPr>
            <w:tcW w:type="dxa" w:w="7257"/>
            <w:shd w:fill="FFFFFF"/>
            <w:vAlign w:val="center"/>
            <w:tcMar>
              <w:top w:w="80" w:type="dxa"/>
              <w:start w:w="100" w:type="dxa"/>
              <w:bottom w:w="80" w:type="dxa"/>
              <w:end w:w="100" w:type="dxa"/>
            </w:tcMar>
          </w:tcPr>
          <w:p>
            <w:pPr>
              <w:spacing w:after="0" w:line="259" w:lineRule="auto"/>
            </w:pPr>
            <w:r>
              <w:rPr>
                <w:rFonts w:ascii="Aptos" w:hAnsi="Aptos"/>
                <w:sz w:val="20"/>
              </w:rPr>
              <w:t>Help visitors identify their issue quickly and understand that Sahirasta handles practical recovery problems, not generic financial advice.</w:t>
            </w:r>
          </w:p>
        </w:tc>
      </w:tr>
      <w:tr>
        <w:tc>
          <w:tcPr>
            <w:tcW w:type="dxa" w:w="2381"/>
            <w:shd w:fill="EAF1FB"/>
            <w:vAlign w:val="center"/>
            <w:tcMar>
              <w:top w:w="80" w:type="dxa"/>
              <w:start w:w="100" w:type="dxa"/>
              <w:bottom w:w="80" w:type="dxa"/>
              <w:end w:w="100" w:type="dxa"/>
            </w:tcMar>
          </w:tcPr>
          <w:p>
            <w:pPr>
              <w:spacing w:after="0" w:line="259" w:lineRule="auto"/>
            </w:pPr>
            <w:r>
              <w:rPr>
                <w:rFonts w:ascii="Aptos" w:hAnsi="Aptos"/>
                <w:b/>
                <w:sz w:val="20"/>
              </w:rPr>
              <w:t>Design note</w:t>
            </w:r>
          </w:p>
        </w:tc>
        <w:tc>
          <w:tcPr>
            <w:tcW w:type="dxa" w:w="7257"/>
            <w:shd w:fill="FFFFFF"/>
            <w:vAlign w:val="center"/>
            <w:tcMar>
              <w:top w:w="80" w:type="dxa"/>
              <w:start w:w="100" w:type="dxa"/>
              <w:bottom w:w="80" w:type="dxa"/>
              <w:end w:w="100" w:type="dxa"/>
            </w:tcMar>
          </w:tcPr>
          <w:p>
            <w:pPr>
              <w:spacing w:after="0" w:line="259" w:lineRule="auto"/>
            </w:pPr>
            <w:r>
              <w:rPr>
                <w:rFonts w:ascii="Aptos" w:hAnsi="Aptos"/>
                <w:sz w:val="20"/>
              </w:rPr>
              <w:t>Use short cards or icon blocks. Keep the language plain and specific.</w:t>
            </w:r>
          </w:p>
        </w:tc>
      </w:tr>
    </w:tbl>
    <w:p/>
    <w:p>
      <w:pPr>
        <w:pStyle w:val="Heading2"/>
      </w:pPr>
      <w:r>
        <w:t>Recommended problem cards</w:t>
      </w:r>
    </w:p>
    <w:tbl>
      <w:tblPr>
        <w:tblStyle w:val="TableGrid"/>
        <w:tblW w:type="auto" w:w="0"/>
        <w:jc w:val="center"/>
        <w:tblLayout w:type="fixed"/>
        <w:tblLook w:firstColumn="1" w:firstRow="1" w:lastColumn="0" w:lastRow="0" w:noHBand="0" w:noVBand="1" w:val="04A0"/>
      </w:tblPr>
      <w:tblGrid>
        <w:gridCol w:w="4968"/>
        <w:gridCol w:w="4968"/>
      </w:tblGrid>
      <w:tr>
        <w:tc>
          <w:tcPr>
            <w:tcW w:type="dxa" w:w="3402"/>
            <w:shd w:fill="D9E8FB"/>
            <w:vAlign w:val="center"/>
            <w:tcMar>
              <w:top w:w="80" w:type="dxa"/>
              <w:start w:w="100" w:type="dxa"/>
              <w:bottom w:w="80" w:type="dxa"/>
              <w:end w:w="100" w:type="dxa"/>
            </w:tcMar>
          </w:tcPr>
          <w:p>
            <w:pPr>
              <w:spacing w:after="0"/>
            </w:pPr>
            <w:r>
              <w:rPr>
                <w:b/>
                <w:sz w:val="20"/>
              </w:rPr>
              <w:t>Card title</w:t>
            </w:r>
          </w:p>
        </w:tc>
        <w:tc>
          <w:tcPr>
            <w:tcW w:type="dxa" w:w="6236"/>
            <w:shd w:fill="D9E8FB"/>
            <w:vAlign w:val="center"/>
            <w:tcMar>
              <w:top w:w="80" w:type="dxa"/>
              <w:start w:w="100" w:type="dxa"/>
              <w:bottom w:w="80" w:type="dxa"/>
              <w:end w:w="100" w:type="dxa"/>
            </w:tcMar>
          </w:tcPr>
          <w:p>
            <w:pPr>
              <w:spacing w:after="0"/>
            </w:pPr>
            <w:r>
              <w:rPr>
                <w:b/>
                <w:sz w:val="20"/>
              </w:rPr>
              <w:t>One-line explanation</w:t>
            </w:r>
          </w:p>
        </w:tc>
      </w:tr>
      <w:tr>
        <w:tc>
          <w:tcPr>
            <w:tcW w:type="dxa" w:w="4968"/>
            <w:tcMar>
              <w:top w:w="80" w:type="dxa"/>
              <w:start w:w="100" w:type="dxa"/>
              <w:bottom w:w="80" w:type="dxa"/>
              <w:end w:w="100" w:type="dxa"/>
            </w:tcMar>
            <w:vAlign w:val="center"/>
          </w:tcPr>
          <w:p>
            <w:pPr>
              <w:spacing w:after="0" w:line="259" w:lineRule="auto"/>
            </w:pPr>
            <w:r>
              <w:rPr>
                <w:rFonts w:ascii="Aptos" w:hAnsi="Aptos"/>
                <w:sz w:val="20"/>
              </w:rPr>
              <w:t>Unclaimed shares or dividends</w:t>
            </w:r>
          </w:p>
        </w:tc>
        <w:tc>
          <w:tcPr>
            <w:tcW w:type="dxa" w:w="4968"/>
            <w:tcMar>
              <w:top w:w="80" w:type="dxa"/>
              <w:start w:w="100" w:type="dxa"/>
              <w:bottom w:w="80" w:type="dxa"/>
              <w:end w:w="100" w:type="dxa"/>
            </w:tcMar>
            <w:vAlign w:val="center"/>
          </w:tcPr>
          <w:p>
            <w:pPr>
              <w:spacing w:after="0" w:line="259" w:lineRule="auto"/>
            </w:pPr>
            <w:r>
              <w:rPr>
                <w:rFonts w:ascii="Aptos" w:hAnsi="Aptos"/>
                <w:sz w:val="20"/>
              </w:rPr>
              <w:t>For investments that were never received, never updated, or may have moved into the IEPF route.</w:t>
            </w:r>
          </w:p>
        </w:tc>
      </w:tr>
      <w:tr>
        <w:tc>
          <w:tcPr>
            <w:tcW w:type="dxa" w:w="4968"/>
            <w:tcMar>
              <w:top w:w="80" w:type="dxa"/>
              <w:start w:w="100" w:type="dxa"/>
              <w:bottom w:w="80" w:type="dxa"/>
              <w:end w:w="100" w:type="dxa"/>
            </w:tcMar>
            <w:vAlign w:val="center"/>
          </w:tcPr>
          <w:p>
            <w:pPr>
              <w:spacing w:after="0" w:line="259" w:lineRule="auto"/>
            </w:pPr>
            <w:r>
              <w:rPr>
                <w:rFonts w:ascii="Aptos" w:hAnsi="Aptos"/>
                <w:sz w:val="20"/>
              </w:rPr>
              <w:t>IEPF claims</w:t>
            </w:r>
          </w:p>
        </w:tc>
        <w:tc>
          <w:tcPr>
            <w:tcW w:type="dxa" w:w="4968"/>
            <w:tcMar>
              <w:top w:w="80" w:type="dxa"/>
              <w:start w:w="100" w:type="dxa"/>
              <w:bottom w:w="80" w:type="dxa"/>
              <w:end w:w="100" w:type="dxa"/>
            </w:tcMar>
            <w:vAlign w:val="center"/>
          </w:tcPr>
          <w:p>
            <w:pPr>
              <w:spacing w:after="0" w:line="259" w:lineRule="auto"/>
            </w:pPr>
            <w:r>
              <w:rPr>
                <w:rFonts w:ascii="Aptos" w:hAnsi="Aptos"/>
                <w:sz w:val="20"/>
              </w:rPr>
              <w:t>For shares, dividends, deposits, or debentures already transferred to the IEPF framework.</w:t>
            </w:r>
          </w:p>
        </w:tc>
      </w:tr>
      <w:tr>
        <w:tc>
          <w:tcPr>
            <w:tcW w:type="dxa" w:w="4968"/>
            <w:tcMar>
              <w:top w:w="80" w:type="dxa"/>
              <w:start w:w="100" w:type="dxa"/>
              <w:bottom w:w="80" w:type="dxa"/>
              <w:end w:w="100" w:type="dxa"/>
            </w:tcMar>
            <w:vAlign w:val="center"/>
          </w:tcPr>
          <w:p>
            <w:pPr>
              <w:spacing w:after="0" w:line="259" w:lineRule="auto"/>
            </w:pPr>
            <w:r>
              <w:rPr>
                <w:rFonts w:ascii="Aptos" w:hAnsi="Aptos"/>
                <w:sz w:val="20"/>
              </w:rPr>
              <w:t>Lost share certificates or old physical shares</w:t>
            </w:r>
          </w:p>
        </w:tc>
        <w:tc>
          <w:tcPr>
            <w:tcW w:type="dxa" w:w="4968"/>
            <w:tcMar>
              <w:top w:w="80" w:type="dxa"/>
              <w:start w:w="100" w:type="dxa"/>
              <w:bottom w:w="80" w:type="dxa"/>
              <w:end w:w="100" w:type="dxa"/>
            </w:tcMar>
            <w:vAlign w:val="center"/>
          </w:tcPr>
          <w:p>
            <w:pPr>
              <w:spacing w:after="0" w:line="259" w:lineRule="auto"/>
            </w:pPr>
            <w:r>
              <w:rPr>
                <w:rFonts w:ascii="Aptos" w:hAnsi="Aptos"/>
                <w:sz w:val="20"/>
              </w:rPr>
              <w:t>For investors who have paper certificates, missing records, or unprocessed legacy holdings.</w:t>
            </w:r>
          </w:p>
        </w:tc>
      </w:tr>
      <w:tr>
        <w:tc>
          <w:tcPr>
            <w:tcW w:type="dxa" w:w="4968"/>
            <w:tcMar>
              <w:top w:w="80" w:type="dxa"/>
              <w:start w:w="100" w:type="dxa"/>
              <w:bottom w:w="80" w:type="dxa"/>
              <w:end w:w="100" w:type="dxa"/>
            </w:tcMar>
            <w:vAlign w:val="center"/>
          </w:tcPr>
          <w:p>
            <w:pPr>
              <w:spacing w:after="0" w:line="259" w:lineRule="auto"/>
            </w:pPr>
            <w:r>
              <w:rPr>
                <w:rFonts w:ascii="Aptos" w:hAnsi="Aptos"/>
                <w:sz w:val="20"/>
              </w:rPr>
              <w:t>Transmission after death</w:t>
            </w:r>
          </w:p>
        </w:tc>
        <w:tc>
          <w:tcPr>
            <w:tcW w:type="dxa" w:w="4968"/>
            <w:tcMar>
              <w:top w:w="80" w:type="dxa"/>
              <w:start w:w="100" w:type="dxa"/>
              <w:bottom w:w="80" w:type="dxa"/>
              <w:end w:w="100" w:type="dxa"/>
            </w:tcMar>
            <w:vAlign w:val="center"/>
          </w:tcPr>
          <w:p>
            <w:pPr>
              <w:spacing w:after="0" w:line="259" w:lineRule="auto"/>
            </w:pPr>
            <w:r>
              <w:rPr>
                <w:rFonts w:ascii="Aptos" w:hAnsi="Aptos"/>
                <w:sz w:val="20"/>
              </w:rPr>
              <w:t>For legal heirs, widows, and families dealing with succession-related transfer of investments.</w:t>
            </w:r>
          </w:p>
        </w:tc>
      </w:tr>
      <w:tr>
        <w:tc>
          <w:tcPr>
            <w:tcW w:type="dxa" w:w="4968"/>
            <w:tcMar>
              <w:top w:w="80" w:type="dxa"/>
              <w:start w:w="100" w:type="dxa"/>
              <w:bottom w:w="80" w:type="dxa"/>
              <w:end w:w="100" w:type="dxa"/>
            </w:tcMar>
            <w:vAlign w:val="center"/>
          </w:tcPr>
          <w:p>
            <w:pPr>
              <w:spacing w:after="0" w:line="259" w:lineRule="auto"/>
            </w:pPr>
            <w:r>
              <w:rPr>
                <w:rFonts w:ascii="Aptos" w:hAnsi="Aptos"/>
                <w:sz w:val="20"/>
              </w:rPr>
              <w:t>Insurance claims delayed, rejected, or unpaid</w:t>
            </w:r>
          </w:p>
        </w:tc>
        <w:tc>
          <w:tcPr>
            <w:tcW w:type="dxa" w:w="4968"/>
            <w:tcMar>
              <w:top w:w="80" w:type="dxa"/>
              <w:start w:w="100" w:type="dxa"/>
              <w:bottom w:w="80" w:type="dxa"/>
              <w:end w:w="100" w:type="dxa"/>
            </w:tcMar>
            <w:vAlign w:val="center"/>
          </w:tcPr>
          <w:p>
            <w:pPr>
              <w:spacing w:after="0" w:line="259" w:lineRule="auto"/>
            </w:pPr>
            <w:r>
              <w:rPr>
                <w:rFonts w:ascii="Aptos" w:hAnsi="Aptos"/>
                <w:sz w:val="20"/>
              </w:rPr>
              <w:t>For maturity, death, survival benefit, short-settlement, nominee, or policy-record issues.</w:t>
            </w:r>
          </w:p>
        </w:tc>
      </w:tr>
      <w:tr>
        <w:tc>
          <w:tcPr>
            <w:tcW w:type="dxa" w:w="4968"/>
            <w:tcMar>
              <w:top w:w="80" w:type="dxa"/>
              <w:start w:w="100" w:type="dxa"/>
              <w:bottom w:w="80" w:type="dxa"/>
              <w:end w:w="100" w:type="dxa"/>
            </w:tcMar>
            <w:vAlign w:val="center"/>
          </w:tcPr>
          <w:p>
            <w:pPr>
              <w:spacing w:after="0" w:line="259" w:lineRule="auto"/>
            </w:pPr>
            <w:r>
              <w:rPr>
                <w:rFonts w:ascii="Aptos" w:hAnsi="Aptos"/>
                <w:sz w:val="20"/>
              </w:rPr>
              <w:t>Unclaimed PF or mutual funds</w:t>
            </w:r>
          </w:p>
        </w:tc>
        <w:tc>
          <w:tcPr>
            <w:tcW w:type="dxa" w:w="4968"/>
            <w:tcMar>
              <w:top w:w="80" w:type="dxa"/>
              <w:start w:w="100" w:type="dxa"/>
              <w:bottom w:w="80" w:type="dxa"/>
              <w:end w:w="100" w:type="dxa"/>
            </w:tcMar>
            <w:vAlign w:val="center"/>
          </w:tcPr>
          <w:p>
            <w:pPr>
              <w:spacing w:after="0" w:line="259" w:lineRule="auto"/>
            </w:pPr>
            <w:r>
              <w:rPr>
                <w:rFonts w:ascii="Aptos" w:hAnsi="Aptos"/>
                <w:sz w:val="20"/>
              </w:rPr>
              <w:t>For inactive employment-linked funds or investor holdings that remain unrecovered or untraced.</w:t>
            </w:r>
          </w:p>
        </w:tc>
      </w:tr>
      <w:tr>
        <w:tc>
          <w:tcPr>
            <w:tcW w:type="dxa" w:w="4968"/>
            <w:tcMar>
              <w:top w:w="80" w:type="dxa"/>
              <w:start w:w="100" w:type="dxa"/>
              <w:bottom w:w="80" w:type="dxa"/>
              <w:end w:w="100" w:type="dxa"/>
            </w:tcMar>
            <w:vAlign w:val="center"/>
          </w:tcPr>
          <w:p>
            <w:pPr>
              <w:spacing w:after="0" w:line="259" w:lineRule="auto"/>
            </w:pPr>
            <w:r>
              <w:rPr>
                <w:rFonts w:ascii="Aptos" w:hAnsi="Aptos"/>
                <w:sz w:val="20"/>
              </w:rPr>
              <w:t>Dormant or inoperative bank deposits</w:t>
            </w:r>
          </w:p>
        </w:tc>
        <w:tc>
          <w:tcPr>
            <w:tcW w:type="dxa" w:w="4968"/>
            <w:tcMar>
              <w:top w:w="80" w:type="dxa"/>
              <w:start w:w="100" w:type="dxa"/>
              <w:bottom w:w="80" w:type="dxa"/>
              <w:end w:w="100" w:type="dxa"/>
            </w:tcMar>
            <w:vAlign w:val="center"/>
          </w:tcPr>
          <w:p>
            <w:pPr>
              <w:spacing w:after="0" w:line="259" w:lineRule="auto"/>
            </w:pPr>
            <w:r>
              <w:rPr>
                <w:rFonts w:ascii="Aptos" w:hAnsi="Aptos"/>
                <w:sz w:val="20"/>
              </w:rPr>
              <w:t>For account balances or deposit proceeds blocked due to inactivity, KYC issues, or claimant mismatch.</w:t>
            </w:r>
          </w:p>
        </w:tc>
      </w:tr>
      <w:tr>
        <w:tc>
          <w:tcPr>
            <w:tcW w:type="dxa" w:w="4968"/>
            <w:tcMar>
              <w:top w:w="80" w:type="dxa"/>
              <w:start w:w="100" w:type="dxa"/>
              <w:bottom w:w="80" w:type="dxa"/>
              <w:end w:w="100" w:type="dxa"/>
            </w:tcMar>
            <w:vAlign w:val="center"/>
          </w:tcPr>
          <w:p>
            <w:pPr>
              <w:spacing w:after="0" w:line="259" w:lineRule="auto"/>
            </w:pPr>
            <w:r>
              <w:rPr>
                <w:rFonts w:ascii="Aptos" w:hAnsi="Aptos"/>
                <w:sz w:val="20"/>
              </w:rPr>
              <w:t>Name, nominee, KYC, signature, or address mismatch</w:t>
            </w:r>
          </w:p>
        </w:tc>
        <w:tc>
          <w:tcPr>
            <w:tcW w:type="dxa" w:w="4968"/>
            <w:tcMar>
              <w:top w:w="80" w:type="dxa"/>
              <w:start w:w="100" w:type="dxa"/>
              <w:bottom w:w="80" w:type="dxa"/>
              <w:end w:w="100" w:type="dxa"/>
            </w:tcMar>
            <w:vAlign w:val="center"/>
          </w:tcPr>
          <w:p>
            <w:pPr>
              <w:spacing w:after="0" w:line="259" w:lineRule="auto"/>
            </w:pPr>
            <w:r>
              <w:rPr>
                <w:rFonts w:ascii="Aptos" w:hAnsi="Aptos"/>
                <w:sz w:val="20"/>
              </w:rPr>
              <w:t>For records that do not align with current identity, bank, or entitlement documents.</w:t>
            </w:r>
          </w:p>
        </w:tc>
      </w:tr>
    </w:tbl>
    <w:p/>
    <w:p>
      <w:pPr>
        <w:pStyle w:val="Heading2"/>
      </w:pPr>
      <w:r>
        <w:t>Content notes for implementation</w:t>
      </w:r>
    </w:p>
    <w:p>
      <w:pPr>
        <w:pStyle w:val="ListBullet"/>
        <w:spacing w:after="40" w:line="259" w:lineRule="auto"/>
        <w:ind w:left="0"/>
      </w:pPr>
      <w:r>
        <w:rPr>
          <w:rFonts w:ascii="Aptos" w:hAnsi="Aptos"/>
          <w:sz w:val="21"/>
        </w:rPr>
        <w:t>This section should come early on the homepage, directly after the hero.</w:t>
      </w:r>
    </w:p>
    <w:p>
      <w:pPr>
        <w:pStyle w:val="ListBullet"/>
        <w:spacing w:after="40" w:line="259" w:lineRule="auto"/>
        <w:ind w:left="0"/>
      </w:pPr>
      <w:r>
        <w:rPr>
          <w:rFonts w:ascii="Aptos" w:hAnsi="Aptos"/>
          <w:sz w:val="21"/>
        </w:rPr>
        <w:t>Each card should help a visitor self-identify within a few seconds.</w:t>
      </w:r>
    </w:p>
    <w:p>
      <w:pPr>
        <w:pStyle w:val="ListBullet"/>
        <w:spacing w:after="40" w:line="259" w:lineRule="auto"/>
        <w:ind w:left="0"/>
      </w:pPr>
      <w:r>
        <w:rPr>
          <w:rFonts w:ascii="Aptos" w:hAnsi="Aptos"/>
          <w:sz w:val="21"/>
        </w:rPr>
        <w:t>Avoid long explanatory paragraphs below the cards; the cards themselves should do the work.</w:t>
      </w:r>
    </w:p>
    <w:p>
      <w:pPr>
        <w:pStyle w:val="ListBullet"/>
        <w:spacing w:after="40" w:line="259" w:lineRule="auto"/>
        <w:ind w:left="0"/>
      </w:pPr>
      <w:r>
        <w:rPr>
          <w:rFonts w:ascii="Aptos" w:hAnsi="Aptos"/>
          <w:sz w:val="21"/>
        </w:rPr>
        <w:t>Link each card later to the relevant service page or services hub.</w:t>
      </w:r>
    </w:p>
    <w:p>
      <w:pPr>
        <w:pStyle w:val="Heading1"/>
      </w:pPr>
      <w:r>
        <w:t>3. Where Could Your Money Be Stuck?</w:t>
      </w:r>
    </w:p>
    <w:tbl>
      <w:tblPr>
        <w:tblStyle w:val="TableGrid"/>
        <w:tblW w:type="auto" w:w="0"/>
        <w:jc w:val="center"/>
        <w:tblLayout w:type="fixed"/>
        <w:tblLook w:firstColumn="1" w:firstRow="1" w:lastColumn="0" w:lastRow="0" w:noHBand="0" w:noVBand="1" w:val="04A0"/>
      </w:tblPr>
      <w:tblGrid>
        <w:gridCol w:w="4968"/>
        <w:gridCol w:w="4968"/>
      </w:tblGrid>
      <w:tr>
        <w:tc>
          <w:tcPr>
            <w:tcW w:type="dxa" w:w="2381"/>
            <w:shd w:fill="EAF1FB"/>
            <w:vAlign w:val="center"/>
            <w:tcMar>
              <w:top w:w="80" w:type="dxa"/>
              <w:start w:w="100" w:type="dxa"/>
              <w:bottom w:w="80" w:type="dxa"/>
              <w:end w:w="100" w:type="dxa"/>
            </w:tcMar>
          </w:tcPr>
          <w:p>
            <w:pPr>
              <w:spacing w:after="0" w:line="259" w:lineRule="auto"/>
            </w:pPr>
            <w:r>
              <w:rPr>
                <w:rFonts w:ascii="Aptos" w:hAnsi="Aptos"/>
                <w:b/>
                <w:sz w:val="20"/>
              </w:rPr>
              <w:t>Section title</w:t>
            </w:r>
          </w:p>
        </w:tc>
        <w:tc>
          <w:tcPr>
            <w:tcW w:type="dxa" w:w="7257"/>
            <w:shd w:fill="FFFFFF"/>
            <w:vAlign w:val="center"/>
            <w:tcMar>
              <w:top w:w="80" w:type="dxa"/>
              <w:start w:w="100" w:type="dxa"/>
              <w:bottom w:w="80" w:type="dxa"/>
              <w:end w:w="100" w:type="dxa"/>
            </w:tcMar>
          </w:tcPr>
          <w:p>
            <w:pPr>
              <w:spacing w:after="0" w:line="259" w:lineRule="auto"/>
            </w:pPr>
            <w:r>
              <w:rPr>
                <w:rFonts w:ascii="Aptos" w:hAnsi="Aptos"/>
                <w:sz w:val="20"/>
              </w:rPr>
              <w:t>Where Could Your Unclaimed Money Be Lying?</w:t>
            </w:r>
          </w:p>
        </w:tc>
      </w:tr>
      <w:tr>
        <w:tc>
          <w:tcPr>
            <w:tcW w:type="dxa" w:w="2381"/>
            <w:shd w:fill="EAF1FB"/>
            <w:vAlign w:val="center"/>
            <w:tcMar>
              <w:top w:w="80" w:type="dxa"/>
              <w:start w:w="100" w:type="dxa"/>
              <w:bottom w:w="80" w:type="dxa"/>
              <w:end w:w="100" w:type="dxa"/>
            </w:tcMar>
          </w:tcPr>
          <w:p>
            <w:pPr>
              <w:spacing w:after="0" w:line="259" w:lineRule="auto"/>
            </w:pPr>
            <w:r>
              <w:rPr>
                <w:rFonts w:ascii="Aptos" w:hAnsi="Aptos"/>
                <w:b/>
                <w:sz w:val="20"/>
              </w:rPr>
              <w:t>Primary goal</w:t>
            </w:r>
          </w:p>
        </w:tc>
        <w:tc>
          <w:tcPr>
            <w:tcW w:type="dxa" w:w="7257"/>
            <w:shd w:fill="FFFFFF"/>
            <w:vAlign w:val="center"/>
            <w:tcMar>
              <w:top w:w="80" w:type="dxa"/>
              <w:start w:w="100" w:type="dxa"/>
              <w:bottom w:w="80" w:type="dxa"/>
              <w:end w:w="100" w:type="dxa"/>
            </w:tcMar>
          </w:tcPr>
          <w:p>
            <w:pPr>
              <w:spacing w:after="0" w:line="259" w:lineRule="auto"/>
            </w:pPr>
            <w:r>
              <w:rPr>
                <w:rFonts w:ascii="Aptos" w:hAnsi="Aptos"/>
                <w:sz w:val="20"/>
              </w:rPr>
              <w:t>Create urgency and authority by showing that large amounts remain unclaimed across multiple financial asset categories in India.</w:t>
            </w:r>
          </w:p>
        </w:tc>
      </w:tr>
      <w:tr>
        <w:tc>
          <w:tcPr>
            <w:tcW w:type="dxa" w:w="2381"/>
            <w:shd w:fill="EAF1FB"/>
            <w:vAlign w:val="center"/>
            <w:tcMar>
              <w:top w:w="80" w:type="dxa"/>
              <w:start w:w="100" w:type="dxa"/>
              <w:bottom w:w="80" w:type="dxa"/>
              <w:end w:w="100" w:type="dxa"/>
            </w:tcMar>
          </w:tcPr>
          <w:p>
            <w:pPr>
              <w:spacing w:after="0" w:line="259" w:lineRule="auto"/>
            </w:pPr>
            <w:r>
              <w:rPr>
                <w:rFonts w:ascii="Aptos" w:hAnsi="Aptos"/>
                <w:b/>
                <w:sz w:val="20"/>
              </w:rPr>
              <w:t>Critical caution</w:t>
            </w:r>
          </w:p>
        </w:tc>
        <w:tc>
          <w:tcPr>
            <w:tcW w:type="dxa" w:w="7257"/>
            <w:shd w:fill="FFFFFF"/>
            <w:vAlign w:val="center"/>
            <w:tcMar>
              <w:top w:w="80" w:type="dxa"/>
              <w:start w:w="100" w:type="dxa"/>
              <w:bottom w:w="80" w:type="dxa"/>
              <w:end w:w="100" w:type="dxa"/>
            </w:tcMar>
          </w:tcPr>
          <w:p>
            <w:pPr>
              <w:spacing w:after="0" w:line="259" w:lineRule="auto"/>
            </w:pPr>
            <w:r>
              <w:rPr>
                <w:rFonts w:ascii="Aptos" w:hAnsi="Aptos"/>
                <w:sz w:val="20"/>
              </w:rPr>
              <w:t>Any figure used here must be current, clearly sourced, and reviewed before publication.</w:t>
            </w:r>
          </w:p>
        </w:tc>
      </w:tr>
    </w:tbl>
    <w:p/>
    <w:p>
      <w:pPr>
        <w:pStyle w:val="Heading2"/>
      </w:pPr>
      <w:r>
        <w:t>Recommended section intro</w:t>
      </w:r>
    </w:p>
    <w:p>
      <w:pPr>
        <w:spacing w:line="269" w:lineRule="auto"/>
      </w:pPr>
      <w:r>
        <w:rPr>
          <w:b/>
        </w:rPr>
        <w:t xml:space="preserve">Intro line: </w:t>
      </w:r>
      <w:r>
        <w:t>Large amounts remain unclaimed across multiple financial asset categories in India. In many cases, families do not even know where to begin or which route applies to their case.</w:t>
      </w:r>
    </w:p>
    <w:p>
      <w:pPr>
        <w:pStyle w:val="Heading2"/>
      </w:pPr>
      <w:r>
        <w:t>Recommended number blocks</w:t>
      </w:r>
    </w:p>
    <w:p>
      <w:pPr>
        <w:pStyle w:val="ListBullet"/>
        <w:spacing w:after="40" w:line="259" w:lineRule="auto"/>
        <w:ind w:left="0"/>
      </w:pPr>
      <w:r>
        <w:rPr>
          <w:rFonts w:ascii="Aptos" w:hAnsi="Aptos"/>
          <w:sz w:val="21"/>
        </w:rPr>
        <w:t>IEPF claims — [Insert verified current figure or count]</w:t>
      </w:r>
    </w:p>
    <w:p>
      <w:pPr>
        <w:pStyle w:val="ListBullet"/>
        <w:spacing w:after="40" w:line="259" w:lineRule="auto"/>
        <w:ind w:left="0"/>
      </w:pPr>
      <w:r>
        <w:rPr>
          <w:rFonts w:ascii="Aptos" w:hAnsi="Aptos"/>
          <w:sz w:val="21"/>
        </w:rPr>
        <w:t>Unclaimed insurance amounts — [Insert verified current figure or count]</w:t>
      </w:r>
    </w:p>
    <w:p>
      <w:pPr>
        <w:pStyle w:val="ListBullet"/>
        <w:spacing w:after="40" w:line="259" w:lineRule="auto"/>
        <w:ind w:left="0"/>
      </w:pPr>
      <w:r>
        <w:rPr>
          <w:rFonts w:ascii="Aptos" w:hAnsi="Aptos"/>
          <w:sz w:val="21"/>
        </w:rPr>
        <w:t>Unclaimed provident fund balances — [Insert verified current figure or count]</w:t>
      </w:r>
    </w:p>
    <w:p>
      <w:pPr>
        <w:pStyle w:val="ListBullet"/>
        <w:spacing w:after="40" w:line="259" w:lineRule="auto"/>
        <w:ind w:left="0"/>
      </w:pPr>
      <w:r>
        <w:rPr>
          <w:rFonts w:ascii="Aptos" w:hAnsi="Aptos"/>
          <w:sz w:val="21"/>
        </w:rPr>
        <w:t>Unclaimed mutual fund payouts / inactive folios — [Insert verified current figure or count]</w:t>
      </w:r>
    </w:p>
    <w:p>
      <w:pPr>
        <w:pStyle w:val="ListBullet"/>
        <w:spacing w:after="40" w:line="259" w:lineRule="auto"/>
        <w:ind w:left="0"/>
      </w:pPr>
      <w:r>
        <w:rPr>
          <w:rFonts w:ascii="Aptos" w:hAnsi="Aptos"/>
          <w:sz w:val="21"/>
        </w:rPr>
        <w:t>Dormant bank deposits / unclaimed bank amounts — [Insert verified current figure or count]</w:t>
      </w:r>
    </w:p>
    <w:p>
      <w:pPr>
        <w:pStyle w:val="ListBullet"/>
        <w:spacing w:after="40" w:line="259" w:lineRule="auto"/>
        <w:ind w:left="0"/>
      </w:pPr>
      <w:r>
        <w:rPr>
          <w:rFonts w:ascii="Aptos" w:hAnsi="Aptos"/>
          <w:sz w:val="21"/>
        </w:rPr>
        <w:t>Old physical shareholdings / undematerialised legacy investments — use a descriptive statement unless a reliable public number is available</w:t>
      </w:r>
    </w:p>
    <w:p>
      <w:pPr>
        <w:pStyle w:val="Heading2"/>
      </w:pPr>
      <w:r>
        <w:t>Recommended supporting line</w:t>
      </w:r>
    </w:p>
    <w:p>
      <w:pPr>
        <w:spacing w:line="269" w:lineRule="auto"/>
      </w:pPr>
      <w:r>
        <w:rPr>
          <w:b/>
        </w:rPr>
        <w:t xml:space="preserve">Supporting line: </w:t>
      </w:r>
      <w:r>
        <w:t>If your family has old investments, incomplete records, unpaid dividends, dormant accounts, or unresolved claim paperwork, there may still be a route to recovery.</w:t>
      </w:r>
    </w:p>
    <w:p>
      <w:pPr>
        <w:pStyle w:val="Heading2"/>
      </w:pPr>
      <w:r>
        <w:t>Content notes for implementation</w:t>
      </w:r>
    </w:p>
    <w:p>
      <w:pPr>
        <w:pStyle w:val="ListBullet"/>
        <w:spacing w:after="40" w:line="259" w:lineRule="auto"/>
        <w:ind w:left="0"/>
      </w:pPr>
      <w:r>
        <w:rPr>
          <w:rFonts w:ascii="Aptos" w:hAnsi="Aptos"/>
          <w:sz w:val="21"/>
        </w:rPr>
        <w:t>This section is meant to add weight and seriousness, not shock-value marketing.</w:t>
      </w:r>
    </w:p>
    <w:p>
      <w:pPr>
        <w:pStyle w:val="ListBullet"/>
        <w:spacing w:after="40" w:line="259" w:lineRule="auto"/>
        <w:ind w:left="0"/>
      </w:pPr>
      <w:r>
        <w:rPr>
          <w:rFonts w:ascii="Aptos" w:hAnsi="Aptos"/>
          <w:sz w:val="21"/>
        </w:rPr>
        <w:t>Do not use rounded numbers unless they come from a credible public source and the date is shown where needed.</w:t>
      </w:r>
    </w:p>
    <w:p>
      <w:pPr>
        <w:pStyle w:val="ListBullet"/>
        <w:spacing w:after="40" w:line="259" w:lineRule="auto"/>
        <w:ind w:left="0"/>
      </w:pPr>
      <w:r>
        <w:rPr>
          <w:rFonts w:ascii="Aptos" w:hAnsi="Aptos"/>
          <w:sz w:val="21"/>
        </w:rPr>
        <w:t>Where exact figures are unavailable or unstable, use category labels plus one short explanatory line instead of inventing certainty.</w:t>
      </w:r>
    </w:p>
    <w:p>
      <w:pPr>
        <w:pStyle w:val="ListBullet"/>
        <w:spacing w:after="40" w:line="259" w:lineRule="auto"/>
        <w:ind w:left="0"/>
      </w:pPr>
      <w:r>
        <w:rPr>
          <w:rFonts w:ascii="Aptos" w:hAnsi="Aptos"/>
          <w:sz w:val="21"/>
        </w:rPr>
        <w:t>A clean 3- to 6-block layout will work better than a dense table on the homepage.</w:t>
      </w:r>
    </w:p>
    <w:p>
      <w:pPr>
        <w:pStyle w:val="Heading1"/>
      </w:pPr>
      <w:r>
        <w:t>Immediate next sections to draft</w:t>
      </w:r>
    </w:p>
    <w:p>
      <w:pPr>
        <w:pStyle w:val="ListBullet"/>
        <w:spacing w:after="40" w:line="259" w:lineRule="auto"/>
        <w:ind w:left="0"/>
      </w:pPr>
      <w:r>
        <w:rPr>
          <w:rFonts w:ascii="Aptos" w:hAnsi="Aptos"/>
          <w:sz w:val="21"/>
        </w:rPr>
        <w:t>4. Not Sure Where to Begin? Start Here</w:t>
      </w:r>
    </w:p>
    <w:p>
      <w:pPr>
        <w:pStyle w:val="ListBullet"/>
        <w:spacing w:after="40" w:line="259" w:lineRule="auto"/>
        <w:ind w:left="0"/>
      </w:pPr>
      <w:r>
        <w:rPr>
          <w:rFonts w:ascii="Aptos" w:hAnsi="Aptos"/>
          <w:sz w:val="21"/>
        </w:rPr>
        <w:t>5. Our Services</w:t>
      </w:r>
    </w:p>
    <w:p>
      <w:pPr>
        <w:pStyle w:val="ListBullet"/>
        <w:spacing w:after="40" w:line="259" w:lineRule="auto"/>
        <w:ind w:left="0"/>
      </w:pPr>
      <w:r>
        <w:rPr>
          <w:rFonts w:ascii="Aptos" w:hAnsi="Aptos"/>
          <w:sz w:val="21"/>
        </w:rPr>
        <w:t>6. Who We Help</w:t>
      </w:r>
    </w:p>
    <w:p>
      <w:pPr>
        <w:pStyle w:val="Title"/>
        <w:jc w:val="center"/>
      </w:pPr>
      <w:r>
        <w:rPr>
          <w:b/>
        </w:rPr>
        <w:t>Sahirasta Homepage Draft</w:t>
      </w:r>
    </w:p>
    <w:p>
      <w:pPr>
        <w:jc w:val="center"/>
      </w:pPr>
      <w:r>
        <w:rPr>
          <w:rFonts w:ascii="Aptos" w:hAnsi="Aptos"/>
          <w:b/>
          <w:color w:val="5A5A5A"/>
          <w:sz w:val="24"/>
        </w:rPr>
        <w:t>Sections 4–6 for Codex Upload</w:t>
      </w:r>
    </w:p>
    <w:p>
      <w:pPr>
        <w:jc w:val="center"/>
      </w:pPr>
      <w:r>
        <w:rPr>
          <w:color w:val="B4B4B4"/>
          <w:sz w:val="28"/>
        </w:rPr>
        <w:t>—</w:t>
      </w:r>
    </w:p>
    <w:p>
      <w:r>
        <w:t>This working document converts the approved homepage outline into a build-ready structure for the next three sections. The goal is clarity, not decorative filler. Each section is written to help Codex or a designer translate the content into a clean, high-conversion homepage without losing the business logic.</w:t>
      </w:r>
    </w:p>
    <w:p>
      <w:r>
        <w:t>These sections should feel practical and reassuring. They are meant to guide confused visitors, show the full service map without clutter, and make the site visibly relevant to families, widows, NRIs, and clients with incomplete records.</w:t>
      </w:r>
    </w:p>
    <w:p>
      <w:pPr/>
    </w:p>
    <w:p>
      <w:pPr>
        <w:pStyle w:val="Heading1"/>
      </w:pPr>
      <w:r>
        <w:t>4. Not Sure Where to Begin? Start Here</w:t>
      </w:r>
    </w:p>
    <w:p>
      <w:pPr>
        <w:pStyle w:val="Heading2"/>
      </w:pPr>
      <w:r>
        <w:t>Recommended section intro</w:t>
      </w:r>
    </w:p>
    <w:p>
      <w:r>
        <w:t>Intro line: Many people know they have a financial problem, but do not know whether it is an IEPF issue, an insurance claim issue, a PF issue, a dormant bank account, or a document problem. This section should remove that hesitation and make the next step obvious.</w:t>
      </w:r>
    </w:p>
    <w:p>
      <w:pPr>
        <w:pStyle w:val="Heading2"/>
      </w:pPr>
      <w:r>
        <w:t>Recommended path options</w:t>
      </w:r>
    </w:p>
    <w:p>
      <w:pPr>
        <w:pStyle w:val="ListBullet"/>
      </w:pPr>
      <w:r>
        <w:t>I know what my issue is — Browse the relevant service and understand the likely route.</w:t>
      </w:r>
    </w:p>
    <w:p>
      <w:pPr>
        <w:pStyle w:val="ListBullet"/>
      </w:pPr>
      <w:r>
        <w:t>I think money may be unclaimed, but I am not sure where — See where money commonly gets stuck and which category it may fall under.</w:t>
      </w:r>
    </w:p>
    <w:p>
      <w:pPr>
        <w:pStyle w:val="ListBullet"/>
      </w:pPr>
      <w:r>
        <w:t>I have documents but do not know what they mean — Request a case review and let Sahirasta identify the likely path.</w:t>
      </w:r>
    </w:p>
    <w:p>
      <w:pPr>
        <w:pStyle w:val="ListBullet"/>
      </w:pPr>
      <w:r>
        <w:t>A family member has passed away and we are trying to sort out investments or policies — Go to the legal heir / family support pathway.</w:t>
      </w:r>
    </w:p>
    <w:p>
      <w:pPr>
        <w:pStyle w:val="Heading2"/>
      </w:pPr>
      <w:r>
        <w:t>Recommended button / link labels</w:t>
      </w:r>
    </w:p>
    <w:p>
      <w:pPr>
        <w:pStyle w:val="ListBullet"/>
      </w:pPr>
      <w:r>
        <w:t>Explore Services</w:t>
      </w:r>
    </w:p>
    <w:p>
      <w:pPr>
        <w:pStyle w:val="ListBullet"/>
      </w:pPr>
      <w:r>
        <w:t>See Where Your Money Could Be Stuck</w:t>
      </w:r>
    </w:p>
    <w:p>
      <w:pPr>
        <w:pStyle w:val="ListBullet"/>
      </w:pPr>
      <w:r>
        <w:t>Request a Free Consultation</w:t>
      </w:r>
    </w:p>
    <w:p>
      <w:pPr>
        <w:pStyle w:val="ListBullet"/>
      </w:pPr>
      <w:r>
        <w:t>For Legal Heirs &amp; Families</w:t>
      </w:r>
    </w:p>
    <w:p>
      <w:pPr>
        <w:pStyle w:val="Heading2"/>
      </w:pPr>
      <w:r>
        <w:t>Content notes for implementation</w:t>
      </w:r>
    </w:p>
    <w:p>
      <w:pPr>
        <w:pStyle w:val="ListBullet"/>
      </w:pPr>
      <w:r>
        <w:t>This section should feel like guidance, not like a quiz or gimmicky wizard.</w:t>
      </w:r>
    </w:p>
    <w:p>
      <w:pPr>
        <w:pStyle w:val="ListBullet"/>
      </w:pPr>
      <w:r>
        <w:t>Use a clean three- or four-card layout with short labels and one support line per card.</w:t>
      </w:r>
    </w:p>
    <w:p>
      <w:pPr>
        <w:pStyle w:val="ListBullet"/>
      </w:pPr>
      <w:r>
        <w:t>Do not overcomplicate the wording. The point is to reduce confusion in under ten seconds.</w:t>
      </w:r>
    </w:p>
    <w:p>
      <w:pPr>
        <w:pStyle w:val="ListBullet"/>
      </w:pPr>
      <w:r>
        <w:t>This section should sit after the ‘Where Could Your Money Be Stuck?’ section so the visitor first understands the landscape, then sees the path forward.</w:t>
      </w:r>
    </w:p>
    <w:p>
      <w:pPr/>
    </w:p>
    <w:p>
      <w:pPr>
        <w:pStyle w:val="Heading1"/>
      </w:pPr>
      <w:r>
        <w:t>5. Our Services</w:t>
      </w:r>
    </w:p>
    <w:p>
      <w:pPr>
        <w:pStyle w:val="Heading2"/>
      </w:pPr>
      <w:r>
        <w:t>Recommended section intro</w:t>
      </w:r>
    </w:p>
    <w:p>
      <w:r>
        <w:t>Intro line: Sahirasta handles financial recovery and resolution across shares, insurance, PF, mutual funds, and bank deposits. The service architecture should look broad enough to be useful, but organized enough to remain easy to understand.</w:t>
      </w:r>
    </w:p>
    <w:p>
      <w:pPr>
        <w:pStyle w:val="Heading2"/>
      </w:pPr>
      <w:r>
        <w:t>Recommended service clusters</w:t>
      </w:r>
    </w:p>
    <w:p>
      <w:pPr>
        <w:pStyle w:val="Heading2"/>
      </w:pPr>
      <w:r>
        <w:t>Shares &amp; Securities</w:t>
      </w:r>
    </w:p>
    <w:p>
      <w:pPr>
        <w:pStyle w:val="ListBullet"/>
      </w:pPr>
      <w:r>
        <w:t>IEPF claims</w:t>
      </w:r>
    </w:p>
    <w:p>
      <w:pPr>
        <w:pStyle w:val="ListBullet"/>
      </w:pPr>
      <w:r>
        <w:t>Duplicate or lost share documents</w:t>
      </w:r>
    </w:p>
    <w:p>
      <w:pPr>
        <w:pStyle w:val="ListBullet"/>
      </w:pPr>
      <w:r>
        <w:t>Transmission of shares</w:t>
      </w:r>
    </w:p>
    <w:p>
      <w:pPr>
        <w:pStyle w:val="ListBullet"/>
      </w:pPr>
      <w:r>
        <w:t>Physical shares to demat</w:t>
      </w:r>
    </w:p>
    <w:p>
      <w:pPr>
        <w:pStyle w:val="ListBullet"/>
      </w:pPr>
      <w:r>
        <w:t>Transmission-cum-demat</w:t>
      </w:r>
    </w:p>
    <w:p>
      <w:pPr>
        <w:pStyle w:val="ListBullet"/>
      </w:pPr>
      <w:r>
        <w:t>Name, signature, or address correction</w:t>
      </w:r>
    </w:p>
    <w:p>
      <w:pPr>
        <w:pStyle w:val="Heading2"/>
      </w:pPr>
      <w:r>
        <w:t>Insurance Claims &amp; Recovery</w:t>
      </w:r>
    </w:p>
    <w:p>
      <w:pPr>
        <w:pStyle w:val="ListBullet"/>
      </w:pPr>
      <w:r>
        <w:t>Unclaimed maturity and survival benefits</w:t>
      </w:r>
    </w:p>
    <w:p>
      <w:pPr>
        <w:pStyle w:val="ListBullet"/>
      </w:pPr>
      <w:r>
        <w:t>Death claim support</w:t>
      </w:r>
    </w:p>
    <w:p>
      <w:pPr>
        <w:pStyle w:val="ListBullet"/>
      </w:pPr>
      <w:r>
        <w:t>Rejected or short-settled claims</w:t>
      </w:r>
    </w:p>
    <w:p>
      <w:pPr>
        <w:pStyle w:val="ListBullet"/>
      </w:pPr>
      <w:r>
        <w:t>Lost policy bond, nominee, KYC, loan, and records issues</w:t>
      </w:r>
    </w:p>
    <w:p>
      <w:pPr>
        <w:pStyle w:val="Heading2"/>
      </w:pPr>
      <w:r>
        <w:t>PF, Mutual Funds &amp; Bank Deposits</w:t>
      </w:r>
    </w:p>
    <w:p>
      <w:pPr>
        <w:pStyle w:val="ListBullet"/>
      </w:pPr>
      <w:r>
        <w:t>Unclaimed provident fund</w:t>
      </w:r>
    </w:p>
    <w:p>
      <w:pPr>
        <w:pStyle w:val="ListBullet"/>
      </w:pPr>
      <w:r>
        <w:t>Unclaimed mutual funds</w:t>
      </w:r>
    </w:p>
    <w:p>
      <w:pPr>
        <w:pStyle w:val="ListBullet"/>
      </w:pPr>
      <w:r>
        <w:t>Dormant or inoperative bank deposits</w:t>
      </w:r>
    </w:p>
    <w:p>
      <w:pPr>
        <w:pStyle w:val="Heading2"/>
      </w:pPr>
      <w:r>
        <w:t>Recommended support line</w:t>
      </w:r>
    </w:p>
    <w:p>
      <w:r>
        <w:t>Support line: If you are not sure which category applies, Sahirasta can review your documents and help identify the likely route.</w:t>
      </w:r>
    </w:p>
    <w:p>
      <w:pPr>
        <w:pStyle w:val="Heading2"/>
      </w:pPr>
      <w:r>
        <w:t>Content notes for implementation</w:t>
      </w:r>
    </w:p>
    <w:p>
      <w:pPr>
        <w:pStyle w:val="ListBullet"/>
      </w:pPr>
      <w:r>
        <w:t>Do not present this section as one long paragraph. It should scan cleanly in clusters.</w:t>
      </w:r>
    </w:p>
    <w:p>
      <w:pPr>
        <w:pStyle w:val="ListBullet"/>
      </w:pPr>
      <w:r>
        <w:t>Avoid vague labels such as ‘other assets’ or ‘comprehensive financial solutions’. They say nothing.</w:t>
      </w:r>
    </w:p>
    <w:p>
      <w:pPr>
        <w:pStyle w:val="ListBullet"/>
      </w:pPr>
      <w:r>
        <w:t>Each service item should later link either to a dedicated page or to a grouped service page.</w:t>
      </w:r>
    </w:p>
    <w:p>
      <w:pPr>
        <w:pStyle w:val="ListBullet"/>
      </w:pPr>
      <w:r>
        <w:t>This section should reinforce category clarity. Sahirasta is a recovery specialist, not a generic wealth advisory site.</w:t>
      </w:r>
    </w:p>
    <w:p>
      <w:pPr/>
    </w:p>
    <w:p>
      <w:pPr>
        <w:pStyle w:val="Heading1"/>
      </w:pPr>
      <w:r>
        <w:t>6. Who We Help</w:t>
      </w:r>
    </w:p>
    <w:p>
      <w:pPr>
        <w:pStyle w:val="Heading2"/>
      </w:pPr>
      <w:r>
        <w:t>Recommended section intro</w:t>
      </w:r>
    </w:p>
    <w:p>
      <w:r>
        <w:t>Intro line: Sahirasta works with people who are facing real-world financial claim and documentation problems, including cases where records are old, incomplete, or spread across multiple family members.</w:t>
      </w:r>
    </w:p>
    <w:p>
      <w:pPr>
        <w:pStyle w:val="Heading2"/>
      </w:pPr>
      <w:r>
        <w:t>Recommended audience blocks</w:t>
      </w:r>
    </w:p>
    <w:p>
      <w:pPr>
        <w:pStyle w:val="ListBullet"/>
      </w:pPr>
      <w:r>
        <w:t>Individual investors — people trying to recover their own shares, dividends, insurance proceeds, PF balances, mutual funds, or dormant deposits.</w:t>
      </w:r>
    </w:p>
    <w:p>
      <w:pPr>
        <w:pStyle w:val="ListBullet"/>
      </w:pPr>
      <w:r>
        <w:t>Legal heirs and families — families handling transmission, succession, death claims, and asset tracing after the death of a parent, spouse, or relative.</w:t>
      </w:r>
    </w:p>
    <w:p>
      <w:pPr>
        <w:pStyle w:val="ListBullet"/>
      </w:pPr>
      <w:r>
        <w:t>Widows and families handling claims after a death — clients who need practical support when policies, investments, or shareholdings are blocked by documentation or entitlement issues.</w:t>
      </w:r>
    </w:p>
    <w:p>
      <w:pPr>
        <w:pStyle w:val="ListBullet"/>
      </w:pPr>
      <w:r>
        <w:t>NRIs — clients abroad who need help understanding Indian procedures, documentation requirements, and remote execution options.</w:t>
      </w:r>
    </w:p>
    <w:p>
      <w:pPr>
        <w:pStyle w:val="ListBullet"/>
      </w:pPr>
      <w:r>
        <w:t>Senior citizens — investors dealing with legacy shareholdings, old policies, outdated records, and long-pending financial assets.</w:t>
      </w:r>
    </w:p>
    <w:p>
      <w:pPr>
        <w:pStyle w:val="ListBullet"/>
      </w:pPr>
      <w:r>
        <w:t>Clients with incomplete or missing records — people who know something exists but lack full paperwork, policy details, or investment records.</w:t>
      </w:r>
    </w:p>
    <w:p>
      <w:pPr>
        <w:pStyle w:val="Heading2"/>
      </w:pPr>
      <w:r>
        <w:t>Recommended support line</w:t>
      </w:r>
    </w:p>
    <w:p>
      <w:r>
        <w:t>Support line: You do not need to arrive with a perfect file. Many valid cases begin with incomplete records, old papers, or only partial information.</w:t>
      </w:r>
    </w:p>
    <w:p>
      <w:pPr>
        <w:pStyle w:val="Heading2"/>
      </w:pPr>
      <w:r>
        <w:t>Content notes for implementation</w:t>
      </w:r>
    </w:p>
    <w:p>
      <w:pPr>
        <w:pStyle w:val="ListBullet"/>
      </w:pPr>
      <w:r>
        <w:t>This section should feel inclusive and practical, not sentimental.</w:t>
      </w:r>
    </w:p>
    <w:p>
      <w:pPr>
        <w:pStyle w:val="ListBullet"/>
      </w:pPr>
      <w:r>
        <w:t>Avoid turning the audience list into a dense text block. Use cards, tiles, or short vertical blocks.</w:t>
      </w:r>
    </w:p>
    <w:p>
      <w:pPr>
        <w:pStyle w:val="ListBullet"/>
      </w:pPr>
      <w:r>
        <w:t>The wording for widows should be handled carefully: respectful, clear, and not melodramatic.</w:t>
      </w:r>
    </w:p>
    <w:p>
      <w:pPr>
        <w:pStyle w:val="ListBullet"/>
      </w:pPr>
      <w:r>
        <w:t>This section should build confidence for visitors who assume their case is too messy or too old to sort out.</w:t>
      </w:r>
    </w:p>
    <w:p>
      <w:pPr/>
    </w:p>
    <w:p>
      <w:pPr>
        <w:pStyle w:val="Heading1"/>
      </w:pPr>
      <w:r>
        <w:t>Immediate next sections to draft</w:t>
      </w:r>
    </w:p>
    <w:p>
      <w:pPr>
        <w:pStyle w:val="ListBullet"/>
      </w:pPr>
      <w:r>
        <w:t>7. How Sahirasta Works</w:t>
      </w:r>
    </w:p>
    <w:p>
      <w:pPr>
        <w:pStyle w:val="ListBullet"/>
      </w:pPr>
      <w:r>
        <w:t>8. Why Choose Sahirasta</w:t>
      </w:r>
    </w:p>
    <w:p>
      <w:pPr>
        <w:pStyle w:val="ListBullet"/>
      </w:pPr>
      <w:r>
        <w:t>9. What Clients Say</w:t>
      </w:r>
    </w:p>
    <w:p>
      <w:r>
        <w:br w:type="page"/>
      </w:r>
    </w:p>
    <w:p>
      <w:pPr>
        <w:pStyle w:val="Title"/>
      </w:pPr>
      <w:r>
        <w:t>Sahirasta Homepage Draft</w:t>
      </w:r>
    </w:p>
    <w:p>
      <w:r>
        <w:t>Sections 7–9 for Codex Upload</w:t>
      </w:r>
    </w:p>
    <w:p>
      <w:r>
        <w:t>—</w:t>
      </w:r>
    </w:p>
    <w:p>
      <w:r>
        <w:t>This working document converts the approved homepage outline into a build-ready structure for the next three sections. These sections are meant to reduce uncertainty, build trust without corporate fluff, and add social proof in a way that feels credible and useful.</w:t>
      </w:r>
    </w:p>
    <w:p>
      <w:r>
        <w:t>The tone should remain serious, clear, and practical. Sahirasta should come across as a focused recovery specialist that handles messy, document-heavy cases with discipline and personal accountability.</w:t>
      </w:r>
    </w:p>
    <w:p>
      <w:pPr>
        <w:pStyle w:val="Heading1"/>
      </w:pPr>
      <w:r>
        <w:t>7. How Sahirasta Works</w:t>
      </w:r>
    </w:p>
    <w:p>
      <w:pPr>
        <w:pStyle w:val="Heading2"/>
      </w:pPr>
      <w:r>
        <w:t>Recommended section intro</w:t>
      </w:r>
    </w:p>
    <w:p>
      <w:r>
        <w:t>Intro line: Most people do not need more jargon. They need to know what happens next. This section should show a straightforward, controlled process so visitors understand how a case moves from confusion to recovery.</w:t>
      </w:r>
    </w:p>
    <w:p>
      <w:pPr>
        <w:pStyle w:val="Heading2"/>
      </w:pPr>
      <w:r>
        <w:t>Recommended process steps</w:t>
      </w:r>
    </w:p>
    <w:p>
      <w:pPr>
        <w:pStyle w:val="ListBullet"/>
      </w:pPr>
      <w:r>
        <w:t>1. Initial discussion — understand the problem, the asset type, and the broad background.</w:t>
      </w:r>
    </w:p>
    <w:p>
      <w:pPr>
        <w:pStyle w:val="ListBullet"/>
      </w:pPr>
      <w:r>
        <w:t>2. Document review — check what records exist, what is missing, and which route may apply.</w:t>
      </w:r>
    </w:p>
    <w:p>
      <w:pPr>
        <w:pStyle w:val="ListBullet"/>
      </w:pPr>
      <w:r>
        <w:t>3. Feasibility and case route — identify whether the issue involves IEPF, shares, insurance, PF, mutual funds, bank deposits, succession, or record correction.</w:t>
      </w:r>
    </w:p>
    <w:p>
      <w:pPr>
        <w:pStyle w:val="ListBullet"/>
      </w:pPr>
      <w:r>
        <w:t>4. Scope and fee proposal — share the likely work involved, complexity factors, and the commercial proposal after preliminary review.</w:t>
      </w:r>
    </w:p>
    <w:p>
      <w:pPr>
        <w:pStyle w:val="ListBullet"/>
      </w:pPr>
      <w:r>
        <w:t>5. Execution and follow-up — coordinate documents, filings, corrections, follow-ups, and procedural steps with the relevant institutions.</w:t>
      </w:r>
    </w:p>
    <w:p>
      <w:pPr>
        <w:pStyle w:val="ListBullet"/>
      </w:pPr>
      <w:r>
        <w:t>6. Resolution and next steps — help move the case toward recovery, release, regularisation, or the next required action.</w:t>
      </w:r>
    </w:p>
    <w:p>
      <w:pPr>
        <w:pStyle w:val="Heading2"/>
      </w:pPr>
      <w:r>
        <w:t>Recommended support line</w:t>
      </w:r>
    </w:p>
    <w:p>
      <w:r>
        <w:t>Support line: Every case is different, but the process should never feel opaque. Sahirasta is meant to make the route clearer, not more confusing.</w:t>
      </w:r>
    </w:p>
    <w:p>
      <w:pPr>
        <w:pStyle w:val="Heading2"/>
      </w:pPr>
      <w:r>
        <w:t>Content notes for implementation</w:t>
      </w:r>
    </w:p>
    <w:p>
      <w:pPr>
        <w:pStyle w:val="ListBullet"/>
      </w:pPr>
      <w:r>
        <w:t>Use a simple step layout with numbers or icons, but keep the styling restrained.</w:t>
      </w:r>
    </w:p>
    <w:p>
      <w:pPr>
        <w:pStyle w:val="ListBullet"/>
      </w:pPr>
      <w:r>
        <w:t>Do not imply guaranteed outcomes or fixed timelines. Many cases depend on third-party institutions and the quality of records available.</w:t>
      </w:r>
    </w:p>
    <w:p>
      <w:pPr>
        <w:pStyle w:val="ListBullet"/>
      </w:pPr>
      <w:r>
        <w:t>The language should feel controlled and confidence-building, not salesy.</w:t>
      </w:r>
    </w:p>
    <w:p>
      <w:pPr>
        <w:pStyle w:val="ListBullet"/>
      </w:pPr>
      <w:r>
        <w:t>This section should sit after “Who We Help” so the visitor sees both relevance and process before being asked to trust the business.</w:t>
      </w:r>
    </w:p>
    <w:p>
      <w:pPr>
        <w:pStyle w:val="Heading1"/>
      </w:pPr>
      <w:r>
        <w:t>8. Why Choose Sahirasta</w:t>
      </w:r>
    </w:p>
    <w:p>
      <w:pPr>
        <w:pStyle w:val="Heading2"/>
      </w:pPr>
      <w:r>
        <w:t>Recommended section intro</w:t>
      </w:r>
    </w:p>
    <w:p>
      <w:r>
        <w:t>Intro line: Sahirasta is not meant to look like a giant generic financial-services company. Its strength should be clarity, seriousness, and direct accountability in cases that are often messy, old, or emotionally difficult.</w:t>
      </w:r>
    </w:p>
    <w:p>
      <w:pPr>
        <w:pStyle w:val="Heading2"/>
      </w:pPr>
      <w:r>
        <w:t>Recommended trust points</w:t>
      </w:r>
    </w:p>
    <w:p>
      <w:pPr>
        <w:pStyle w:val="ListBullet"/>
      </w:pPr>
      <w:r>
        <w:t>Clear guidance, not generic financial jargon — visitors should understand the likely path in plain English.</w:t>
      </w:r>
    </w:p>
    <w:p>
      <w:pPr>
        <w:pStyle w:val="ListBullet"/>
      </w:pPr>
      <w:r>
        <w:t>Founder-led accountability — clients know who is responsible for case handling and communication.</w:t>
      </w:r>
    </w:p>
    <w:p>
      <w:pPr>
        <w:pStyle w:val="ListBullet"/>
      </w:pPr>
      <w:r>
        <w:t>Strong handling of document-heavy and legacy cases — useful for old shareholdings, succession issues, outdated records, and incomplete paperwork.</w:t>
      </w:r>
    </w:p>
    <w:p>
      <w:pPr>
        <w:pStyle w:val="ListBullet"/>
      </w:pPr>
      <w:r>
        <w:t>Practical support for legal heirs, widows, families, and NRIs — not just investors with perfectly organised files.</w:t>
      </w:r>
    </w:p>
    <w:p>
      <w:pPr>
        <w:pStyle w:val="ListBullet"/>
      </w:pPr>
      <w:r>
        <w:t>Structured process and transparent communication — the client should know what stage the case is in and what is needed next.</w:t>
      </w:r>
    </w:p>
    <w:p>
      <w:pPr>
        <w:pStyle w:val="ListBullet"/>
      </w:pPr>
      <w:r>
        <w:t>Commercial logic tied to case complexity and recovery effort — not vague pricing or hidden-fee theatre.</w:t>
      </w:r>
    </w:p>
    <w:p>
      <w:pPr>
        <w:pStyle w:val="Heading2"/>
      </w:pPr>
      <w:r>
        <w:t>Recommended support line</w:t>
      </w:r>
    </w:p>
    <w:p>
      <w:r>
        <w:t>Support line: The goal is simple — make difficult financial recovery cases easier to understand, easier to organise, and easier to pursue seriously.</w:t>
      </w:r>
    </w:p>
    <w:p>
      <w:pPr>
        <w:pStyle w:val="Heading2"/>
      </w:pPr>
      <w:r>
        <w:t>Content notes for implementation</w:t>
      </w:r>
    </w:p>
    <w:p>
      <w:pPr>
        <w:pStyle w:val="ListBullet"/>
      </w:pPr>
      <w:r>
        <w:t>This section must not rely on fake size signals such as “largest”, “leading”, or “pan-India team” unless they can be backed up.</w:t>
      </w:r>
    </w:p>
    <w:p>
      <w:pPr>
        <w:pStyle w:val="ListBullet"/>
      </w:pPr>
      <w:r>
        <w:t>Use concise trust blocks, not long self-congratulatory paragraphs.</w:t>
      </w:r>
    </w:p>
    <w:p>
      <w:pPr>
        <w:pStyle w:val="ListBullet"/>
      </w:pPr>
      <w:r>
        <w:t>Avoid stock imagery of boardrooms, handshakes, or call-centre smiles. That visual language kills credibility fast.</w:t>
      </w:r>
    </w:p>
    <w:p>
      <w:pPr>
        <w:pStyle w:val="ListBullet"/>
      </w:pPr>
      <w:r>
        <w:t>This is a trust section, but it should still feel grounded in process and usefulness.</w:t>
      </w:r>
    </w:p>
    <w:p>
      <w:pPr>
        <w:pStyle w:val="Heading1"/>
      </w:pPr>
      <w:r>
        <w:t>9. What Clients Say</w:t>
      </w:r>
    </w:p>
    <w:p>
      <w:pPr>
        <w:pStyle w:val="Heading2"/>
      </w:pPr>
      <w:r>
        <w:t>Recommended section intro</w:t>
      </w:r>
    </w:p>
    <w:p>
      <w:r>
        <w:t>Intro line: This section should add human proof. The safest and strongest version is real client feedback with permission. Until then, the drafts below can be treated as internal testimonial models or case-story directions and should not be published as real testimonials without validation.</w:t>
      </w:r>
    </w:p>
    <w:p>
      <w:pPr>
        <w:pStyle w:val="Heading2"/>
      </w:pPr>
      <w:r>
        <w:t>Draft testimonial models / case-story directions</w:t>
      </w:r>
    </w:p>
    <w:p>
      <w:pPr>
        <w:pStyle w:val="ListBullet"/>
      </w:pPr>
      <w:r>
        <w:t>IEPF recovery case — “We had old shares and years of unpaid dividends, but we had no idea where to begin. Sahirasta explained the IEPF route clearly, helped us organise the documents, and kept the process understandable throughout.”</w:t>
      </w:r>
    </w:p>
    <w:p>
      <w:pPr>
        <w:pStyle w:val="ListBullet"/>
      </w:pPr>
      <w:r>
        <w:t>Widow / family succession case — “After my husband passed away, I was overwhelmed by the paperwork around his shares and policies. Sahirasta helped me understand what was needed, what could wait, and what had to be done first. That clarity itself was a huge relief.”</w:t>
      </w:r>
    </w:p>
    <w:p>
      <w:pPr>
        <w:pStyle w:val="ListBullet"/>
      </w:pPr>
      <w:r>
        <w:t>NRI support case — “Living abroad, I found the Indian documentation process confusing and difficult to manage remotely. Sahirasta broke the issue down step by step and helped us understand the likely path without making it feel intimidating.”</w:t>
      </w:r>
    </w:p>
    <w:p>
      <w:pPr>
        <w:pStyle w:val="ListBullet"/>
      </w:pPr>
      <w:r>
        <w:t>Insurance claim issue — “Our insurance claim had stalled because of record mismatches and missing paperwork. Sahirasta helped us identify the actual blockers and move the case forward in a more structured way.”</w:t>
      </w:r>
    </w:p>
    <w:p>
      <w:pPr>
        <w:pStyle w:val="ListBullet"/>
      </w:pPr>
      <w:r>
        <w:t>Old physical shares / demat case — “We had old share certificates sitting in files for years and assumed they were useless. Sahirasta helped us understand the regularisation and demat route and what records would be needed.”</w:t>
      </w:r>
    </w:p>
    <w:p>
      <w:pPr>
        <w:pStyle w:val="ListBullet"/>
      </w:pPr>
      <w:r>
        <w:t>Dormant deposit / unclaimed investment case — “We knew there was money somewhere, but not which institution held it or how to begin. Sahirasta helped us narrow the problem, review the paperwork, and identify the correct category before we wasted time going in circles.”</w:t>
      </w:r>
    </w:p>
    <w:p>
      <w:pPr>
        <w:pStyle w:val="Heading2"/>
      </w:pPr>
      <w:r>
        <w:t>Content notes for implementation</w:t>
      </w:r>
    </w:p>
    <w:p>
      <w:pPr>
        <w:pStyle w:val="ListBullet"/>
      </w:pPr>
      <w:r>
        <w:t>Do not publish invented testimonials as if they are real client quotes. Replace these with real testimonials or convert them into anonymised case stories.</w:t>
      </w:r>
    </w:p>
    <w:p>
      <w:pPr>
        <w:pStyle w:val="ListBullet"/>
      </w:pPr>
      <w:r>
        <w:t>A six-card grid or slider can work, but readability matters more than novelty.</w:t>
      </w:r>
    </w:p>
    <w:p>
      <w:pPr>
        <w:pStyle w:val="ListBullet"/>
      </w:pPr>
      <w:r>
        <w:t>Shorter, more believable testimonials convert better than dramatic praise paragraphs.</w:t>
      </w:r>
    </w:p>
    <w:p>
      <w:pPr>
        <w:pStyle w:val="ListBullet"/>
      </w:pPr>
      <w:r>
        <w:t>If real testimonials are not yet ready, use a “Case Scenarios We Commonly Help With” format instead of faking social proof.</w:t>
      </w:r>
    </w:p>
    <w:p>
      <w:pPr>
        <w:pStyle w:val="Heading1"/>
      </w:pPr>
      <w:r>
        <w:t>Immediate next sections to draft</w:t>
      </w:r>
    </w:p>
    <w:p>
      <w:pPr>
        <w:pStyle w:val="ListBullet"/>
      </w:pPr>
      <w:r>
        <w:t>10. How Our Fees Work</w:t>
      </w:r>
    </w:p>
    <w:p>
      <w:pPr>
        <w:pStyle w:val="ListBullet"/>
      </w:pPr>
      <w:r>
        <w:t>11. Request a Free Consultation</w:t>
      </w:r>
    </w:p>
    <w:p>
      <w:pPr>
        <w:pStyle w:val="ListBullet"/>
      </w:pPr>
      <w:r>
        <w:t>12. Final CTA</w:t>
      </w:r>
    </w:p>
    <w:p>
      <w:r>
        <w:br w:type="page"/>
      </w:r>
    </w:p>
    <w:p>
      <w:pPr>
        <w:pStyle w:val="Title"/>
      </w:pPr>
      <w:r>
        <w:t>Sahirasta Homepage Draft</w:t>
      </w:r>
    </w:p>
    <w:p>
      <w:pPr/>
      <w:r>
        <w:t>Sections 10–12 for Codex Upload</w:t>
      </w:r>
    </w:p>
    <w:p>
      <w:pPr/>
      <w:r>
        <w:t>—</w:t>
      </w:r>
    </w:p>
    <w:p>
      <w:pPr/>
      <w:r>
        <w:t>This working document converts the approved homepage outline into a build-ready structure for the final three homepage sections. These sections should reduce commercial uncertainty, make the lead step feel easy and credible, and close the homepage with a calm, serious call to action rather than aggressive sales pressure.</w:t>
      </w:r>
    </w:p>
    <w:p>
      <w:pPr/>
      <w:r>
        <w:t>The tone should remain practical and controlled. Pricing should be transparent without pretending every case is identical. The consultation form should feel simple enough to complete quickly. The final CTA should bring the page to a clear close without introducing new complexity.</w:t>
      </w:r>
    </w:p>
    <w:p>
      <w:pPr>
        <w:pStyle w:val="Heading1"/>
      </w:pPr>
      <w:r>
        <w:t>10. How Our Fees Work</w:t>
      </w:r>
    </w:p>
    <w:p>
      <w:pPr>
        <w:pStyle w:val="Heading2"/>
      </w:pPr>
      <w:r>
        <w:t>Recommended section intro</w:t>
      </w:r>
    </w:p>
    <w:p>
      <w:pPr/>
      <w:r>
        <w:t>Intro line: Sahirasta’s fee model should feel commercially clear without pretending that every case takes the same effort. In most cases, fees will be around 10% of the value recovered, but the final fee should be shared after understanding the documents, complexity, and likely execution route.</w:t>
      </w:r>
    </w:p>
    <w:p>
      <w:pPr>
        <w:pStyle w:val="Heading2"/>
      </w:pPr>
      <w:r>
        <w:t>Recommended pricing points</w:t>
      </w:r>
    </w:p>
    <w:p>
      <w:pPr>
        <w:pStyle w:val="ListBullet"/>
      </w:pPr>
      <w:r>
        <w:t>Fees are generally around 10% of the value recovered.</w:t>
      </w:r>
    </w:p>
    <w:p>
      <w:pPr>
        <w:pStyle w:val="ListBullet"/>
      </w:pPr>
      <w:r>
        <w:t>The final fee may be higher or lower depending on documentation gaps, succession complexity, multiple institutions involved, legacy record issues, or extra execution effort.</w:t>
      </w:r>
    </w:p>
    <w:p>
      <w:pPr>
        <w:pStyle w:val="ListBullet"/>
      </w:pPr>
      <w:r>
        <w:t>The final commercial proposal is shared after a preliminary review of the case.</w:t>
      </w:r>
    </w:p>
    <w:p>
      <w:pPr>
        <w:pStyle w:val="ListBullet"/>
      </w:pPr>
      <w:r>
        <w:t>The pricing section should signal seriousness and transparency, not bargain-basement marketing.</w:t>
      </w:r>
    </w:p>
    <w:p>
      <w:pPr>
        <w:pStyle w:val="ListBullet"/>
      </w:pPr>
      <w:r>
        <w:t>If any third-party costs, stamp-paper costs, notarisation costs, courier charges, or statutory charges may arise, mention that these are separate where applicable and will be clarified during review.</w:t>
      </w:r>
    </w:p>
    <w:p>
      <w:pPr>
        <w:pStyle w:val="Heading2"/>
      </w:pPr>
      <w:r>
        <w:t>Recommended support line</w:t>
      </w:r>
    </w:p>
    <w:p>
      <w:pPr/>
      <w:r>
        <w:t>Support line: The goal is simple — a pricing structure that feels fair, understandable, and aligned with the work actually required in your case.</w:t>
      </w:r>
    </w:p>
    <w:p>
      <w:pPr>
        <w:pStyle w:val="Heading2"/>
      </w:pPr>
      <w:r>
        <w:t>Content notes for implementation</w:t>
      </w:r>
    </w:p>
    <w:p>
      <w:pPr>
        <w:pStyle w:val="ListBullet"/>
      </w:pPr>
      <w:r>
        <w:t>Keep this section short on the homepage. It is a pricing preview, not the full pricing page.</w:t>
      </w:r>
    </w:p>
    <w:p>
      <w:pPr>
        <w:pStyle w:val="ListBullet"/>
      </w:pPr>
      <w:r>
        <w:t>Avoid rigid package-style pricing on the homepage unless the service truly supports it.</w:t>
      </w:r>
    </w:p>
    <w:p>
      <w:pPr>
        <w:pStyle w:val="ListBullet"/>
      </w:pPr>
      <w:r>
        <w:t>Do not hide behind vague phrases like “custom solutions” without explaining the pricing logic.</w:t>
      </w:r>
    </w:p>
    <w:p>
      <w:pPr>
        <w:pStyle w:val="ListBullet"/>
      </w:pPr>
      <w:r>
        <w:t>Link this section clearly to the dedicated Pricing page.</w:t>
      </w:r>
    </w:p>
    <w:p>
      <w:pPr>
        <w:pStyle w:val="Heading1"/>
      </w:pPr>
      <w:r>
        <w:t>11. Request a Free Consultation</w:t>
      </w:r>
    </w:p>
    <w:p>
      <w:pPr>
        <w:pStyle w:val="Heading2"/>
      </w:pPr>
      <w:r>
        <w:t>Recommended section intro</w:t>
      </w:r>
    </w:p>
    <w:p>
      <w:pPr/>
      <w:r>
        <w:t>Intro line: The homepage form should convert interest into action without overwhelming the visitor. The goal is to make the first step feel manageable, especially for people who are already confused, anxious, or unsure whether their case is worth pursuing.</w:t>
      </w:r>
    </w:p>
    <w:p>
      <w:pPr>
        <w:pStyle w:val="Heading2"/>
      </w:pPr>
      <w:r>
        <w:t>Recommended form fields</w:t>
      </w:r>
    </w:p>
    <w:p>
      <w:pPr>
        <w:pStyle w:val="ListBullet"/>
      </w:pPr>
      <w:r>
        <w:t>Full name</w:t>
      </w:r>
    </w:p>
    <w:p>
      <w:pPr>
        <w:pStyle w:val="ListBullet"/>
      </w:pPr>
      <w:r>
        <w:t>Phone number and/or email address</w:t>
      </w:r>
    </w:p>
    <w:p>
      <w:pPr>
        <w:pStyle w:val="ListBullet"/>
      </w:pPr>
      <w:r>
        <w:t>Resident Indian or NRI</w:t>
      </w:r>
    </w:p>
    <w:p>
      <w:pPr>
        <w:pStyle w:val="ListBullet"/>
      </w:pPr>
      <w:r>
        <w:t>Type of issue (for example: IEPF, shares, insurance, PF, mutual funds, bank deposits, legal heir case, document issue)</w:t>
      </w:r>
    </w:p>
    <w:p>
      <w:pPr>
        <w:pStyle w:val="ListBullet"/>
      </w:pPr>
      <w:r>
        <w:t>Short description of the problem</w:t>
      </w:r>
    </w:p>
    <w:p>
      <w:pPr>
        <w:pStyle w:val="ListBullet"/>
      </w:pPr>
      <w:r>
        <w:t>Optional note that detailed document sharing can happen after initial contact, rather than forcing uploads in the first step</w:t>
      </w:r>
    </w:p>
    <w:p>
      <w:pPr>
        <w:pStyle w:val="Heading2"/>
      </w:pPr>
      <w:r>
        <w:t>Recommended support line</w:t>
      </w:r>
    </w:p>
    <w:p>
      <w:pPr/>
      <w:r>
        <w:t>Support line: You do not need to fully understand the category before reaching out. If you have old documents, partial records, or only a rough idea of the problem, Sahirasta can help identify the likely route.</w:t>
      </w:r>
    </w:p>
    <w:p>
      <w:pPr>
        <w:pStyle w:val="Heading2"/>
      </w:pPr>
      <w:r>
        <w:t>Content notes for implementation</w:t>
      </w:r>
    </w:p>
    <w:p>
      <w:pPr>
        <w:pStyle w:val="ListBullet"/>
      </w:pPr>
      <w:r>
        <w:t>Keep the form short. Long forms kill conversions.</w:t>
      </w:r>
    </w:p>
    <w:p>
      <w:pPr>
        <w:pStyle w:val="ListBullet"/>
      </w:pPr>
      <w:r>
        <w:t>Do not ask for too many mandatory fields on the homepage.</w:t>
      </w:r>
    </w:p>
    <w:p>
      <w:pPr>
        <w:pStyle w:val="ListBullet"/>
      </w:pPr>
      <w:r>
        <w:t>Add a confidentiality note near the form so visitors feel safer sharing sensitive financial issues.</w:t>
      </w:r>
    </w:p>
    <w:p>
      <w:pPr>
        <w:pStyle w:val="ListBullet"/>
      </w:pPr>
      <w:r>
        <w:t>Use one clear submit label such as “Request a Free Consultation” or “Request a Case Review”. Avoid generic “Submit”.</w:t>
      </w:r>
    </w:p>
    <w:p>
      <w:pPr>
        <w:pStyle w:val="ListBullet"/>
      </w:pPr>
      <w:r>
        <w:t>A more detailed intake form can live on the Contact page later. The homepage form should remain simple.</w:t>
      </w:r>
    </w:p>
    <w:p>
      <w:pPr>
        <w:pStyle w:val="Heading1"/>
      </w:pPr>
      <w:r>
        <w:t>12. Final CTA</w:t>
      </w:r>
    </w:p>
    <w:p>
      <w:pPr>
        <w:pStyle w:val="Heading2"/>
      </w:pPr>
      <w:r>
        <w:t>Recommended section intro</w:t>
      </w:r>
    </w:p>
    <w:p>
      <w:pPr/>
      <w:r>
        <w:t>Intro line: The final section should close the homepage with clarity and confidence. By this point, the visitor should already understand what Sahirasta does, whether their case may fit, how the process works, and how fees are broadly handled. The final CTA should simply invite the next step.</w:t>
      </w:r>
    </w:p>
    <w:p>
      <w:pPr>
        <w:pStyle w:val="Heading2"/>
      </w:pPr>
      <w:r>
        <w:t>Recommended CTA copy directions</w:t>
      </w:r>
    </w:p>
    <w:p>
      <w:pPr>
        <w:pStyle w:val="ListBullet"/>
      </w:pPr>
      <w:r>
        <w:t>Primary line: Have a stuck financial claim? Let’s review it.</w:t>
      </w:r>
    </w:p>
    <w:p>
      <w:pPr>
        <w:pStyle w:val="ListBullet"/>
      </w:pPr>
      <w:r>
        <w:t>Support line option 1: You do not need a perfect file to begin. Many valid cases start with incomplete records, old papers, or unanswered questions.</w:t>
      </w:r>
    </w:p>
    <w:p>
      <w:pPr>
        <w:pStyle w:val="ListBullet"/>
      </w:pPr>
      <w:r>
        <w:t>Support line option 2: If your money, shares, policy, PF, or deposit is stuck, Sahirasta can help you understand the likely path forward.</w:t>
      </w:r>
    </w:p>
    <w:p>
      <w:pPr>
        <w:pStyle w:val="ListBullet"/>
      </w:pPr>
      <w:r>
        <w:t>Primary button: Request a Free Consultation</w:t>
      </w:r>
    </w:p>
    <w:p>
      <w:pPr>
        <w:pStyle w:val="ListBullet"/>
      </w:pPr>
      <w:r>
        <w:t>Secondary button (optional): Explore Services</w:t>
      </w:r>
    </w:p>
    <w:p>
      <w:pPr>
        <w:pStyle w:val="Heading2"/>
      </w:pPr>
      <w:r>
        <w:t>Content notes for implementation</w:t>
      </w:r>
    </w:p>
    <w:p>
      <w:pPr>
        <w:pStyle w:val="ListBullet"/>
      </w:pPr>
      <w:r>
        <w:t>Do not introduce new services or explanations here. The final CTA should close, not restart the homepage.</w:t>
      </w:r>
    </w:p>
    <w:p>
      <w:pPr>
        <w:pStyle w:val="ListBullet"/>
      </w:pPr>
      <w:r>
        <w:t>Keep the design calm and uncluttered. This section should feel like a decisive closing step.</w:t>
      </w:r>
    </w:p>
    <w:p>
      <w:pPr>
        <w:pStyle w:val="ListBullet"/>
      </w:pPr>
      <w:r>
        <w:t>Avoid manipulative urgency language such as “Act now before it is too late” unless there is a real reason to say it.</w:t>
      </w:r>
    </w:p>
    <w:p>
      <w:pPr>
        <w:pStyle w:val="ListBullet"/>
      </w:pPr>
      <w:r>
        <w:t>This section should work well on mobile, where it may be one of the last things a visitor sees before deciding whether to enquire.</w:t>
      </w:r>
    </w:p>
    <w:p>
      <w:pPr>
        <w:pStyle w:val="Heading1"/>
      </w:pPr>
      <w:r>
        <w:t>Homepage draft status</w:t>
      </w:r>
    </w:p>
    <w:p>
      <w:pPr>
        <w:pStyle w:val="ListBullet"/>
      </w:pPr>
      <w:r>
        <w:t>Sections 1–12 are now covered in homepage-draft format for later Google Docs use and Codex implementation.</w:t>
      </w:r>
    </w:p>
    <w:p>
      <w:pPr>
        <w:pStyle w:val="ListBullet"/>
      </w:pPr>
      <w:r>
        <w:t>Before final website implementation, Section 3 numbers should still be verified against current public or official sources.</w:t>
      </w:r>
    </w:p>
    <w:p>
      <w:pPr>
        <w:pStyle w:val="ListBullet"/>
      </w:pPr>
      <w:r>
        <w:t>Testimonials in Section 9 should be replaced with real testimonials or reframed as anonymised case stories before publication.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