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Sahirasta Service Hub Structure</w:t>
      </w:r>
    </w:p>
    <w:p>
      <w:pPr>
        <w:pStyle w:val="Subtitle"/>
        <w:jc w:val="center"/>
      </w:pPr>
      <w:r>
        <w:t>Working Structure Document • Batch A (Sections 1–3)</w:t>
      </w:r>
    </w:p>
    <w:p>
      <w:r>
        <w:t>This document defines the structural framework for the Service Hub page. It is intended to be updated batch by batch in the same file as the page architecture is finalized.</w:t>
      </w:r>
    </w:p>
    <w:tbl>
      <w:tblPr>
        <w:tblStyle w:val="TableGrid"/>
        <w:tblW w:type="auto" w:w="0"/>
        <w:jc w:val="center"/>
        <w:tblLook w:firstColumn="1" w:firstRow="1" w:lastColumn="0" w:lastRow="0" w:noHBand="0" w:noVBand="1" w:val="04A0"/>
      </w:tblPr>
      <w:tblGrid>
        <w:gridCol w:w="2592"/>
        <w:gridCol w:w="7056"/>
      </w:tblGrid>
      <w:tr>
        <w:tc>
          <w:tcPr>
            <w:tcW w:type="dxa" w:w="4968"/>
            <w:vAlign w:val="center"/>
            <w:tcMar>
              <w:top w:w="100" w:type="dxa"/>
              <w:start w:w="120" w:type="dxa"/>
              <w:bottom w:w="100" w:type="dxa"/>
              <w:end w:w="120" w:type="dxa"/>
            </w:tcMar>
            <w:shd w:fill="DCE6F1"/>
          </w:tcPr>
          <w:p>
            <w:r>
              <w:rPr>
                <w:b/>
              </w:rPr>
              <w:t>Page role</w:t>
            </w:r>
          </w:p>
        </w:tc>
        <w:tc>
          <w:tcPr>
            <w:tcW w:type="dxa" w:w="4968"/>
            <w:vAlign w:val="center"/>
            <w:tcMar>
              <w:top w:w="100" w:type="dxa"/>
              <w:start w:w="120" w:type="dxa"/>
              <w:bottom w:w="100" w:type="dxa"/>
              <w:end w:w="120" w:type="dxa"/>
            </w:tcMar>
          </w:tcPr>
          <w:p>
            <w:r>
              <w:t>A decision page that helps visitors understand the service universe, identify the right category quickly, and move to the correct detailed service page.</w:t>
            </w:r>
          </w:p>
        </w:tc>
      </w:tr>
      <w:tr>
        <w:tc>
          <w:tcPr>
            <w:tcW w:type="dxa" w:w="4968"/>
            <w:vAlign w:val="center"/>
            <w:tcMar>
              <w:top w:w="100" w:type="dxa"/>
              <w:start w:w="120" w:type="dxa"/>
              <w:bottom w:w="100" w:type="dxa"/>
              <w:end w:w="120" w:type="dxa"/>
            </w:tcMar>
            <w:shd w:fill="DCE6F1"/>
          </w:tcPr>
          <w:p>
            <w:r>
              <w:rPr>
                <w:b/>
              </w:rPr>
              <w:t>Batch covered</w:t>
            </w:r>
          </w:p>
        </w:tc>
        <w:tc>
          <w:tcPr>
            <w:tcW w:type="dxa" w:w="4968"/>
            <w:vAlign w:val="center"/>
            <w:tcMar>
              <w:top w:w="100" w:type="dxa"/>
              <w:start w:w="120" w:type="dxa"/>
              <w:bottom w:w="100" w:type="dxa"/>
              <w:end w:w="120" w:type="dxa"/>
            </w:tcMar>
          </w:tcPr>
          <w:p>
            <w:r>
              <w:t>Batch A — Sections 1 to 3: Hero, How to Use This Page, and Find the Right Service.</w:t>
            </w:r>
          </w:p>
        </w:tc>
      </w:tr>
      <w:tr>
        <w:tc>
          <w:tcPr>
            <w:tcW w:type="dxa" w:w="4968"/>
            <w:vAlign w:val="center"/>
            <w:tcMar>
              <w:top w:w="100" w:type="dxa"/>
              <w:start w:w="120" w:type="dxa"/>
              <w:bottom w:w="100" w:type="dxa"/>
              <w:end w:w="120" w:type="dxa"/>
            </w:tcMar>
            <w:shd w:fill="DCE6F1"/>
          </w:tcPr>
          <w:p>
            <w:r>
              <w:rPr>
                <w:b/>
              </w:rPr>
              <w:t>What this page is not</w:t>
            </w:r>
          </w:p>
        </w:tc>
        <w:tc>
          <w:tcPr>
            <w:tcW w:type="dxa" w:w="4968"/>
            <w:vAlign w:val="center"/>
            <w:tcMar>
              <w:top w:w="100" w:type="dxa"/>
              <w:start w:w="120" w:type="dxa"/>
              <w:bottom w:w="100" w:type="dxa"/>
              <w:end w:w="120" w:type="dxa"/>
            </w:tcMar>
          </w:tcPr>
          <w:p>
            <w:r>
              <w:t>It is not the place to explain every service in full detail. Full explanation belongs on the individual service pages.</w:t>
            </w:r>
          </w:p>
        </w:tc>
      </w:tr>
    </w:tbl>
    <w:p/>
    <w:p>
      <w:pPr>
        <w:pStyle w:val="Heading1"/>
      </w:pPr>
      <w:r>
        <w:t>Section 1: Hero</w:t>
      </w:r>
    </w:p>
    <w:p>
      <w:r>
        <w:rPr>
          <w:b/>
        </w:rPr>
        <w:t xml:space="preserve">Purpose: </w:t>
      </w:r>
      <w:r>
        <w:t>Establish instantly what the Service Hub page is for, who it serves, and what kinds of problems Sahirasta handles.</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Mar>
              <w:top w:w="120" w:type="dxa"/>
              <w:start w:w="120" w:type="dxa"/>
              <w:bottom w:w="120" w:type="dxa"/>
              <w:end w:w="120" w:type="dxa"/>
            </w:tcMar>
          </w:tcPr>
          <w:p>
            <w:r>
              <w:rPr>
                <w:b/>
                <w:color w:val="FFFFFF"/>
              </w:rPr>
              <w:t>Structural component</w:t>
            </w:r>
          </w:p>
        </w:tc>
        <w:tc>
          <w:tcPr>
            <w:tcW w:type="dxa" w:w="4968"/>
            <w:shd w:fill="1F4E78"/>
            <w:vAlign w:val="center"/>
            <w:tcMar>
              <w:top w:w="120" w:type="dxa"/>
              <w:start w:w="120" w:type="dxa"/>
              <w:bottom w:w="120" w:type="dxa"/>
              <w:end w:w="120" w:type="dxa"/>
            </w:tcMar>
          </w:tcPr>
          <w:p>
            <w:r>
              <w:rPr>
                <w:b/>
                <w:color w:val="FFFFFF"/>
              </w:rPr>
              <w:t>What it should do</w:t>
            </w:r>
          </w:p>
        </w:tc>
      </w:tr>
      <w:tr>
        <w:tc>
          <w:tcPr>
            <w:tcW w:type="dxa" w:w="4968"/>
            <w:tcMar>
              <w:top w:w="100" w:type="dxa"/>
              <w:start w:w="120" w:type="dxa"/>
              <w:bottom w:w="100" w:type="dxa"/>
              <w:end w:w="120" w:type="dxa"/>
            </w:tcMar>
            <w:vAlign w:val="center"/>
            <w:shd w:fill="DCE6F1"/>
          </w:tcPr>
          <w:p>
            <w:r>
              <w:t>Component 1</w:t>
            </w:r>
          </w:p>
        </w:tc>
        <w:tc>
          <w:tcPr>
            <w:tcW w:type="dxa" w:w="4968"/>
            <w:tcMar>
              <w:top w:w="100" w:type="dxa"/>
              <w:start w:w="120" w:type="dxa"/>
              <w:bottom w:w="100" w:type="dxa"/>
              <w:end w:w="120" w:type="dxa"/>
            </w:tcMar>
            <w:vAlign w:val="center"/>
          </w:tcPr>
          <w:p>
            <w:r>
              <w:t>Main headline that frames the page as a service overview and decision point.</w:t>
            </w:r>
          </w:p>
        </w:tc>
      </w:tr>
      <w:tr>
        <w:tc>
          <w:tcPr>
            <w:tcW w:type="dxa" w:w="4968"/>
            <w:tcMar>
              <w:top w:w="100" w:type="dxa"/>
              <w:start w:w="120" w:type="dxa"/>
              <w:bottom w:w="100" w:type="dxa"/>
              <w:end w:w="120" w:type="dxa"/>
            </w:tcMar>
            <w:vAlign w:val="center"/>
            <w:shd w:fill="DCE6F1"/>
          </w:tcPr>
          <w:p>
            <w:r>
              <w:t>Component 2</w:t>
            </w:r>
          </w:p>
        </w:tc>
        <w:tc>
          <w:tcPr>
            <w:tcW w:type="dxa" w:w="4968"/>
            <w:tcMar>
              <w:top w:w="100" w:type="dxa"/>
              <w:start w:w="120" w:type="dxa"/>
              <w:bottom w:w="100" w:type="dxa"/>
              <w:end w:w="120" w:type="dxa"/>
            </w:tcMar>
            <w:vAlign w:val="center"/>
          </w:tcPr>
          <w:p>
            <w:r>
              <w:t>Short support line covering the main categories: shares, insurance, provident fund, mutual funds, and dormant bank deposits.</w:t>
            </w:r>
          </w:p>
        </w:tc>
      </w:tr>
      <w:tr>
        <w:tc>
          <w:tcPr>
            <w:tcW w:type="dxa" w:w="4968"/>
            <w:tcMar>
              <w:top w:w="100" w:type="dxa"/>
              <w:start w:w="120" w:type="dxa"/>
              <w:bottom w:w="100" w:type="dxa"/>
              <w:end w:w="120" w:type="dxa"/>
            </w:tcMar>
            <w:vAlign w:val="center"/>
            <w:shd w:fill="DCE6F1"/>
          </w:tcPr>
          <w:p>
            <w:r>
              <w:t>Component 3</w:t>
            </w:r>
          </w:p>
        </w:tc>
        <w:tc>
          <w:tcPr>
            <w:tcW w:type="dxa" w:w="4968"/>
            <w:tcMar>
              <w:top w:w="100" w:type="dxa"/>
              <w:start w:w="120" w:type="dxa"/>
              <w:bottom w:w="100" w:type="dxa"/>
              <w:end w:w="120" w:type="dxa"/>
            </w:tcMar>
            <w:vAlign w:val="center"/>
          </w:tcPr>
          <w:p>
            <w:r>
              <w:t>Primary CTA to request a consultation or case review.</w:t>
            </w:r>
          </w:p>
        </w:tc>
      </w:tr>
      <w:tr>
        <w:tc>
          <w:tcPr>
            <w:tcW w:type="dxa" w:w="4968"/>
            <w:tcMar>
              <w:top w:w="100" w:type="dxa"/>
              <w:start w:w="120" w:type="dxa"/>
              <w:bottom w:w="100" w:type="dxa"/>
              <w:end w:w="120" w:type="dxa"/>
            </w:tcMar>
            <w:vAlign w:val="center"/>
            <w:shd w:fill="DCE6F1"/>
          </w:tcPr>
          <w:p>
            <w:r>
              <w:t>Component 4</w:t>
            </w:r>
          </w:p>
        </w:tc>
        <w:tc>
          <w:tcPr>
            <w:tcW w:type="dxa" w:w="4968"/>
            <w:tcMar>
              <w:top w:w="100" w:type="dxa"/>
              <w:start w:w="120" w:type="dxa"/>
              <w:bottom w:w="100" w:type="dxa"/>
              <w:end w:w="120" w:type="dxa"/>
            </w:tcMar>
            <w:vAlign w:val="center"/>
          </w:tcPr>
          <w:p>
            <w:r>
              <w:t>Secondary CTA to move directly into the service categories lower on the page.</w:t>
            </w:r>
          </w:p>
        </w:tc>
      </w:tr>
    </w:tbl>
    <w:p/>
    <w:p>
      <w:r>
        <w:rPr>
          <w:b/>
        </w:rPr>
        <w:t>Content goals</w:t>
      </w:r>
    </w:p>
    <w:p>
      <w:pPr>
        <w:pStyle w:val="ListBullet"/>
        <w:spacing w:after="0"/>
      </w:pPr>
      <w:r>
        <w:t>This section should reassure both people who know their issue and people who only know that some money or entitlement is stuck.</w:t>
      </w:r>
    </w:p>
    <w:p>
      <w:pPr>
        <w:pStyle w:val="ListBullet"/>
        <w:spacing w:after="0"/>
      </w:pPr>
      <w:r>
        <w:t>Tone should be clear and direct. No marketing fog such as 'comprehensive financial solutions.'</w:t>
      </w:r>
    </w:p>
    <w:p>
      <w:pPr>
        <w:pStyle w:val="ListBullet"/>
        <w:spacing w:after="0"/>
      </w:pPr>
      <w:r>
        <w:t>The hero should be shorter than the homepage hero because this page exists to route visitors, not re-explain the entire business.</w:t>
      </w:r>
    </w:p>
    <w:p>
      <w:r>
        <w:rPr>
          <w:b/>
        </w:rPr>
        <w:t xml:space="preserve">Codex / implementation note: </w:t>
      </w:r>
      <w:r>
        <w:t>The hero should answer three questions within seconds: What does this page contain? Does my issue belong here? What should I do next?</w:t>
      </w:r>
    </w:p>
    <w:p/>
    <w:p>
      <w:pPr>
        <w:pStyle w:val="Heading1"/>
      </w:pPr>
      <w:r>
        <w:t>Section 2: How to Use This Page</w:t>
      </w:r>
    </w:p>
    <w:p>
      <w:r>
        <w:rPr>
          <w:b/>
        </w:rPr>
        <w:t xml:space="preserve">Purpose: </w:t>
      </w:r>
      <w:r>
        <w:t>Orient the visitor so the page feels easy to navigate instead of overwhelming.</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Mar>
              <w:top w:w="120" w:type="dxa"/>
              <w:start w:w="120" w:type="dxa"/>
              <w:bottom w:w="120" w:type="dxa"/>
              <w:end w:w="120" w:type="dxa"/>
            </w:tcMar>
          </w:tcPr>
          <w:p>
            <w:r>
              <w:rPr>
                <w:b/>
                <w:color w:val="FFFFFF"/>
              </w:rPr>
              <w:t>Structural component</w:t>
            </w:r>
          </w:p>
        </w:tc>
        <w:tc>
          <w:tcPr>
            <w:tcW w:type="dxa" w:w="4968"/>
            <w:shd w:fill="1F4E78"/>
            <w:vAlign w:val="center"/>
            <w:tcMar>
              <w:top w:w="120" w:type="dxa"/>
              <w:start w:w="120" w:type="dxa"/>
              <w:bottom w:w="120" w:type="dxa"/>
              <w:end w:w="120" w:type="dxa"/>
            </w:tcMar>
          </w:tcPr>
          <w:p>
            <w:r>
              <w:rPr>
                <w:b/>
                <w:color w:val="FFFFFF"/>
              </w:rPr>
              <w:t>What it should do</w:t>
            </w:r>
          </w:p>
        </w:tc>
      </w:tr>
      <w:tr>
        <w:tc>
          <w:tcPr>
            <w:tcW w:type="dxa" w:w="4968"/>
            <w:tcMar>
              <w:top w:w="100" w:type="dxa"/>
              <w:start w:w="120" w:type="dxa"/>
              <w:bottom w:w="100" w:type="dxa"/>
              <w:end w:w="120" w:type="dxa"/>
            </w:tcMar>
            <w:vAlign w:val="center"/>
            <w:shd w:fill="DCE6F1"/>
          </w:tcPr>
          <w:p>
            <w:r>
              <w:t>Component 1</w:t>
            </w:r>
          </w:p>
        </w:tc>
        <w:tc>
          <w:tcPr>
            <w:tcW w:type="dxa" w:w="4968"/>
            <w:tcMar>
              <w:top w:w="100" w:type="dxa"/>
              <w:start w:w="120" w:type="dxa"/>
              <w:bottom w:w="100" w:type="dxa"/>
              <w:end w:w="120" w:type="dxa"/>
            </w:tcMar>
            <w:vAlign w:val="center"/>
          </w:tcPr>
          <w:p>
            <w:r>
              <w:t>Brief introductory paragraph explaining that services are grouped by problem type.</w:t>
            </w:r>
          </w:p>
        </w:tc>
      </w:tr>
      <w:tr>
        <w:tc>
          <w:tcPr>
            <w:tcW w:type="dxa" w:w="4968"/>
            <w:tcMar>
              <w:top w:w="100" w:type="dxa"/>
              <w:start w:w="120" w:type="dxa"/>
              <w:bottom w:w="100" w:type="dxa"/>
              <w:end w:w="120" w:type="dxa"/>
            </w:tcMar>
            <w:vAlign w:val="center"/>
            <w:shd w:fill="DCE6F1"/>
          </w:tcPr>
          <w:p>
            <w:r>
              <w:t>Component 2</w:t>
            </w:r>
          </w:p>
        </w:tc>
        <w:tc>
          <w:tcPr>
            <w:tcW w:type="dxa" w:w="4968"/>
            <w:tcMar>
              <w:top w:w="100" w:type="dxa"/>
              <w:start w:w="120" w:type="dxa"/>
              <w:bottom w:w="100" w:type="dxa"/>
              <w:end w:w="120" w:type="dxa"/>
            </w:tcMar>
            <w:vAlign w:val="center"/>
          </w:tcPr>
          <w:p>
            <w:r>
              <w:t>One simple line telling users to start with the category closest to their issue.</w:t>
            </w:r>
          </w:p>
        </w:tc>
      </w:tr>
      <w:tr>
        <w:tc>
          <w:tcPr>
            <w:tcW w:type="dxa" w:w="4968"/>
            <w:tcMar>
              <w:top w:w="100" w:type="dxa"/>
              <w:start w:w="120" w:type="dxa"/>
              <w:bottom w:w="100" w:type="dxa"/>
              <w:end w:w="120" w:type="dxa"/>
            </w:tcMar>
            <w:vAlign w:val="center"/>
            <w:shd w:fill="DCE6F1"/>
          </w:tcPr>
          <w:p>
            <w:r>
              <w:t>Component 3</w:t>
            </w:r>
          </w:p>
        </w:tc>
        <w:tc>
          <w:tcPr>
            <w:tcW w:type="dxa" w:w="4968"/>
            <w:tcMar>
              <w:top w:w="100" w:type="dxa"/>
              <w:start w:w="120" w:type="dxa"/>
              <w:bottom w:w="100" w:type="dxa"/>
              <w:end w:w="120" w:type="dxa"/>
            </w:tcMar>
            <w:vAlign w:val="center"/>
          </w:tcPr>
          <w:p>
            <w:r>
              <w:t>A reassurance note for people who are unsure, missing documents, or handling a family member's claim.</w:t>
            </w:r>
          </w:p>
        </w:tc>
      </w:tr>
    </w:tbl>
    <w:p/>
    <w:p>
      <w:r>
        <w:rPr>
          <w:b/>
        </w:rPr>
        <w:t>Content goals</w:t>
      </w:r>
    </w:p>
    <w:p>
      <w:pPr>
        <w:pStyle w:val="ListBullet"/>
        <w:spacing w:after="0"/>
      </w:pPr>
      <w:r>
        <w:t>Keep this section short. It is guidance, not prose.</w:t>
      </w:r>
    </w:p>
    <w:p>
      <w:pPr>
        <w:pStyle w:val="ListBullet"/>
        <w:spacing w:after="0"/>
      </w:pPr>
      <w:r>
        <w:t>The language should remove hesitation: users do not need perfect terminology before proceeding.</w:t>
      </w:r>
    </w:p>
    <w:p>
      <w:pPr>
        <w:pStyle w:val="ListBullet"/>
        <w:spacing w:after="0"/>
      </w:pPr>
      <w:r>
        <w:t>This section should reduce bounce from visitors who feel the problem may be too messy or too technical.</w:t>
      </w:r>
    </w:p>
    <w:p>
      <w:r>
        <w:rPr>
          <w:b/>
        </w:rPr>
        <w:t xml:space="preserve">Codex / implementation note: </w:t>
      </w:r>
      <w:r>
        <w:t>Think of this as the page's orientation strip. Its job is to lower cognitive load before the category blocks begin.</w:t>
      </w:r>
    </w:p>
    <w:p/>
    <w:p>
      <w:pPr>
        <w:pStyle w:val="Heading1"/>
      </w:pPr>
      <w:r>
        <w:t>Section 3: Find the Right Service</w:t>
      </w:r>
    </w:p>
    <w:p>
      <w:r>
        <w:rPr>
          <w:b/>
        </w:rPr>
        <w:t xml:space="preserve">Purpose: </w:t>
      </w:r>
      <w:r>
        <w:t>Help confused users choose the correct path without pretending the site has a full search engine or automated diagnosis tool.</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Mar>
              <w:top w:w="120" w:type="dxa"/>
              <w:start w:w="120" w:type="dxa"/>
              <w:bottom w:w="120" w:type="dxa"/>
              <w:end w:w="120" w:type="dxa"/>
            </w:tcMar>
          </w:tcPr>
          <w:p>
            <w:r>
              <w:rPr>
                <w:b/>
                <w:color w:val="FFFFFF"/>
              </w:rPr>
              <w:t>Structural component</w:t>
            </w:r>
          </w:p>
        </w:tc>
        <w:tc>
          <w:tcPr>
            <w:tcW w:type="dxa" w:w="4968"/>
            <w:shd w:fill="1F4E78"/>
            <w:vAlign w:val="center"/>
            <w:tcMar>
              <w:top w:w="120" w:type="dxa"/>
              <w:start w:w="120" w:type="dxa"/>
              <w:bottom w:w="120" w:type="dxa"/>
              <w:end w:w="120" w:type="dxa"/>
            </w:tcMar>
          </w:tcPr>
          <w:p>
            <w:r>
              <w:rPr>
                <w:b/>
                <w:color w:val="FFFFFF"/>
              </w:rPr>
              <w:t>What it should do</w:t>
            </w:r>
          </w:p>
        </w:tc>
      </w:tr>
      <w:tr>
        <w:tc>
          <w:tcPr>
            <w:tcW w:type="dxa" w:w="4968"/>
            <w:tcMar>
              <w:top w:w="100" w:type="dxa"/>
              <w:start w:w="120" w:type="dxa"/>
              <w:bottom w:w="100" w:type="dxa"/>
              <w:end w:w="120" w:type="dxa"/>
            </w:tcMar>
            <w:vAlign w:val="center"/>
            <w:shd w:fill="DCE6F1"/>
          </w:tcPr>
          <w:p>
            <w:r>
              <w:t>Component 1</w:t>
            </w:r>
          </w:p>
        </w:tc>
        <w:tc>
          <w:tcPr>
            <w:tcW w:type="dxa" w:w="4968"/>
            <w:tcMar>
              <w:top w:w="100" w:type="dxa"/>
              <w:start w:w="120" w:type="dxa"/>
              <w:bottom w:w="100" w:type="dxa"/>
              <w:end w:w="120" w:type="dxa"/>
            </w:tcMar>
            <w:vAlign w:val="center"/>
          </w:tcPr>
          <w:p>
            <w:r>
              <w:t>A short heading and one-sentence explanation that users can identify the right route by describing the problem in plain language.</w:t>
            </w:r>
          </w:p>
        </w:tc>
      </w:tr>
      <w:tr>
        <w:tc>
          <w:tcPr>
            <w:tcW w:type="dxa" w:w="4968"/>
            <w:tcMar>
              <w:top w:w="100" w:type="dxa"/>
              <w:start w:w="120" w:type="dxa"/>
              <w:bottom w:w="100" w:type="dxa"/>
              <w:end w:w="120" w:type="dxa"/>
            </w:tcMar>
            <w:vAlign w:val="center"/>
            <w:shd w:fill="DCE6F1"/>
          </w:tcPr>
          <w:p>
            <w:r>
              <w:t>Component 2</w:t>
            </w:r>
          </w:p>
        </w:tc>
        <w:tc>
          <w:tcPr>
            <w:tcW w:type="dxa" w:w="4968"/>
            <w:tcMar>
              <w:top w:w="100" w:type="dxa"/>
              <w:start w:w="120" w:type="dxa"/>
              <w:bottom w:w="100" w:type="dxa"/>
              <w:end w:w="120" w:type="dxa"/>
            </w:tcMar>
            <w:vAlign w:val="center"/>
          </w:tcPr>
          <w:p>
            <w:r>
              <w:t>Three guided paths or cards, such as: 'I know my issue,' 'I think funds may be unclaimed,' and 'I am not sure where to start.'</w:t>
            </w:r>
          </w:p>
        </w:tc>
      </w:tr>
      <w:tr>
        <w:tc>
          <w:tcPr>
            <w:tcW w:type="dxa" w:w="4968"/>
            <w:tcMar>
              <w:top w:w="100" w:type="dxa"/>
              <w:start w:w="120" w:type="dxa"/>
              <w:bottom w:w="100" w:type="dxa"/>
              <w:end w:w="120" w:type="dxa"/>
            </w:tcMar>
            <w:vAlign w:val="center"/>
            <w:shd w:fill="DCE6F1"/>
          </w:tcPr>
          <w:p>
            <w:r>
              <w:t>Component 3</w:t>
            </w:r>
          </w:p>
        </w:tc>
        <w:tc>
          <w:tcPr>
            <w:tcW w:type="dxa" w:w="4968"/>
            <w:tcMar>
              <w:top w:w="100" w:type="dxa"/>
              <w:start w:w="120" w:type="dxa"/>
              <w:bottom w:w="100" w:type="dxa"/>
              <w:end w:w="120" w:type="dxa"/>
            </w:tcMar>
            <w:vAlign w:val="center"/>
          </w:tcPr>
          <w:p>
            <w:r>
              <w:t>Each path should point to the appropriate next action: view service categories, check the relevant asset bucket, or request a case review.</w:t>
            </w:r>
          </w:p>
        </w:tc>
      </w:tr>
    </w:tbl>
    <w:p/>
    <w:p>
      <w:r>
        <w:rPr>
          <w:b/>
        </w:rPr>
        <w:t>Content goals</w:t>
      </w:r>
    </w:p>
    <w:p>
      <w:pPr>
        <w:pStyle w:val="ListBullet"/>
        <w:spacing w:after="0"/>
      </w:pPr>
      <w:r>
        <w:t>This should feel like a guided filter, not a technical tool.</w:t>
      </w:r>
    </w:p>
    <w:p>
      <w:pPr>
        <w:pStyle w:val="ListBullet"/>
        <w:spacing w:after="0"/>
      </w:pPr>
      <w:r>
        <w:t>It must catch users who say things like: 'My father passed away and something is stuck, but I do not know whether it is IEPF, insurance, or a bank deposit.'</w:t>
      </w:r>
    </w:p>
    <w:p>
      <w:pPr>
        <w:pStyle w:val="ListBullet"/>
        <w:spacing w:after="0"/>
      </w:pPr>
      <w:r>
        <w:t>Do not route every user to one portal. The point is to guide them to the right service path or to consultation.</w:t>
      </w:r>
    </w:p>
    <w:p>
      <w:r>
        <w:rPr>
          <w:b/>
        </w:rPr>
        <w:t xml:space="preserve">Codex / implementation note: </w:t>
      </w:r>
      <w:r>
        <w:t>This section is commercially important because many users do not know the legal or operational name of their issue. If this block is weak, good leads will drop off before reaching the service categories.</w:t>
      </w:r>
    </w:p>
    <w:p/>
    <w:p>
      <w:pPr>
        <w:pStyle w:val="Heading1"/>
      </w:pPr>
      <w:r>
        <w:t>Batch A completion note</w:t>
      </w:r>
    </w:p>
    <w:p>
      <w:r>
        <w:t>Once Batch A is approved, the next additions to this same document should be: Section 4 (Shares &amp; Securities), Section 5 (Insurance Claims &amp; Recovery), and Section 6 (PF, Mutual Funds &amp; Bank Deposits), followed by the pathway and conversion sections.</w:t>
      </w:r>
    </w:p>
    <w:p>
      <w:r>
        <w:br w:type="page"/>
      </w:r>
    </w:p>
    <w:p>
      <w:pPr>
        <w:pStyle w:val="Heading1"/>
      </w:pPr>
      <w:r>
        <w:t>Section 4: Shares &amp; Securities</w:t>
      </w:r>
    </w:p>
    <w:p>
      <w:r>
        <w:t>Purpose: Present Sahirasta’s share-related services as the strongest and most detailed cluster on the Service Hub page. This section should help users identify whether their issue is primarily about recovery from IEPF, lost documents, succession/title change, dematerialisation, or record correction.</w:t>
      </w:r>
    </w:p>
    <w:p/>
    <w:p>
      <w:pPr/>
      <w:r>
        <w:t>Content goals</w:t>
      </w:r>
    </w:p>
    <w:p>
      <w:pPr>
        <w:pStyle w:val="ListBullet"/>
      </w:pPr>
      <w:r>
        <w:t>This should be the flagship cluster on the Service Hub page. It needs more structure and slightly more emphasis than the other service clusters.</w:t>
      </w:r>
    </w:p>
    <w:p>
      <w:pPr>
        <w:pStyle w:val="ListBullet"/>
      </w:pPr>
      <w:r>
        <w:t>The section should make it easy for a visitor to recognise their issue even if they do not know the legal label. Many users know the symptom, not the formal category.</w:t>
      </w:r>
    </w:p>
    <w:p>
      <w:pPr>
        <w:pStyle w:val="ListBullet"/>
      </w:pPr>
      <w:r>
        <w:t>The order of services should follow how users typically think: money/shares stuck in IEPF, documents lost, shareholder has died, shares still in physical form, death plus demat conversion, records do not match.</w:t>
      </w:r>
    </w:p>
    <w:p>
      <w:pPr>
        <w:pStyle w:val="ListBullet"/>
      </w:pPr>
      <w:r>
        <w:t>Keep the language plain. Terms such as “transmission,” “dematerialisation,” and “IEPF” should be accompanied by simple support lines so the section does not feel like a registrar’s handbook.</w:t>
      </w:r>
    </w:p>
    <w:p>
      <w:pPr>
        <w:pStyle w:val="ListBullet"/>
      </w:pPr>
      <w:r>
        <w:t>This section should quietly signal that share-related problems often overlap. A user may begin with one issue and discover that duplicate documents, corrections, transmission, or demat conversion are also required.</w:t>
      </w:r>
    </w:p>
    <w:p>
      <w:r>
        <w:rPr>
          <w:b/>
        </w:rPr>
        <w:t>Recommended service order within this section</w:t>
      </w:r>
    </w:p>
    <w:p>
      <w:pPr>
        <w:pStyle w:val="ListBullet"/>
      </w:pPr>
      <w:r>
        <w:rPr>
          <w:b/>
        </w:rPr>
        <w:t xml:space="preserve">IEPF Claims: </w:t>
      </w:r>
      <w:r>
        <w:t>For shares, dividends, deposits, or debentures already transferred to the Investor Education and Protection Fund.</w:t>
      </w:r>
    </w:p>
    <w:p>
      <w:pPr>
        <w:pStyle w:val="ListBullet"/>
      </w:pPr>
      <w:r>
        <w:rPr>
          <w:b/>
        </w:rPr>
        <w:t xml:space="preserve">Duplicate / Lost Share Documents: </w:t>
      </w:r>
      <w:r>
        <w:t>For missing share certificates, lost paperwork, or ownership proof that must be restored before the case can move forward.</w:t>
      </w:r>
    </w:p>
    <w:p>
      <w:pPr>
        <w:pStyle w:val="ListBullet"/>
      </w:pPr>
      <w:r>
        <w:rPr>
          <w:b/>
        </w:rPr>
        <w:t xml:space="preserve">Transmission of Shares: </w:t>
      </w:r>
      <w:r>
        <w:t>For transfer of title after the death of a shareholder to nominee(s) or legal heir(s).</w:t>
      </w:r>
    </w:p>
    <w:p>
      <w:pPr>
        <w:pStyle w:val="ListBullet"/>
      </w:pPr>
      <w:r>
        <w:rPr>
          <w:b/>
        </w:rPr>
        <w:t xml:space="preserve">Physical Shares to Demat: </w:t>
      </w:r>
      <w:r>
        <w:t>For old physical shareholdings that need to be regularised and moved into demat form.</w:t>
      </w:r>
    </w:p>
    <w:p>
      <w:pPr>
        <w:pStyle w:val="ListBullet"/>
      </w:pPr>
      <w:r>
        <w:rPr>
          <w:b/>
        </w:rPr>
        <w:t xml:space="preserve">Transmission-cum-Demat: </w:t>
      </w:r>
      <w:r>
        <w:t>For cases where the shareholder has died and the heirs need both ownership transfer and dematerialisation handled together.</w:t>
      </w:r>
    </w:p>
    <w:p>
      <w:pPr>
        <w:pStyle w:val="ListBullet"/>
      </w:pPr>
      <w:r>
        <w:rPr>
          <w:b/>
        </w:rPr>
        <w:t xml:space="preserve">Name / Signature / Address Correction: </w:t>
      </w:r>
      <w:r>
        <w:t>For folio-level mismatches that block dividend credit, transmission, demat conversion, or other share-related action.</w:t>
      </w:r>
    </w:p>
    <w:p/>
    <w:p>
      <w:r>
        <w:rPr>
          <w:b/>
        </w:rPr>
        <w:t>Each service card on the hub page should contain</w:t>
      </w:r>
    </w:p>
    <w:p>
      <w:pPr>
        <w:pStyle w:val="ListBullet"/>
      </w:pPr>
      <w:r>
        <w:t>Service title</w:t>
      </w:r>
    </w:p>
    <w:p>
      <w:pPr>
        <w:pStyle w:val="ListBullet"/>
      </w:pPr>
      <w:r>
        <w:t>One-line problem statement written in plain language</w:t>
      </w:r>
    </w:p>
    <w:p>
      <w:pPr>
        <w:pStyle w:val="ListBullet"/>
      </w:pPr>
      <w:r>
        <w:t>Short “who this is for” line or equivalent support cue</w:t>
      </w:r>
    </w:p>
    <w:p>
      <w:pPr>
        <w:pStyle w:val="ListBullet"/>
      </w:pPr>
      <w:r>
        <w:t>CTA to the detailed service page</w:t>
      </w:r>
    </w:p>
    <w:p>
      <w:pPr>
        <w:pStyle w:val="ListBullet"/>
      </w:pPr>
      <w:r>
        <w:t>Optional cross-link note where the issue commonly overlaps with another share-related service</w:t>
      </w:r>
    </w:p>
    <w:p/>
    <w:p>
      <w:r>
        <w:rPr>
          <w:b/>
        </w:rPr>
        <w:t>Recommended recognition cues for visitors</w:t>
      </w:r>
    </w:p>
    <w:p>
      <w:pPr>
        <w:pStyle w:val="ListBullet"/>
      </w:pPr>
      <w:r>
        <w:t>“My shares or dividends were transferred because nothing was claimed for years.” → IEPF Claims</w:t>
      </w:r>
    </w:p>
    <w:p>
      <w:pPr>
        <w:pStyle w:val="ListBullet"/>
      </w:pPr>
      <w:r>
        <w:t>“The share certificate is missing, damaged, or not traceable.” → Duplicate / Lost Share Documents</w:t>
      </w:r>
    </w:p>
    <w:p>
      <w:pPr>
        <w:pStyle w:val="ListBullet"/>
      </w:pPr>
      <w:r>
        <w:t>“The shareholder has died and we need the shares moved to the rightful person.” → Transmission of Shares</w:t>
      </w:r>
    </w:p>
    <w:p>
      <w:pPr>
        <w:pStyle w:val="ListBullet"/>
      </w:pPr>
      <w:r>
        <w:t>“The shares are still in old paper form and need to be converted.” → Physical Shares to Demat</w:t>
      </w:r>
    </w:p>
    <w:p>
      <w:pPr>
        <w:pStyle w:val="ListBullet"/>
      </w:pPr>
      <w:r>
        <w:t>“The shareholder has died and the shares are still physical.” → Transmission-cum-Demat</w:t>
      </w:r>
    </w:p>
    <w:p>
      <w:pPr>
        <w:pStyle w:val="ListBullet"/>
      </w:pPr>
      <w:r>
        <w:t>“The name, address, bank details, signature, or folio records do not match.” → Name / Signature / Address Correction</w:t>
      </w:r>
    </w:p>
    <w:p/>
    <w:p>
      <w:pPr/>
      <w:r>
        <w:t>Codex / implementation note: On desktop, this section can work as a clean two-column grid of service cards under one strong heading. On mobile, the cards should stack with generous spacing. Avoid making all six cards identical in weight. IEPF should read as the flagship route, while the other five should clearly appear as related but distinct resolution paths. Also build cross-links between related pages so the user can move from one problem to the next without returning to the hub.</w:t>
      </w:r>
    </w:p>
    <w:p/>
    <w:p>
      <w:pPr>
        <w:pStyle w:val="Heading1"/>
      </w:pPr>
      <w:r>
        <w:t>Batch B completion note</w:t>
      </w:r>
    </w:p>
    <w:p>
      <w:pPr/>
      <w:r>
        <w:t>Once Batch B is approved, the next additions to this same document should be: Section 5 (Insurance Claims &amp; Recovery), Section 6 (PF, Mutual Funds &amp; Bank Deposits), and then the special pathway sections for NRIs, legal heirs, widows, families, and users with missing records.</w:t>
      </w:r>
    </w:p>
    <w:p/>
    <w:p>
      <w:pPr>
        <w:pStyle w:val="Heading1"/>
      </w:pPr>
      <w:r>
        <w:t>Section 5: Insurance Claims &amp; Recovery</w:t>
      </w:r>
    </w:p>
    <w:p>
      <w:r>
        <w:t>Purpose: Present Sahirasta’s insurance-related services as a clear, broad, problem-solving cluster rather than a confusing list of disconnected policy issues. This section should help visitors recognise whether the real problem is unpaid benefits, a death-related claim, a rejected or underpaid claim, or a document / record blocker that is preventing payout.</w:t>
      </w:r>
    </w:p>
    <w:p>
      <w:pPr>
        <w:pStyle w:val="Heading2"/>
      </w:pPr>
      <w:r>
        <w:t>Content goals</w:t>
      </w:r>
    </w:p>
    <w:p>
      <w:pPr>
        <w:pStyle w:val="ListBullet"/>
      </w:pPr>
      <w:r>
        <w:t>This section should make it obvious that Sahirasta does not deal only with one type of insurance claim. It should cover the practical issues that stop money from reaching the rightful claimant.</w:t>
      </w:r>
    </w:p>
    <w:p>
      <w:pPr>
        <w:pStyle w:val="ListBullet"/>
      </w:pPr>
      <w:r>
        <w:t>The structure on the hub page should group related insurance problems into a few strong sub-buckets. Do not display ten near-identical fragments in a long list. That would make the page feel cluttered and legally dense.</w:t>
      </w:r>
    </w:p>
    <w:p>
      <w:pPr>
        <w:pStyle w:val="ListBullet"/>
      </w:pPr>
      <w:r>
        <w:t>The language should be plain and situational. Many visitors will not think in terms such as “short-settlement” or “record mismatch.” They will think: “LIC money was due but not received,” “the claim was rejected,” or “my husband had a policy but we do not have the bond.”</w:t>
      </w:r>
    </w:p>
    <w:p>
      <w:pPr>
        <w:pStyle w:val="ListBullet"/>
      </w:pPr>
      <w:r>
        <w:t>This section should quietly signal that insurance issues often overlap. A death claim may also involve nominee issues, record mismatches, KYC problems, or policy-loan complications. The hub should help users enter through the nearest door without forcing them to diagnose every sub-issue upfront.</w:t>
      </w:r>
    </w:p>
    <w:p>
      <w:pPr>
        <w:pStyle w:val="ListBullet"/>
      </w:pPr>
      <w:r>
        <w:t>This section should also reinforce Sahirasta’s practical edge: the ability to guide claimants, legal heirs, widows, and families through messy insurance cases where paperwork, entitlement, or insurer records are not straightforward.</w:t>
      </w:r>
    </w:p>
    <w:p>
      <w:pPr>
        <w:pStyle w:val="Heading2"/>
      </w:pPr>
      <w:r>
        <w:t>Recommended grouping within this section</w:t>
      </w:r>
    </w:p>
    <w:p>
      <w:pPr>
        <w:pStyle w:val="ListBullet"/>
      </w:pPr>
      <w:r>
        <w:t>Unclaimed Maturity / Survival Benefit: For policies where money became payable but was never received, credited, or properly claimed.</w:t>
      </w:r>
    </w:p>
    <w:p>
      <w:pPr>
        <w:pStyle w:val="ListBullet"/>
      </w:pPr>
      <w:r>
        <w:t>Death Claim Support: For families, nominees, widows, or legal heirs trying to claim policy benefits after the death of the life assured or policyholder, where the process may involve proof of entitlement and insurer follow-up.</w:t>
      </w:r>
    </w:p>
    <w:p>
      <w:pPr>
        <w:pStyle w:val="ListBullet"/>
      </w:pPr>
      <w:r>
        <w:t>Rejected / Short-Settled Claims: For cases where the insurer has refused the claim, delayed it without clarity, or paid less than the claimant believes is properly due.</w:t>
      </w:r>
    </w:p>
    <w:p>
      <w:pPr>
        <w:pStyle w:val="ListBullet"/>
      </w:pPr>
      <w:r>
        <w:t>Policy Bond, Nominee, KYC, Loan, and Record Issues: For document loss, nominee complications, assignment / policy-loan issues, address or bank mismatches, old LIC / insurer data errors, or other servicing gaps that block payment.</w:t>
      </w:r>
    </w:p>
    <w:p>
      <w:pPr>
        <w:pStyle w:val="Heading2"/>
      </w:pPr>
      <w:r>
        <w:t>Detailed service-page mapping behind this hub section</w:t>
      </w:r>
    </w:p>
    <w:p>
      <w:pPr>
        <w:pStyle w:val="ListBullet"/>
      </w:pPr>
      <w:r>
        <w:t>Unclaimed maturity amount</w:t>
      </w:r>
    </w:p>
    <w:p>
      <w:pPr>
        <w:pStyle w:val="ListBullet"/>
      </w:pPr>
      <w:r>
        <w:t>Survival benefit not received</w:t>
      </w:r>
    </w:p>
    <w:p>
      <w:pPr>
        <w:pStyle w:val="ListBullet"/>
      </w:pPr>
      <w:r>
        <w:t>Death claim support</w:t>
      </w:r>
    </w:p>
    <w:p>
      <w:pPr>
        <w:pStyle w:val="ListBullet"/>
      </w:pPr>
      <w:r>
        <w:t>Rejected claims</w:t>
      </w:r>
    </w:p>
    <w:p>
      <w:pPr>
        <w:pStyle w:val="ListBullet"/>
      </w:pPr>
      <w:r>
        <w:t>Short-settlement disputes</w:t>
      </w:r>
    </w:p>
    <w:p>
      <w:pPr>
        <w:pStyle w:val="ListBullet"/>
      </w:pPr>
      <w:r>
        <w:t>Lost policy bond</w:t>
      </w:r>
    </w:p>
    <w:p>
      <w:pPr>
        <w:pStyle w:val="ListBullet"/>
      </w:pPr>
      <w:r>
        <w:t>Nominee issues</w:t>
      </w:r>
    </w:p>
    <w:p>
      <w:pPr>
        <w:pStyle w:val="ListBullet"/>
      </w:pPr>
      <w:r>
        <w:t>Policy loan related complications</w:t>
      </w:r>
    </w:p>
    <w:p>
      <w:pPr>
        <w:pStyle w:val="ListBullet"/>
      </w:pPr>
      <w:r>
        <w:t>Old LIC / insurer record mismatch</w:t>
      </w:r>
    </w:p>
    <w:p>
      <w:pPr>
        <w:pStyle w:val="ListBullet"/>
      </w:pPr>
      <w:r>
        <w:t>Address / KYC / bank mismatch blocking payout</w:t>
      </w:r>
    </w:p>
    <w:p>
      <w:r>
        <w:t>These detailed service lines should inform the hub section, but the hub itself should stay grouped and easy to scan. The service hub must guide; it should not turn into an index of form names and objections.</w:t>
      </w:r>
    </w:p>
    <w:p>
      <w:pPr>
        <w:pStyle w:val="Heading2"/>
      </w:pPr>
      <w:r>
        <w:t>Each sub-section or service card on the hub page should contain</w:t>
      </w:r>
    </w:p>
    <w:p>
      <w:pPr>
        <w:pStyle w:val="ListBullet"/>
      </w:pPr>
      <w:r>
        <w:t>Sub-section or service title</w:t>
      </w:r>
    </w:p>
    <w:p>
      <w:pPr>
        <w:pStyle w:val="ListBullet"/>
      </w:pPr>
      <w:r>
        <w:t>One-line problem statement in plain language</w:t>
      </w:r>
    </w:p>
    <w:p>
      <w:pPr>
        <w:pStyle w:val="ListBullet"/>
      </w:pPr>
      <w:r>
        <w:t>Short “who this is for” cue where useful</w:t>
      </w:r>
    </w:p>
    <w:p>
      <w:pPr>
        <w:pStyle w:val="ListBullet"/>
      </w:pPr>
      <w:r>
        <w:t>CTA to the relevant detailed page</w:t>
      </w:r>
    </w:p>
    <w:p>
      <w:pPr>
        <w:pStyle w:val="ListBullet"/>
      </w:pPr>
      <w:r>
        <w:t>Optional note where two insurance issues commonly overlap</w:t>
      </w:r>
    </w:p>
    <w:p>
      <w:pPr>
        <w:pStyle w:val="Heading2"/>
      </w:pPr>
      <w:r>
        <w:t>Recommended recognition cues for visitors</w:t>
      </w:r>
    </w:p>
    <w:p>
      <w:pPr>
        <w:pStyle w:val="ListBullet"/>
      </w:pPr>
      <w:r>
        <w:t>“A policy amount became payable, but the money never came.” → Unclaimed Maturity / Survival Benefit</w:t>
      </w:r>
    </w:p>
    <w:p>
      <w:pPr>
        <w:pStyle w:val="ListBullet"/>
      </w:pPr>
      <w:r>
        <w:t>“My husband / parent had a policy, and we need help claiming after death.” → Death Claim Support</w:t>
      </w:r>
    </w:p>
    <w:p>
      <w:pPr>
        <w:pStyle w:val="ListBullet"/>
      </w:pPr>
      <w:r>
        <w:t>“The insurer rejected the claim or paid less than expected.” → Rejected / Short-Settled Claims</w:t>
      </w:r>
    </w:p>
    <w:p>
      <w:pPr>
        <w:pStyle w:val="ListBullet"/>
      </w:pPr>
      <w:r>
        <w:t>“We do not have the original bond / papers, or the records do not match.” → Policy Bond, Nominee, KYC, Loan, and Record Issues</w:t>
      </w:r>
    </w:p>
    <w:p>
      <w:pPr>
        <w:pStyle w:val="ListBullet"/>
      </w:pPr>
      <w:r>
        <w:t>“The case is old, confusing, or involves LIC / insurer record problems.” → Insurance Claims &amp; Recovery with guided routing to the right detailed page</w:t>
      </w:r>
    </w:p>
    <w:p>
      <w:r>
        <w:t>Codex / implementation note: This section should feel calmer and more grouped than the shares section. Insurance issues are emotionally charged and document-heavy, especially in death-related cases. On desktop, use clear grouped cards or sub-blocks rather than a long single list. On mobile, preserve spacing and visual hierarchy so the user can immediately distinguish unpaid benefits, death claims, disputes, and documentation blockers.</w:t>
      </w:r>
    </w:p>
    <w:p>
      <w:pPr>
        <w:pStyle w:val="Heading2"/>
      </w:pPr>
      <w:r>
        <w:t>Batch C completion note</w:t>
      </w:r>
    </w:p>
    <w:p>
      <w:r>
        <w:t>Once Batch C is approved, the next additions to this same document should be: Section 6 (PF, Mutual Funds &amp; Bank Deposits), followed by the special pathway sections for NRIs, legal heirs / widows / families, and users with missing documents or uncertainty about where to begin.</w:t>
      </w:r>
    </w:p>
    <w:p>
      <w:pPr/>
    </w:p>
    <w:p>
      <w:pPr>
        <w:pStyle w:val="Heading1"/>
      </w:pPr>
      <w:r>
        <w:t>Section 6: PF, Mutual Funds &amp; Bank Deposits</w:t>
      </w:r>
    </w:p>
    <w:p>
      <w:pPr/>
      <w:r>
        <w:t>Purpose: Present Sahirasta’s non-share, non-insurance recovery services as a clean and credible cluster focused on employment-linked funds, investor folios, and forgotten bank money. This section should feel practical, familiar, and easy to scan — not like a leftover category dumped under “other assets.”</w:t>
      </w:r>
    </w:p>
    <w:p>
      <w:pPr>
        <w:pStyle w:val="Heading2"/>
      </w:pPr>
      <w:r>
        <w:t>Content goals</w:t>
      </w:r>
    </w:p>
    <w:p>
      <w:pPr>
        <w:pStyle w:val="ListBullet"/>
      </w:pPr>
      <w:r>
        <w:t>This section should cover three distinct service lines: unclaimed provident fund, unclaimed mutual funds, and dormant / in-operative bank deposits.</w:t>
      </w:r>
    </w:p>
    <w:p>
      <w:pPr>
        <w:pStyle w:val="ListBullet"/>
      </w:pPr>
      <w:r>
        <w:t>The structure should make the differences between these services obvious. PF is tied to employment history and EPFO records. Mutual funds are tied to folios, AMCs, and RTAs. Bank deposits are tied to the customer’s relationship with the bank and dormant / unclaimed account handling.</w:t>
      </w:r>
    </w:p>
    <w:p>
      <w:pPr>
        <w:pStyle w:val="ListBullet"/>
      </w:pPr>
      <w:r>
        <w:t>Do not label this cluster “Other Assets.” That wording is vague, weak, and commercially lazy. The page should name the categories directly so users can recognise their issue immediately.</w:t>
      </w:r>
    </w:p>
    <w:p>
      <w:pPr>
        <w:pStyle w:val="ListBullet"/>
      </w:pPr>
      <w:r>
        <w:t>The language should stay plain. Many visitors will not say “in-operative bank account” or “folio regularisation”; they will say “old PF,” “forgotten mutual fund,” or “money stuck in an old bank account.”</w:t>
      </w:r>
    </w:p>
    <w:p>
      <w:pPr>
        <w:pStyle w:val="ListBullet"/>
      </w:pPr>
      <w:r>
        <w:t>This section should reassure visitors that the service is useful even when the records are incomplete. A user may know only the old employer’s name, the broad mutual-fund investment history, or the name of the bank and branch.</w:t>
      </w:r>
    </w:p>
    <w:p>
      <w:pPr>
        <w:pStyle w:val="ListBullet"/>
      </w:pPr>
      <w:r>
        <w:t>The section should quietly signal that these cases are often tracing-and-regularisation problems before they become payout problems.</w:t>
      </w:r>
    </w:p>
    <w:p>
      <w:pPr>
        <w:pStyle w:val="Heading2"/>
      </w:pPr>
      <w:r>
        <w:t>Recommended grouping within this section</w:t>
      </w:r>
    </w:p>
    <w:p>
      <w:pPr>
        <w:pStyle w:val="ListBullet"/>
      </w:pPr>
      <w:r>
        <w:t>Unclaimed Provident Fund: For old PF balances linked to past employment, multiple member IDs, missing transfers, pre-UAN records, or deceased-member dues.</w:t>
      </w:r>
    </w:p>
    <w:p>
      <w:pPr>
        <w:pStyle w:val="ListBullet"/>
      </w:pPr>
      <w:r>
        <w:t>Unclaimed Mutual Funds: For old folios where redemption / dividend money was not received, the folio is blocked, or the family is trying to claim investments after death.</w:t>
      </w:r>
    </w:p>
    <w:p>
      <w:pPr>
        <w:pStyle w:val="ListBullet"/>
      </w:pPr>
      <w:r>
        <w:t>Dormant / In-operative Bank Deposits: For old savings accounts, current accounts, fixed deposits, or inherited bank balances that have gone inactive, become hard to trace, or appear as unclaimed.</w:t>
      </w:r>
    </w:p>
    <w:p>
      <w:pPr>
        <w:pStyle w:val="Heading2"/>
      </w:pPr>
      <w:r>
        <w:t>Detailed service-page mapping behind this hub section</w:t>
      </w:r>
    </w:p>
    <w:p>
      <w:pPr>
        <w:pStyle w:val="ListBullet"/>
      </w:pPr>
      <w:r>
        <w:t>Unclaimed provident fund</w:t>
      </w:r>
    </w:p>
    <w:p>
      <w:pPr>
        <w:pStyle w:val="ListBullet"/>
      </w:pPr>
      <w:r>
        <w:t>Unclaimed mutual funds</w:t>
      </w:r>
    </w:p>
    <w:p>
      <w:pPr>
        <w:pStyle w:val="ListBullet"/>
      </w:pPr>
      <w:r>
        <w:t>Dormant / in-operative bank deposits</w:t>
      </w:r>
    </w:p>
    <w:p>
      <w:pPr/>
      <w:r>
        <w:t>The hub page should keep this cluster compact and direct. Unlike the insurance section, it does not need heavy sub-grouping. Three strong service cards are enough, provided the descriptions are clear and situation-based.</w:t>
      </w:r>
    </w:p>
    <w:p>
      <w:pPr>
        <w:pStyle w:val="Heading2"/>
      </w:pPr>
      <w:r>
        <w:t>Each service card on the hub page should contain</w:t>
      </w:r>
    </w:p>
    <w:p>
      <w:pPr>
        <w:pStyle w:val="ListBullet"/>
      </w:pPr>
      <w:r>
        <w:t>Service title</w:t>
      </w:r>
    </w:p>
    <w:p>
      <w:pPr>
        <w:pStyle w:val="ListBullet"/>
      </w:pPr>
      <w:r>
        <w:t>One-line problem statement in plain language</w:t>
      </w:r>
    </w:p>
    <w:p>
      <w:pPr>
        <w:pStyle w:val="ListBullet"/>
      </w:pPr>
      <w:r>
        <w:t>Short “who this is for” cue where useful</w:t>
      </w:r>
    </w:p>
    <w:p>
      <w:pPr>
        <w:pStyle w:val="ListBullet"/>
      </w:pPr>
      <w:r>
        <w:t>CTA to the relevant detailed page</w:t>
      </w:r>
    </w:p>
    <w:p>
      <w:pPr>
        <w:pStyle w:val="ListBullet"/>
      </w:pPr>
      <w:r>
        <w:t>Optional support note for cases involving death, old records, or missing documentation</w:t>
      </w:r>
    </w:p>
    <w:p>
      <w:pPr>
        <w:pStyle w:val="Heading2"/>
      </w:pPr>
      <w:r>
        <w:t>Recommended recognition cues for visitors</w:t>
      </w:r>
    </w:p>
    <w:p>
      <w:pPr>
        <w:pStyle w:val="ListBullet"/>
      </w:pPr>
      <w:r>
        <w:t>“I had PF in an old job, but I never transferred or withdrew it.” → Unclaimed Provident Fund</w:t>
      </w:r>
    </w:p>
    <w:p>
      <w:pPr>
        <w:pStyle w:val="ListBullet"/>
      </w:pPr>
      <w:r>
        <w:t>“My parent / spouse may have had PF, but we do not know the exact account details.” → Unclaimed Provident Fund</w:t>
      </w:r>
    </w:p>
    <w:p>
      <w:pPr>
        <w:pStyle w:val="ListBullet"/>
      </w:pPr>
      <w:r>
        <w:t>“I had mutual-fund investments years ago, but I do not know where the money went.” → Unclaimed Mutual Funds</w:t>
      </w:r>
    </w:p>
    <w:p>
      <w:pPr>
        <w:pStyle w:val="ListBullet"/>
      </w:pPr>
      <w:r>
        <w:t>“The folio exists, but the bank / KYC / nominee details are not right.” → Unclaimed Mutual Funds</w:t>
      </w:r>
    </w:p>
    <w:p>
      <w:pPr>
        <w:pStyle w:val="ListBullet"/>
      </w:pPr>
      <w:r>
        <w:t>“I had an old bank account or fixed deposit that has been inactive for years.” → Dormant / In-operative Bank Deposits</w:t>
      </w:r>
    </w:p>
    <w:p>
      <w:pPr>
        <w:pStyle w:val="ListBullet"/>
      </w:pPr>
      <w:r>
        <w:t>“My father / mother had money in a bank account or deposit, and we do not know how to claim it.” → Dormant / In-operative Bank Deposits</w:t>
      </w:r>
    </w:p>
    <w:p>
      <w:pPr/>
      <w:r>
        <w:t>Codex / implementation note: This section should be presented as a compact three-card cluster with strong readability. On desktop, a three-column layout can work well if the cards are not too wordy; on mobile, they should stack cleanly with enough spacing to prevent the cluster from feeling like an afterthought. The visual treatment should make clear that this is a serious service category, not a miscellaneous leftover bucket.</w:t>
      </w:r>
    </w:p>
    <w:p>
      <w:pPr>
        <w:pStyle w:val="Heading2"/>
      </w:pPr>
      <w:r>
        <w:t>Batch D completion note</w:t>
      </w:r>
    </w:p>
    <w:p>
      <w:pPr/>
      <w:r>
        <w:t>Once Batch D is approved, the next additions to this same document should be: Section 7 (Services for NRIs), Section 8 (Services for Legal Heirs, Widows, and Families), and Section 9 (Missing Documents? Not Sure Where to Start?).</w:t>
      </w:r>
    </w:p>
    <w:p/>
    <w:p>
      <w:pPr>
        <w:pStyle w:val="Heading1"/>
      </w:pPr>
      <w:r>
        <w:t>Section 7: Services for NRIs</w:t>
      </w:r>
    </w:p>
    <w:p>
      <w:pPr/>
      <w:r>
        <w:t>Purpose: Show clearly that NRIs can access Sahirasta’s services without the page feeling like a separate business line. This section should position NRIs as a client pathway across multiple services rather than as an isolated product.</w:t>
      </w:r>
    </w:p>
    <w:p/>
    <w:p>
      <w:pPr/>
      <w:r>
        <w:t>Content goals</w:t>
      </w:r>
    </w:p>
    <w:p>
      <w:pPr>
        <w:pStyle w:val="ListBullet"/>
      </w:pPr>
      <w:r>
        <w:t>Make clear that NRIs may need help with the same underlying services as resident Indians: IEPF, transmission, duplicate shares, insurance claims, provident fund, mutual funds, and dormant bank deposits.</w:t>
      </w:r>
    </w:p>
    <w:p>
      <w:pPr>
        <w:pStyle w:val="ListBullet"/>
      </w:pPr>
      <w:r>
        <w:t>Reassure the visitor that living outside India does not automatically prevent claim action, but does introduce execution issues such as attestation, bank readiness, identity alignment, demat readiness, and overseas documentation.</w:t>
      </w:r>
    </w:p>
    <w:p>
      <w:pPr>
        <w:pStyle w:val="ListBullet"/>
      </w:pPr>
      <w:r>
        <w:t>Keep the tone practical and controlled. This section should not read like a travel problem; it is a documentation and coordination problem.</w:t>
      </w:r>
    </w:p>
    <w:p>
      <w:pPr>
        <w:pStyle w:val="ListBullet"/>
      </w:pPr>
      <w:r>
        <w:t>Signal that remote handling is possible, while avoiding promises that every case can be completed without any India-side formalities.</w:t>
      </w:r>
    </w:p>
    <w:p>
      <w:pPr/>
      <w:r>
        <w:t>Recommended content shape for this section</w:t>
      </w:r>
    </w:p>
    <w:p>
      <w:pPr>
        <w:pStyle w:val="ListBullet"/>
      </w:pPr>
      <w:r>
        <w:t>Short section intro explaining that NRIs can use Sahirasta for Indian financial-asset recovery and regularisation.</w:t>
      </w:r>
    </w:p>
    <w:p>
      <w:pPr>
        <w:pStyle w:val="ListBullet"/>
      </w:pPr>
      <w:r>
        <w:t>A compact list or card set showing the most relevant NRI-linked service routes: IEPF claims, transmission and heir cases, old shares and demat issues, insurance claims, and other legacy Indian financial assets.</w:t>
      </w:r>
    </w:p>
    <w:p>
      <w:pPr>
        <w:pStyle w:val="ListBullet"/>
      </w:pPr>
      <w:r>
        <w:t>A support line clarifying that the exact route depends on the asset type, claimant status, and available documents.</w:t>
      </w:r>
    </w:p>
    <w:p>
      <w:pPr/>
      <w:r>
        <w:t>Recommended recognition cues for visitors</w:t>
      </w:r>
    </w:p>
    <w:p>
      <w:pPr>
        <w:pStyle w:val="ListBullet"/>
      </w:pPr>
      <w:r>
        <w:t>“I live abroad and I have old shares, dividends, or investments in India.”</w:t>
      </w:r>
    </w:p>
    <w:p>
      <w:pPr>
        <w:pStyle w:val="ListBullet"/>
      </w:pPr>
      <w:r>
        <w:t>“My parent / spouse had financial assets in India, but I do not know how to claim them from overseas.”</w:t>
      </w:r>
    </w:p>
    <w:p>
      <w:pPr>
        <w:pStyle w:val="ListBullet"/>
      </w:pPr>
      <w:r>
        <w:t>“I have documents, but I am unsure how Indian attestation, bank, demat, or heir formalities work.”</w:t>
      </w:r>
    </w:p>
    <w:p>
      <w:pPr/>
      <w:r>
        <w:t>Codex / implementation note: This should feel like a focused pathway block, not a duplicate service directory. It can sit as a distinct section with two or three short explanatory paragraphs, followed by a clear CTA into the NRI page or consultation flow. On the page, avoid overloading it with procedural detail; the goal is recognition and routing, not legal drafting.</w:t>
      </w:r>
    </w:p>
    <w:p/>
    <w:p>
      <w:pPr>
        <w:pStyle w:val="Heading1"/>
      </w:pPr>
      <w:r>
        <w:t>Section 8: Services for Legal Heirs, Widows, and Families</w:t>
      </w:r>
    </w:p>
    <w:p>
      <w:pPr/>
      <w:r>
        <w:t>Purpose: Address the real-world situation where a family is handling financial matters after a death and does not know which service bucket applies first. This section should make the page feel relevant to heirs without becoming emotionally overwrought.</w:t>
      </w:r>
    </w:p>
    <w:p/>
    <w:p>
      <w:pPr/>
      <w:r>
        <w:t>Content goals</w:t>
      </w:r>
    </w:p>
    <w:p>
      <w:pPr>
        <w:pStyle w:val="ListBullet"/>
      </w:pPr>
      <w:r>
        <w:t>Show that this pathway can involve multiple services at once: transmission of shares, IEPF heir claims, insurance death claims, provident fund claims, mutual-fund transmission, and bank deposit release.</w:t>
      </w:r>
    </w:p>
    <w:p>
      <w:pPr>
        <w:pStyle w:val="ListBullet"/>
      </w:pPr>
      <w:r>
        <w:t>Acknowledge that widows, children, nominees, and other family members are often dealing with incomplete records and multiple institutions at the same time.</w:t>
      </w:r>
    </w:p>
    <w:p>
      <w:pPr>
        <w:pStyle w:val="ListBullet"/>
      </w:pPr>
      <w:r>
        <w:t>Use calm, respectful language. This section should project seriousness and clarity, not sentimental copy.</w:t>
      </w:r>
    </w:p>
    <w:p>
      <w:pPr>
        <w:pStyle w:val="ListBullet"/>
      </w:pPr>
      <w:r>
        <w:t>Make clear that the core issue is usually entitlement plus documentation: who can claim, what evidence exists, and what the correct route is.</w:t>
      </w:r>
    </w:p>
    <w:p>
      <w:pPr/>
      <w:r>
        <w:t>Recommended content shape for this section</w:t>
      </w:r>
    </w:p>
    <w:p>
      <w:pPr>
        <w:pStyle w:val="ListBullet"/>
      </w:pPr>
      <w:r>
        <w:t>Short section intro focused on post-death claims and ownership transition.</w:t>
      </w:r>
    </w:p>
    <w:p>
      <w:pPr>
        <w:pStyle w:val="ListBullet"/>
      </w:pPr>
      <w:r>
        <w:t>A concise list of the most common family pathways: death claim support, transmission of shares, IEPF heir claims, PF recovery, mutual-fund or bank-claim handling.</w:t>
      </w:r>
    </w:p>
    <w:p>
      <w:pPr>
        <w:pStyle w:val="ListBullet"/>
      </w:pPr>
      <w:r>
        <w:t>A support note explaining that some cases move quickly where nominee and records are clear, while others require deeper succession or record-cleanup work.</w:t>
      </w:r>
    </w:p>
    <w:p>
      <w:pPr/>
      <w:r>
        <w:t>Recommended recognition cues for visitors</w:t>
      </w:r>
    </w:p>
    <w:p>
      <w:pPr>
        <w:pStyle w:val="ListBullet"/>
      </w:pPr>
      <w:r>
        <w:t>“My husband / wife / parent passed away and I do not know where to begin.”</w:t>
      </w:r>
    </w:p>
    <w:p>
      <w:pPr>
        <w:pStyle w:val="ListBullet"/>
      </w:pPr>
      <w:r>
        <w:t>“We have some papers, but we do not know which claims come first.”</w:t>
      </w:r>
    </w:p>
    <w:p>
      <w:pPr>
        <w:pStyle w:val="ListBullet"/>
      </w:pPr>
      <w:r>
        <w:t>“There may be shares, insurance, PF, or bank money, but everything is still in the deceased person’s name.”</w:t>
      </w:r>
    </w:p>
    <w:p>
      <w:pPr/>
      <w:r>
        <w:t>Codex / implementation note: This section should visually and verbally read as a family-claims pathway. It should sit after the main service clusters, because the visitor may first scan by asset type and then recognise that their real need is a post-death claims route. Keep the design simple and readable; avoid dense legal language in the hub itself.</w:t>
      </w:r>
    </w:p>
    <w:p/>
    <w:p>
      <w:pPr>
        <w:pStyle w:val="Heading1"/>
      </w:pPr>
      <w:r>
        <w:t>Section 9: Missing Documents? Not Sure Where to Start?</w:t>
      </w:r>
    </w:p>
    <w:p>
      <w:pPr/>
      <w:r>
        <w:t>Purpose: Catch visitors who are blocked by uncertainty, incomplete paperwork, or weak records, and prevent them from dropping off the page simply because they cannot classify the problem yet.</w:t>
      </w:r>
    </w:p>
    <w:p/>
    <w:p>
      <w:pPr/>
      <w:r>
        <w:t>Content goals</w:t>
      </w:r>
    </w:p>
    <w:p>
      <w:pPr>
        <w:pStyle w:val="ListBullet"/>
      </w:pPr>
      <w:r>
        <w:t>Reassure visitors that they do not need perfect paperwork before reaching out.</w:t>
      </w:r>
    </w:p>
    <w:p>
      <w:pPr>
        <w:pStyle w:val="ListBullet"/>
      </w:pPr>
      <w:r>
        <w:t>Explain that many real cases begin with only partial clues such as old letters, policy receipts, company names, folio fragments, bank passbooks, employer details, or family memory.</w:t>
      </w:r>
    </w:p>
    <w:p>
      <w:pPr>
        <w:pStyle w:val="ListBullet"/>
      </w:pPr>
      <w:r>
        <w:t>Position Sahirasta as a guide that can help identify the likely route before a full formal claim is attempted.</w:t>
      </w:r>
    </w:p>
    <w:p>
      <w:pPr>
        <w:pStyle w:val="ListBullet"/>
      </w:pPr>
      <w:r>
        <w:t>Be honest that not every weak-record case can be recovered; the value here is diagnosis, reconstruction, and correct direction.</w:t>
      </w:r>
    </w:p>
    <w:p>
      <w:pPr/>
      <w:r>
        <w:t>Recommended content shape for this section</w:t>
      </w:r>
    </w:p>
    <w:p>
      <w:pPr>
        <w:pStyle w:val="ListBullet"/>
      </w:pPr>
      <w:r>
        <w:t>Short intro explaining that incomplete records are common in legacy asset cases.</w:t>
      </w:r>
    </w:p>
    <w:p>
      <w:pPr>
        <w:pStyle w:val="ListBullet"/>
      </w:pPr>
      <w:r>
        <w:t>A practical explanation of the kinds of clues that may still be enough to begin classification.</w:t>
      </w:r>
    </w:p>
    <w:p>
      <w:pPr>
        <w:pStyle w:val="ListBullet"/>
      </w:pPr>
      <w:r>
        <w:t>A direct CTA into consultation or case review for visitors who are unsure whether the issue is shares, insurance, PF, mutual funds, or bank deposits.</w:t>
      </w:r>
    </w:p>
    <w:p>
      <w:pPr/>
      <w:r>
        <w:t>Recommended recognition cues for visitors</w:t>
      </w:r>
    </w:p>
    <w:p>
      <w:pPr>
        <w:pStyle w:val="ListBullet"/>
      </w:pPr>
      <w:r>
        <w:t>“I know there was some money or investment, but I do not have the full documents.”</w:t>
      </w:r>
    </w:p>
    <w:p>
      <w:pPr>
        <w:pStyle w:val="ListBullet"/>
      </w:pPr>
      <w:r>
        <w:t>“We found old papers, but we do not know what they mean or which institution to approach.”</w:t>
      </w:r>
    </w:p>
    <w:p>
      <w:pPr>
        <w:pStyle w:val="ListBullet"/>
      </w:pPr>
      <w:r>
        <w:t>“I am not even sure whether this is an IEPF, insurance, PF, mutual-fund, or bank matter.”</w:t>
      </w:r>
    </w:p>
    <w:p>
      <w:pPr/>
      <w:r>
        <w:t>Codex / implementation note: This section should function as a high-importance conversion block near the lower half of the Service Hub page. It is especially valuable for users who do not fit neatly into one service card. Keep the tone reassuring but firm: incomplete records are common, but the first step is structured review, not blind filing.</w:t>
      </w:r>
    </w:p>
    <w:p/>
    <w:p>
      <w:pPr>
        <w:pStyle w:val="Heading2"/>
      </w:pPr>
      <w:r>
        <w:t>Batch E completion note</w:t>
      </w:r>
    </w:p>
    <w:p>
      <w:pPr/>
      <w:r>
        <w:t>Once Batch E is approved, the next additions to this same document should be: Section 10 (How Sahirasta Helps), Section 11 (Pricing Snapshot), and Section 12 (Need Help Choosing the Right Service?).</w:t>
      </w:r>
    </w:p>
    <w:p>
      <w:pPr>
        <w:pStyle w:val="Heading1"/>
      </w:pPr>
      <w:r>
        <w:t>Section 10: How Sahirasta Helps</w:t>
      </w:r>
    </w:p>
    <w:p>
      <w:pPr/>
      <w:r>
        <w:t>Purpose: Give visitors a short, reassuring process view tailored to the Service Hub page. This section should show that Sahirasta does not merely list services; it helps people understand the issue, assess the paperwork, and move toward the correct route with practical guidance.</w:t>
      </w:r>
    </w:p>
    <w:p>
      <w:pPr>
        <w:pStyle w:val="Heading2"/>
      </w:pPr>
      <w:r>
        <w:t>Content goals</w:t>
      </w:r>
    </w:p>
    <w:p>
      <w:pPr>
        <w:pStyle w:val="ListBullet"/>
      </w:pPr>
      <w:r>
        <w:t>Keep this section shorter than the full Process page. It should summarise the operating logic without repeating the entire homepage workflow.</w:t>
      </w:r>
    </w:p>
    <w:p>
      <w:pPr>
        <w:pStyle w:val="ListBullet"/>
      </w:pPr>
      <w:r>
        <w:t>Show that Sahirasta helps at three practical levels: identifying the likely route, reviewing documents and record gaps, and guiding the next steps toward claim, correction, regularisation, or recovery.</w:t>
      </w:r>
    </w:p>
    <w:p>
      <w:pPr>
        <w:pStyle w:val="ListBullet"/>
      </w:pPr>
      <w:r>
        <w:t>Make the process feel controlled and serious. Users in this category are often anxious, confused, or dealing with multiple institutions. The language should reduce uncertainty, not add theatre.</w:t>
      </w:r>
    </w:p>
    <w:p>
      <w:pPr>
        <w:pStyle w:val="ListBullet"/>
      </w:pPr>
      <w:r>
        <w:t>Quietly reinforce that different cases require different paths. The value is not only filing forms; it is understanding the problem correctly before action begins.</w:t>
      </w:r>
    </w:p>
    <w:p>
      <w:pPr>
        <w:pStyle w:val="ListBullet"/>
      </w:pPr>
      <w:r>
        <w:t>This section should support conversion for users who have reached the lower half of the page but still need confidence that Sahirasta can handle messy, document-heavy situations.</w:t>
      </w:r>
    </w:p>
    <w:p>
      <w:pPr>
        <w:pStyle w:val="Heading2"/>
      </w:pPr>
      <w:r>
        <w:t>Recommended content shape for this section</w:t>
      </w:r>
    </w:p>
    <w:p>
      <w:pPr>
        <w:pStyle w:val="ListBullet"/>
      </w:pPr>
      <w:r>
        <w:t>A short intro line explaining that most cases begin with review and classification before formal execution starts.</w:t>
      </w:r>
    </w:p>
    <w:p>
      <w:pPr>
        <w:pStyle w:val="ListBullet"/>
      </w:pPr>
      <w:r>
        <w:t>A compact 4-step or 5-step process strip such as: Understand the issue → Review the records → Identify the route → Share scope and fee → Execute and follow up.</w:t>
      </w:r>
    </w:p>
    <w:p>
      <w:pPr>
        <w:pStyle w:val="ListBullet"/>
      </w:pPr>
      <w:r>
        <w:t>A support note clarifying that the exact process depends on asset type, claimant position, and the strength of available documents.</w:t>
      </w:r>
    </w:p>
    <w:p>
      <w:pPr>
        <w:pStyle w:val="Heading2"/>
      </w:pPr>
      <w:r>
        <w:t>Recommended recognition cues for visitors</w:t>
      </w:r>
    </w:p>
    <w:p>
      <w:pPr>
        <w:pStyle w:val="ListBullet"/>
      </w:pPr>
      <w:r>
        <w:t>“I need someone to tell me what this case actually is before I start running behind forms.”</w:t>
      </w:r>
    </w:p>
    <w:p>
      <w:pPr>
        <w:pStyle w:val="ListBullet"/>
      </w:pPr>
      <w:r>
        <w:t>“I have some documents, but I do not know whether they are enough or what the next step should be.”</w:t>
      </w:r>
    </w:p>
    <w:p>
      <w:pPr>
        <w:pStyle w:val="ListBullet"/>
      </w:pPr>
      <w:r>
        <w:t>“I do not just need information; I need help moving the case forward properly.”</w:t>
      </w:r>
    </w:p>
    <w:p>
      <w:pPr/>
      <w:r>
        <w:t>Codex / implementation note: This section should be presented as a compact horizontal process strip on desktop and a stacked step list on mobile. Keep it visually lighter than the full homepage process section. The goal here is guidance and confidence, not detailed process education.</w:t>
      </w:r>
    </w:p>
    <w:p>
      <w:pPr>
        <w:pStyle w:val="Heading1"/>
      </w:pPr>
      <w:r>
        <w:t>Section 11: Pricing Snapshot</w:t>
      </w:r>
    </w:p>
    <w:p>
      <w:pPr/>
      <w:r>
        <w:t>Purpose: Give visitors a brief, confidence-building explanation of how Sahirasta’s fees broadly work without turning the Service Hub page into a pricing essay. This section should reduce hesitation and route serious users to the full Pricing page.</w:t>
      </w:r>
    </w:p>
    <w:p>
      <w:pPr>
        <w:pStyle w:val="Heading2"/>
      </w:pPr>
      <w:r>
        <w:t>Content goals</w:t>
      </w:r>
    </w:p>
    <w:p>
      <w:pPr>
        <w:pStyle w:val="ListBullet"/>
      </w:pPr>
      <w:r>
        <w:t>State the pricing logic clearly: fees are generally around 10% of value recovered, but the final commercial proposal depends on complexity, documentation strength, succession issues, and execution effort.</w:t>
      </w:r>
    </w:p>
    <w:p>
      <w:pPr>
        <w:pStyle w:val="ListBullet"/>
      </w:pPr>
      <w:r>
        <w:t>Keep this section short. The Service Hub page needs a pricing snapshot, not a full commercial policy document.</w:t>
      </w:r>
    </w:p>
    <w:p>
      <w:pPr>
        <w:pStyle w:val="ListBullet"/>
      </w:pPr>
      <w:r>
        <w:t>Make the tone calm and transparent. Avoid aggressive “packages” language unless the business later introduces genuine standard packages.</w:t>
      </w:r>
    </w:p>
    <w:p>
      <w:pPr>
        <w:pStyle w:val="ListBullet"/>
      </w:pPr>
      <w:r>
        <w:t>Reassure users that the final fee is shared after understanding the case, so the page feels practical rather than vague.</w:t>
      </w:r>
    </w:p>
    <w:p>
      <w:pPr>
        <w:pStyle w:val="ListBullet"/>
      </w:pPr>
      <w:r>
        <w:t>Link this section cleanly to the full Pricing page for users who want more detail.</w:t>
      </w:r>
    </w:p>
    <w:p>
      <w:pPr>
        <w:pStyle w:val="Heading2"/>
      </w:pPr>
      <w:r>
        <w:t>Recommended content shape for this section</w:t>
      </w:r>
    </w:p>
    <w:p>
      <w:pPr>
        <w:pStyle w:val="ListBullet"/>
      </w:pPr>
      <w:r>
        <w:t>One short introductory line explaining that fees vary because recovery and regularisation cases differ widely in complexity.</w:t>
      </w:r>
    </w:p>
    <w:p>
      <w:pPr>
        <w:pStyle w:val="ListBullet"/>
      </w:pPr>
      <w:r>
        <w:t>A concise pricing summary block stating the general 10% recovery-linked model with room for higher or lower pricing depending on the case.</w:t>
      </w:r>
    </w:p>
    <w:p>
      <w:pPr>
        <w:pStyle w:val="ListBullet"/>
      </w:pPr>
      <w:r>
        <w:t>A short support line clarifying that the final fee is communicated after initial review.</w:t>
      </w:r>
    </w:p>
    <w:p>
      <w:pPr>
        <w:pStyle w:val="ListBullet"/>
      </w:pPr>
      <w:r>
        <w:t>A CTA or text link to the full Pricing page.</w:t>
      </w:r>
    </w:p>
    <w:p>
      <w:pPr>
        <w:pStyle w:val="Heading2"/>
      </w:pPr>
      <w:r>
        <w:t>Recommended recognition cues for visitors</w:t>
      </w:r>
    </w:p>
    <w:p>
      <w:pPr>
        <w:pStyle w:val="ListBullet"/>
      </w:pPr>
      <w:r>
        <w:t>“I want to understand the broad fee model before I contact you.”</w:t>
      </w:r>
    </w:p>
    <w:p>
      <w:pPr>
        <w:pStyle w:val="ListBullet"/>
      </w:pPr>
      <w:r>
        <w:t>“I understand that a simple case and a succession-heavy case should not be priced the same way.”</w:t>
      </w:r>
    </w:p>
    <w:p>
      <w:pPr>
        <w:pStyle w:val="ListBullet"/>
      </w:pPr>
      <w:r>
        <w:t>“I do not need an exact quote on the hub page, but I do need pricing logic.”</w:t>
      </w:r>
    </w:p>
    <w:p>
      <w:pPr/>
      <w:r>
        <w:t>Codex / implementation note: This section should be visually compact and clean, ideally as a pricing-summary block with one supporting paragraph and one link or button to the dedicated Pricing page. Do not overload it with exclusions, footnotes, or too many scenarios on the hub page itself.</w:t>
      </w:r>
    </w:p>
    <w:p>
      <w:pPr>
        <w:pStyle w:val="Heading1"/>
      </w:pPr>
      <w:r>
        <w:t>Section 12: Need Help Choosing the Right Service?</w:t>
      </w:r>
    </w:p>
    <w:p>
      <w:pPr/>
      <w:r>
        <w:t>Purpose: Close the Service Hub page with a direct conversion section for visitors who still do not know which service applies, or who know the issue but are ready to discuss the case. This is the page’s catch-all decision-to-action block.</w:t>
      </w:r>
    </w:p>
    <w:p>
      <w:pPr>
        <w:pStyle w:val="Heading2"/>
      </w:pPr>
      <w:r>
        <w:t>Content goals</w:t>
      </w:r>
    </w:p>
    <w:p>
      <w:pPr>
        <w:pStyle w:val="ListBullet"/>
      </w:pPr>
      <w:r>
        <w:t>This section should convert uncertainty into contact. It must work for both confused users and ready-to-proceed users.</w:t>
      </w:r>
    </w:p>
    <w:p>
      <w:pPr>
        <w:pStyle w:val="ListBullet"/>
      </w:pPr>
      <w:r>
        <w:t>The wording should make clear that the visitor does not need to classify the problem perfectly before reaching out.</w:t>
      </w:r>
    </w:p>
    <w:p>
      <w:pPr>
        <w:pStyle w:val="ListBullet"/>
      </w:pPr>
      <w:r>
        <w:t>Keep the tone practical and confidence-building. No dramatic urgency language or false promises.</w:t>
      </w:r>
    </w:p>
    <w:p>
      <w:pPr>
        <w:pStyle w:val="ListBullet"/>
      </w:pPr>
      <w:r>
        <w:t>Signal that Sahirasta can review mixed situations involving shares, insurance, PF, mutual funds, bank deposits, death-related claims, or incomplete records.</w:t>
      </w:r>
    </w:p>
    <w:p>
      <w:pPr>
        <w:pStyle w:val="ListBullet"/>
      </w:pPr>
      <w:r>
        <w:t>This section should naturally lead into a consultation form, contact CTA, or case-review request.</w:t>
      </w:r>
    </w:p>
    <w:p>
      <w:pPr>
        <w:pStyle w:val="Heading2"/>
      </w:pPr>
      <w:r>
        <w:t>Recommended content shape for this section</w:t>
      </w:r>
    </w:p>
    <w:p>
      <w:pPr>
        <w:pStyle w:val="ListBullet"/>
      </w:pPr>
      <w:r>
        <w:t>A short heading and support line focused on choosing the right path with help.</w:t>
      </w:r>
    </w:p>
    <w:p>
      <w:pPr>
        <w:pStyle w:val="ListBullet"/>
      </w:pPr>
      <w:r>
        <w:t>A two-part support message: one line for users who know the category, and one line for users who are unsure or have weak records.</w:t>
      </w:r>
    </w:p>
    <w:p>
      <w:pPr>
        <w:pStyle w:val="ListBullet"/>
      </w:pPr>
      <w:r>
        <w:t>A strong primary CTA such as Request a Free Consultation or Request a Case Review.</w:t>
      </w:r>
    </w:p>
    <w:p>
      <w:pPr>
        <w:pStyle w:val="ListBullet"/>
      </w:pPr>
      <w:r>
        <w:t>Optional secondary CTA such as View Pricing or Contact Us if needed.</w:t>
      </w:r>
    </w:p>
    <w:p>
      <w:pPr>
        <w:pStyle w:val="Heading2"/>
      </w:pPr>
      <w:r>
        <w:t>Recommended recognition cues for visitors</w:t>
      </w:r>
    </w:p>
    <w:p>
      <w:pPr>
        <w:pStyle w:val="ListBullet"/>
      </w:pPr>
      <w:r>
        <w:t>“I have gone through the page, but I still need help understanding where my case fits.”</w:t>
      </w:r>
    </w:p>
    <w:p>
      <w:pPr>
        <w:pStyle w:val="ListBullet"/>
      </w:pPr>
      <w:r>
        <w:t>“This may involve more than one issue, and I would rather explain the situation directly.”</w:t>
      </w:r>
    </w:p>
    <w:p>
      <w:pPr>
        <w:pStyle w:val="ListBullet"/>
      </w:pPr>
      <w:r>
        <w:t>“I am ready to speak to someone and understand the likely path forward.”</w:t>
      </w:r>
    </w:p>
    <w:p>
      <w:pPr/>
      <w:r>
        <w:t>Codex / implementation note: This should be the clearest CTA block on the Service Hub page. It can pair a short text column with a compact consultation form or a prominent button row. On mobile, the CTA must remain visible and easy to act on without scrolling through clutter.</w:t>
      </w:r>
    </w:p>
    <w:p>
      <w:pPr>
        <w:pStyle w:val="Heading2"/>
      </w:pPr>
      <w:r>
        <w:t>Batch F completion note</w:t>
      </w:r>
    </w:p>
    <w:p>
      <w:pPr/>
      <w:r>
        <w:t>With Batch F added, the Service Hub structure document is complete for Sections 1–12. The next stage should be a separate Service Hub copy document, built batch by batch in the same sequence so the structure and copy remain aligned.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35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04A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04A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35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