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Sahirasta Service Pages — Structure Master</w:t>
      </w:r>
    </w:p>
    <w:p>
      <w:pPr>
        <w:jc w:val="center"/>
      </w:pPr>
      <w:r>
        <w:t>Detailed service-page blueprint | Services 1–5 added: IEPF Claims, Duplicate / Lost Share Documents, Transmission of Shares, Physical Shares to Demat, Transmission-cum-Demat</w:t>
      </w:r>
    </w:p>
    <w:tbl>
      <w:tblPr>
        <w:tblW w:type="auto" w:w="0"/>
        <w:jc w:val="center"/>
        <w:tblLayout w:type="fixed"/>
        <w:tblLook w:firstColumn="1" w:firstRow="1" w:lastColumn="0" w:lastRow="0" w:noHBand="0" w:noVBand="1" w:val="04A0"/>
      </w:tblPr>
      <w:tblGrid>
        <w:gridCol w:w="9792"/>
      </w:tblGrid>
      <w:tr>
        <w:tc>
          <w:tcPr>
            <w:tcW w:type="dxa" w:w="9936"/>
            <w:tcMar>
              <w:top w:w="120" w:type="dxa"/>
              <w:start w:w="140" w:type="dxa"/>
              <w:bottom w:w="120" w:type="dxa"/>
              <w:end w:w="140" w:type="dxa"/>
            </w:tcMar>
            <w:shd w:fill="EEF4FB"/>
            <w:vAlign w:val="center"/>
          </w:tcPr>
          <w:p>
            <w:pPr>
              <w:spacing w:after="0"/>
            </w:pPr>
            <w:r>
              <w:rPr>
                <w:b/>
                <w:color w:val="1F4E79"/>
              </w:rPr>
              <w:t xml:space="preserve">How this master document will be used: </w:t>
            </w:r>
            <w:r>
              <w:rPr>
                <w:color w:val="373737"/>
              </w:rPr>
              <w:t>Each service page gets its own structure section in this same document. The structure stays separate from the copy document so Codex implementation remains cleaner and more consistent.</w:t>
            </w:r>
          </w:p>
        </w:tc>
      </w:tr>
    </w:tbl>
    <w:p>
      <w:pPr>
        <w:pStyle w:val="Heading1"/>
      </w:pPr>
      <w:r>
        <w:t>Service 1 — IEPF Claims</w:t>
      </w:r>
    </w:p>
    <w:tbl>
      <w:tblPr>
        <w:tblW w:type="auto" w:w="0"/>
        <w:jc w:val="center"/>
        <w:tblLayout w:type="fixed"/>
        <w:tblLook w:firstColumn="1" w:firstRow="1" w:lastColumn="0" w:lastRow="0" w:noHBand="0" w:noVBand="1" w:val="04A0"/>
      </w:tblPr>
      <w:tblGrid>
        <w:gridCol w:w="4968"/>
        <w:gridCol w:w="4968"/>
      </w:tblGrid>
      <w:tr>
        <w:tc>
          <w:tcPr>
            <w:tcW w:type="dxa" w:w="2592"/>
            <w:tcMar>
              <w:top w:w="90" w:type="dxa"/>
              <w:start w:w="110" w:type="dxa"/>
              <w:bottom w:w="90" w:type="dxa"/>
              <w:end w:w="110" w:type="dxa"/>
            </w:tcMar>
            <w:vAlign w:val="center"/>
            <w:shd w:fill="DCE6F1"/>
          </w:tcPr>
          <w:p>
            <w:pPr>
              <w:spacing w:after="0"/>
            </w:pPr>
            <w:r>
              <w:rPr>
                <w:b/>
                <w:color w:val="1F4E79"/>
              </w:rPr>
              <w:t>Page purpose</w:t>
            </w:r>
          </w:p>
        </w:tc>
        <w:tc>
          <w:tcPr>
            <w:tcW w:type="dxa" w:w="7200"/>
            <w:tcMar>
              <w:top w:w="90" w:type="dxa"/>
              <w:start w:w="110" w:type="dxa"/>
              <w:bottom w:w="90" w:type="dxa"/>
              <w:end w:w="110" w:type="dxa"/>
            </w:tcMar>
            <w:vAlign w:val="center"/>
          </w:tcPr>
          <w:p>
            <w:pPr>
              <w:spacing w:after="0"/>
            </w:pPr>
            <w:r>
              <w:t>Explain what IEPF is, help visitors recognize whether their case fits, reduce fear around the process, and move them toward a case review.</w:t>
            </w:r>
          </w:p>
        </w:tc>
      </w:tr>
      <w:tr>
        <w:tc>
          <w:tcPr>
            <w:tcW w:type="dxa" w:w="2592"/>
            <w:tcMar>
              <w:top w:w="90" w:type="dxa"/>
              <w:start w:w="110" w:type="dxa"/>
              <w:bottom w:w="90" w:type="dxa"/>
              <w:end w:w="110" w:type="dxa"/>
            </w:tcMar>
            <w:vAlign w:val="center"/>
            <w:shd w:fill="DCE6F1"/>
          </w:tcPr>
          <w:p>
            <w:pPr>
              <w:spacing w:after="0"/>
            </w:pPr>
            <w:r>
              <w:rPr>
                <w:b/>
                <w:color w:val="1F4E79"/>
              </w:rPr>
              <w:t>Primary audiences</w:t>
            </w:r>
          </w:p>
        </w:tc>
        <w:tc>
          <w:tcPr>
            <w:tcW w:type="dxa" w:w="7200"/>
            <w:tcMar>
              <w:top w:w="90" w:type="dxa"/>
              <w:start w:w="110" w:type="dxa"/>
              <w:bottom w:w="90" w:type="dxa"/>
              <w:end w:w="110" w:type="dxa"/>
            </w:tcMar>
            <w:vAlign w:val="center"/>
          </w:tcPr>
          <w:p>
            <w:pPr>
              <w:spacing w:after="0"/>
            </w:pPr>
            <w:r>
              <w:t>Original shareholders, joint holders, nominees, legal heirs, families tracing old investments, and NRIs with Indian holdings that may have shifted to IEPF.</w:t>
            </w:r>
          </w:p>
        </w:tc>
      </w:tr>
      <w:tr>
        <w:tc>
          <w:tcPr>
            <w:tcW w:type="dxa" w:w="2592"/>
            <w:tcMar>
              <w:top w:w="90" w:type="dxa"/>
              <w:start w:w="110" w:type="dxa"/>
              <w:bottom w:w="90" w:type="dxa"/>
              <w:end w:w="110" w:type="dxa"/>
            </w:tcMar>
            <w:vAlign w:val="center"/>
            <w:shd w:fill="DCE6F1"/>
          </w:tcPr>
          <w:p>
            <w:pPr>
              <w:spacing w:after="0"/>
            </w:pPr>
            <w:r>
              <w:rPr>
                <w:b/>
                <w:color w:val="1F4E79"/>
              </w:rPr>
              <w:t>Core conversion goal</w:t>
            </w:r>
          </w:p>
        </w:tc>
        <w:tc>
          <w:tcPr>
            <w:tcW w:type="dxa" w:w="7200"/>
            <w:tcMar>
              <w:top w:w="90" w:type="dxa"/>
              <w:start w:w="110" w:type="dxa"/>
              <w:bottom w:w="90" w:type="dxa"/>
              <w:end w:w="110" w:type="dxa"/>
            </w:tcMar>
            <w:vAlign w:val="center"/>
          </w:tcPr>
          <w:p>
            <w:pPr>
              <w:spacing w:after="0"/>
            </w:pPr>
            <w:r>
              <w:t>Convert confused or stuck visitors into consultation leads by showing that Sahirasta handles both the filing route and the document clean-up needed before filing.</w:t>
            </w:r>
          </w:p>
        </w:tc>
      </w:tr>
      <w:tr>
        <w:tc>
          <w:tcPr>
            <w:tcW w:type="dxa" w:w="2592"/>
            <w:tcMar>
              <w:top w:w="90" w:type="dxa"/>
              <w:start w:w="110" w:type="dxa"/>
              <w:bottom w:w="90" w:type="dxa"/>
              <w:end w:w="110" w:type="dxa"/>
            </w:tcMar>
            <w:vAlign w:val="center"/>
            <w:shd w:fill="DCE6F1"/>
          </w:tcPr>
          <w:p>
            <w:pPr>
              <w:spacing w:after="0"/>
            </w:pPr>
            <w:r>
              <w:rPr>
                <w:b/>
                <w:color w:val="1F4E79"/>
              </w:rPr>
              <w:t>Positioning note</w:t>
            </w:r>
          </w:p>
        </w:tc>
        <w:tc>
          <w:tcPr>
            <w:tcW w:type="dxa" w:w="7200"/>
            <w:tcMar>
              <w:top w:w="90" w:type="dxa"/>
              <w:start w:w="110" w:type="dxa"/>
              <w:bottom w:w="90" w:type="dxa"/>
              <w:end w:w="110" w:type="dxa"/>
            </w:tcMar>
            <w:vAlign w:val="center"/>
          </w:tcPr>
          <w:p>
            <w:pPr>
              <w:spacing w:after="0"/>
            </w:pPr>
            <w:r>
              <w:t>This should be positioned as a flagship recovery page: serious, practical, process-led, and clearly different from a generic finance website.</w:t>
            </w:r>
          </w:p>
        </w:tc>
      </w:tr>
    </w:tbl>
    <w:p>
      <w:pPr>
        <w:pStyle w:val="Heading1"/>
      </w:pPr>
      <w:r>
        <w:t>Recommended page sections</w:t>
      </w:r>
    </w:p>
    <w:p>
      <w:pPr>
        <w:pStyle w:val="Heading2"/>
      </w:pPr>
      <w:r>
        <w:t>1. Hero</w:t>
      </w:r>
    </w:p>
    <w:p>
      <w:pPr>
        <w:spacing w:after="160"/>
        <w:ind w:left="259"/>
      </w:pPr>
      <w:r>
        <w:t>State the service plainly: Sahirasta helps recover shares, dividends, deposits, debentures, and other eligible amounts transferred to IEPF. Include one primary CTA and one reassurance line for people who are unsure whether their assets have actually moved to IEPF.</w:t>
      </w:r>
    </w:p>
    <w:p>
      <w:pPr>
        <w:pStyle w:val="Heading2"/>
      </w:pPr>
      <w:r>
        <w:t>2. What is IEPF?</w:t>
      </w:r>
    </w:p>
    <w:p>
      <w:pPr>
        <w:spacing w:after="160"/>
        <w:ind w:left="259"/>
      </w:pPr>
      <w:r>
        <w:t>Explain the Investor Education and Protection Fund in plain English. Clarify that this is a government-managed recovery route for assets already transferred out of normal company control after prolonged non-claiming.</w:t>
      </w:r>
    </w:p>
    <w:p>
      <w:pPr>
        <w:pStyle w:val="Heading2"/>
      </w:pPr>
      <w:r>
        <w:t>3. When does this issue arise?</w:t>
      </w:r>
    </w:p>
    <w:p>
      <w:pPr>
        <w:spacing w:after="160"/>
        <w:ind w:left="259"/>
      </w:pPr>
      <w:r>
        <w:t>List the common triggers: seven consecutive years of unclaimed dividends, matured deposits or debentures never claimed, shareholder death, address/bank changes, dormant bank accounts, and old family investments that were ignored for years.</w:t>
      </w:r>
    </w:p>
    <w:p>
      <w:pPr>
        <w:pStyle w:val="Heading2"/>
      </w:pPr>
      <w:r>
        <w:t>4. Who typically needs this service?</w:t>
      </w:r>
    </w:p>
    <w:p>
      <w:pPr>
        <w:spacing w:after="160"/>
        <w:ind w:left="259"/>
      </w:pPr>
      <w:r>
        <w:t>Cover original investors, joint holders, nominees, legal heirs, widows, families tracing old investments, and NRIs. This section should help visitors self-identify quickly.</w:t>
      </w:r>
    </w:p>
    <w:p>
      <w:pPr>
        <w:pStyle w:val="Heading2"/>
      </w:pPr>
      <w:r>
        <w:t>5. How Sahirasta helps</w:t>
      </w:r>
    </w:p>
    <w:p>
      <w:pPr>
        <w:spacing w:after="160"/>
        <w:ind w:left="259"/>
      </w:pPr>
      <w:r>
        <w:t>Outline the practical route: identify the asset trail, check readiness, clean up entitlement/demat/bank issues, file IEPF-5, coordinate with the company’s Nodal Officer, and track the claim to release or credit.</w:t>
      </w:r>
    </w:p>
    <w:p>
      <w:pPr>
        <w:pStyle w:val="Heading2"/>
      </w:pPr>
      <w:r>
        <w:t>6. Documents usually required</w:t>
      </w:r>
    </w:p>
    <w:p>
      <w:pPr>
        <w:spacing w:after="160"/>
        <w:ind w:left="259"/>
      </w:pPr>
      <w:r>
        <w:t>Give a realistic working list: IEPF-5 acknowledgement/SRN, indemnity bond, advance stamped receipt, share/deposit/debenture certificate if available, demat statement, ID proof, PAN, bank proof, entitlement papers, and extra overseas execution documents for NRIs where applicable.</w:t>
      </w:r>
    </w:p>
    <w:p>
      <w:pPr>
        <w:pStyle w:val="Heading2"/>
      </w:pPr>
      <w:r>
        <w:t>7. Common reasons claims get delayed or become necessary</w:t>
      </w:r>
    </w:p>
    <w:p>
      <w:pPr>
        <w:spacing w:after="160"/>
        <w:ind w:left="259"/>
      </w:pPr>
      <w:r>
        <w:t>Explain practical causes rather than repeating law: outdated address, expired dividend warrants, bank mismatch, shareholder death, missing KYC alignment, forgotten physical folios, and unresolved succession defects.</w:t>
      </w:r>
    </w:p>
    <w:p>
      <w:pPr>
        <w:pStyle w:val="Heading2"/>
      </w:pPr>
      <w:r>
        <w:t>8. Special notes for legal heirs and NRIs</w:t>
      </w:r>
    </w:p>
    <w:p>
      <w:pPr>
        <w:spacing w:after="160"/>
        <w:ind w:left="259"/>
      </w:pPr>
      <w:r>
        <w:t>Separate out complexity: NRIs may need stronger identity/bank/demat alignment and overseas attestation; legal-heir cases often require death certificate, succession support, nominee review, and name-matched claimant readiness before the IEPF claim can succeed.</w:t>
      </w:r>
    </w:p>
    <w:p>
      <w:pPr>
        <w:pStyle w:val="Heading2"/>
      </w:pPr>
      <w:r>
        <w:t>9. Complexity, limitations, and timelines</w:t>
      </w:r>
    </w:p>
    <w:p>
      <w:pPr>
        <w:spacing w:after="160"/>
        <w:ind w:left="259"/>
      </w:pPr>
      <w:r>
        <w:t>Set expectations honestly. Make clear that the online form is only one part; pre-filing clean-up and exact document matching often determine whether the case moves smoothly or stalls.</w:t>
      </w:r>
    </w:p>
    <w:p>
      <w:pPr>
        <w:pStyle w:val="Heading2"/>
      </w:pPr>
      <w:r>
        <w:t>10. FAQs</w:t>
      </w:r>
    </w:p>
    <w:p>
      <w:pPr>
        <w:spacing w:after="160"/>
        <w:ind w:left="259"/>
      </w:pPr>
      <w:r>
        <w:t>Answer the most likely questions: Has my investment really gone to IEPF? Can I claim without original certificates? Can NRIs claim? What if the shareholder has died? Do I need a demat account? How long can it take?</w:t>
      </w:r>
    </w:p>
    <w:p>
      <w:pPr>
        <w:pStyle w:val="Heading2"/>
      </w:pPr>
      <w:r>
        <w:t>11. CTA block</w:t>
      </w:r>
    </w:p>
    <w:p>
      <w:pPr>
        <w:spacing w:after="160"/>
        <w:ind w:left="259"/>
      </w:pPr>
      <w:r>
        <w:t>Close with a direct case-review invitation for users who suspect their shares or dividends may have moved to IEPF or who are struggling with the paperwork.</w:t>
      </w:r>
    </w:p>
    <w:p>
      <w:pPr>
        <w:pStyle w:val="Heading1"/>
      </w:pPr>
      <w:r>
        <w:t>Implementation and design notes for Codex</w:t>
      </w:r>
    </w:p>
    <w:p>
      <w:pPr>
        <w:ind w:left="288" w:hanging="259"/>
      </w:pPr>
      <w:r>
        <w:t xml:space="preserve">• </w:t>
      </w:r>
      <w:r>
        <w:t>Use this page as one of the strongest conversion pages on the website. It should feel more authoritative than the generic service hub.</w:t>
      </w:r>
    </w:p>
    <w:p>
      <w:pPr>
        <w:ind w:left="288" w:hanging="259"/>
      </w:pPr>
      <w:r>
        <w:t xml:space="preserve">• </w:t>
      </w:r>
      <w:r>
        <w:t>Keep the top of the page calm and clear. Avoid legal-jargon overload in the hero; push the detail lower down.</w:t>
      </w:r>
    </w:p>
    <w:p>
      <w:pPr>
        <w:ind w:left="288" w:hanging="259"/>
      </w:pPr>
      <w:r>
        <w:t xml:space="preserve">• </w:t>
      </w:r>
      <w:r>
        <w:t>Use practical callout boxes for “Who this is for” and “Documents usually required” so the page feels usable, not essay-like.</w:t>
      </w:r>
    </w:p>
    <w:p>
      <w:pPr>
        <w:ind w:left="288" w:hanging="259"/>
      </w:pPr>
      <w:r>
        <w:t xml:space="preserve">• </w:t>
      </w:r>
      <w:r>
        <w:t>Include a short note near the CTA that users do not need perfect clarity before contacting Sahirasta; many IEPF cases begin with incomplete information.</w:t>
      </w:r>
    </w:p>
    <w:p>
      <w:pPr>
        <w:ind w:left="288" w:hanging="259"/>
      </w:pPr>
      <w:r>
        <w:t xml:space="preserve">• </w:t>
      </w:r>
      <w:r>
        <w:t>Do not overpromise timelines. Emphasize careful preparation, regulator-facing filing, and document consistency.</w:t>
      </w:r>
    </w:p>
    <w:p>
      <w:pPr>
        <w:pStyle w:val="Heading1"/>
      </w:pPr>
      <w:r>
        <w:t>Internal reference note</w:t>
      </w:r>
    </w:p>
    <w:p>
      <w:r>
        <w:t>This structure was informed by the Sahirasta master service sheet for IEPF claims and the earlier benchmark work. The final website copy should remain customer-facing, cleaner, and more concise than the internal notes.</w:t>
      </w:r>
    </w:p>
    <w:p>
      <w:pPr>
        <w:spacing w:before="200"/>
        <w:jc w:val="center"/>
      </w:pPr>
      <w:r>
        <w:rPr>
          <w:i/>
          <w:color w:val="646464"/>
          <w:sz w:val="19"/>
        </w:rPr>
        <w:t>Next service to add in this same master document: Duplicate / Lost Share Documents</w:t>
      </w:r>
    </w:p>
    <w:p>
      <w:r>
        <w:br w:type="page"/>
      </w:r>
    </w:p>
    <w:p>
      <w:pPr>
        <w:pStyle w:val="Heading1"/>
      </w:pPr>
      <w:r>
        <w:t>Service 2 — Duplicate / Lost Share Documents</w:t>
      </w:r>
    </w:p>
    <w:p>
      <w:pPr/>
      <w:r>
        <w:t>This page should position Sahirasta as the service that helps reconstruct missing ownership proof when original physical share certificates are lost, stolen, damaged, mutilated, or too old to use. The page should make one thing clear: the objective is not to “replace paper” for its own sake, but to restore a usable ownership trail so the holding can move to demat, transmission, sale, or other regularisation.</w:t>
      </w:r>
    </w:p>
    <w:p>
      <w:pPr>
        <w:pStyle w:val="Heading1"/>
      </w:pPr>
      <w:r>
        <w:t>Recommended page sections</w:t>
      </w:r>
    </w:p>
    <w:p>
      <w:pPr>
        <w:pStyle w:val="Heading2"/>
      </w:pPr>
      <w:r>
        <w:t>1. Hero</w:t>
      </w:r>
    </w:p>
    <w:p>
      <w:pPr/>
      <w:r>
        <w:t>State the problem directly: Sahirasta helps shareholders, legal heirs, joint holders, and NRIs handle old physical-share cases where the original certificate is missing or unusable. The hero should signal relief from confusion, not legal theatre. Include a CTA such as “Request a Case Review” or “Get Help with Lost Share Documents.”</w:t>
      </w:r>
    </w:p>
    <w:p>
      <w:pPr>
        <w:pStyle w:val="Heading2"/>
      </w:pPr>
      <w:r>
        <w:t>2. What is this service?</w:t>
      </w:r>
    </w:p>
    <w:p>
      <w:pPr/>
      <w:r>
        <w:t>Explain in plain English that this service deals with restoration of ownership evidence in legacy physical-share cases. Clarify that companies and RTAs do not simply accept a verbal statement that a certificate was lost; the shareholder usually has to follow the issuer’s duplicate-issue or Letter of Confirmation process before the holding can move forward.</w:t>
      </w:r>
    </w:p>
    <w:p>
      <w:pPr>
        <w:pStyle w:val="Heading2"/>
      </w:pPr>
      <w:r>
        <w:t>3. When does this issue arise?</w:t>
      </w:r>
    </w:p>
    <w:p>
      <w:pPr/>
      <w:r>
        <w:t>List the most common triggers: certificates lost during house shifting, travel, or long storage; documents damaged by age, moisture, pests, fire, or flood; families discovering old investments after the original holder’s death; and paper holdings left untouched for years without dematerialisation. This section should help users recognise that “we cannot find the certificate” is itself a serviceable problem.</w:t>
      </w:r>
    </w:p>
    <w:p>
      <w:pPr>
        <w:pStyle w:val="Heading2"/>
      </w:pPr>
      <w:r>
        <w:t>4. Who typically needs this service?</w:t>
      </w:r>
    </w:p>
    <w:p>
      <w:pPr/>
      <w:r>
        <w:t>Cover holders of old physical shares, senior citizens with legacy paper holdings, joint holders, families tracing forgotten investments, legal heirs where the original certificate set is missing, and NRIs who still hold Indian securities in certificate form. Make room for users who have partial records such as folio numbers, dividend warrants, or old correspondence but not the certificate itself.</w:t>
      </w:r>
    </w:p>
    <w:p>
      <w:pPr>
        <w:pStyle w:val="Heading2"/>
      </w:pPr>
      <w:r>
        <w:t>5. How Sahirasta helps</w:t>
      </w:r>
    </w:p>
    <w:p>
      <w:pPr/>
      <w:r>
        <w:t>Set out the operational route: identify the company, folio, and extent of the holding from available clues; confirm the current issuer/RTA process; prepare the request set; manage affidavit, indemnity, signature-verification, and complaint/public-notice steps where required; submit KYC and demat-ready documents; and help the client obtain the duplicate entitlement or Letter of Confirmation needed for the next step.</w:t>
      </w:r>
    </w:p>
    <w:p>
      <w:pPr>
        <w:pStyle w:val="Heading2"/>
      </w:pPr>
      <w:r>
        <w:t>6. Documents usually required</w:t>
      </w:r>
    </w:p>
    <w:p>
      <w:pPr/>
      <w:r>
        <w:t>Give a realistic working list rather than a fake “one-size-fits-all” checklist. Include identity proof, address proof, PAN, bank proof, specimen signature, demat account details or client master list, request letter, and issuer-prescribed duplicate-issue forms. Also explain that additional papers may be required depending on the company and value band: affidavit, indemnity bond, notarised declarations, surety papers, FIR or complaint copy, or newspaper advertisement proof.</w:t>
      </w:r>
    </w:p>
    <w:p>
      <w:pPr>
        <w:pStyle w:val="Heading2"/>
      </w:pPr>
      <w:r>
        <w:t>7. Common reasons the problem happens</w:t>
      </w:r>
    </w:p>
    <w:p>
      <w:pPr/>
      <w:r>
        <w:t>Focus on practical causes: paper-share culture, long periods of inactivity, multiple house moves, poor record storage, death of the original holder, and failure to dematerialise when the holding was still easy to trace. This section should make the problem feel common and solvable rather than shameful or suspicious.</w:t>
      </w:r>
    </w:p>
    <w:p>
      <w:pPr>
        <w:pStyle w:val="Heading2"/>
      </w:pPr>
      <w:r>
        <w:t>8. Special notes for legal heirs and NRIs</w:t>
      </w:r>
    </w:p>
    <w:p>
      <w:pPr/>
      <w:r>
        <w:t>Separate out the extra difficulty. For NRIs, highlight overseas identity proof, attestation, signature-verification, and execution formalities. For legal-heir cases, explain that duplicate-share handling may have to be coordinated with or preceded by transmission because the registrar must be satisfied about entitlement before fresh ownership evidence can be issued.</w:t>
      </w:r>
    </w:p>
    <w:p>
      <w:pPr>
        <w:pStyle w:val="Heading2"/>
      </w:pPr>
      <w:r>
        <w:t>9. Complexity, limitations, and timelines</w:t>
      </w:r>
    </w:p>
    <w:p>
      <w:pPr/>
      <w:r>
        <w:t>Be direct about variability. Company and RTA requirements differ more than clients expect, and threshold-based rules for indemnity, surety, police complaint, or public notice can change by issuer and market value. Explain that weak folio information, missing supporting records, disputed succession, or mismatch in signatures/KYC can materially slow the case.</w:t>
      </w:r>
    </w:p>
    <w:p>
      <w:pPr>
        <w:pStyle w:val="Heading2"/>
      </w:pPr>
      <w:r>
        <w:t>10. FAQs</w:t>
      </w:r>
    </w:p>
    <w:p>
      <w:pPr/>
      <w:r>
        <w:t>Answer the obvious questions: Can I recover shares if the certificate is lost? Do I need an FIR? What if I only know the company name? Can legal heirs apply if the original holder has died? Can the shares be dematerialised after the duplicate process? Do NRIs need special attestation? This FAQ set should reduce first-call friction.</w:t>
      </w:r>
    </w:p>
    <w:p>
      <w:pPr>
        <w:pStyle w:val="Heading2"/>
      </w:pPr>
      <w:r>
        <w:t>11. CTA block</w:t>
      </w:r>
    </w:p>
    <w:p>
      <w:pPr/>
      <w:r>
        <w:t>Close with a direct invitation for users who suspect they own old physical shares but cannot locate the original documents. The CTA should encourage them to share whatever records they do have — even incomplete ones — so Sahirasta can assess the likely route.</w:t>
      </w:r>
    </w:p>
    <w:p>
      <w:pPr>
        <w:pStyle w:val="Heading1"/>
      </w:pPr>
      <w:r>
        <w:t>Implementation and design notes for Codex</w:t>
      </w:r>
    </w:p>
    <w:p>
      <w:pPr/>
      <w:r>
        <w:t>• Keep this page strongly practical. The visitor should feel that the site understands messy real-life paper-share problems, not just the formal registrar process.</w:t>
      </w:r>
    </w:p>
    <w:p>
      <w:pPr/>
      <w:r>
        <w:t>• Use a “What you may still have” callout box to show that even partial clues — company name, folio number, dividend warrant, old transfer deed, or correspondence — may help restart the case.</w:t>
      </w:r>
    </w:p>
    <w:p>
      <w:pPr/>
      <w:r>
        <w:t>• Use a separate caution box for value-based variation, making clear that issuer requirements differ and some cases need indemnity, surety, complaint, or public notice steps.</w:t>
      </w:r>
    </w:p>
    <w:p>
      <w:pPr/>
      <w:r>
        <w:t>• Add a soft bridge toward the next likely services: Physical Shares to Demat, Transmission of Shares, and Name / Signature / Address Correction.</w:t>
      </w:r>
    </w:p>
    <w:p>
      <w:pPr/>
      <w:r>
        <w:t>• Do not present this as an instant online fix. The page should signal careful reconstruction of the ownership trail and disciplined paperwork.</w:t>
      </w:r>
    </w:p>
    <w:p>
      <w:pPr>
        <w:pStyle w:val="Heading1"/>
      </w:pPr>
      <w:r>
        <w:t>Internal reference note</w:t>
      </w:r>
    </w:p>
    <w:p>
      <w:pPr/>
      <w:r>
        <w:t>This structure was informed by the Sahirasta master service sheet for Duplicate Share Certificate / Lost Shares and shaped around the page’s real commercial job: converting users who have missing paper-share evidence into case-review leads without drowning them in registrar jargon.</w:t>
      </w:r>
    </w:p>
    <w:p>
      <w:pPr/>
      <w:r>
        <w:t>Next service to add in this same master document: Transmission of Shares</w:t>
      </w:r>
    </w:p>
    <w:p>
      <w:r>
        <w:br w:type="page"/>
      </w:r>
    </w:p>
    <w:p>
      <w:pPr>
        <w:pStyle w:val="Heading1"/>
      </w:pPr>
      <w:r>
        <w:t>Service 3 — Transmission of Shares</w:t>
      </w:r>
    </w:p>
    <w:p>
      <w:pPr/>
      <w:r>
        <w:t>This page should position Sahirasta as the service that helps families, nominees, joint holders, legal heirs, and NRIs convert a deceased shareholder’s holding into a legally usable ownership record. The emphasis should be on succession regularisation, not routine share transfer.</w:t>
      </w:r>
    </w:p>
    <w:p>
      <w:pPr>
        <w:pStyle w:val="Heading1"/>
      </w:pPr>
      <w:r>
        <w:t>Recommended page sections</w:t>
      </w:r>
    </w:p>
    <w:p>
      <w:pPr>
        <w:pStyle w:val="Heading2"/>
      </w:pPr>
      <w:r>
        <w:t>1. Hero</w:t>
      </w:r>
    </w:p>
    <w:p>
      <w:pPr/>
      <w:r>
        <w:t>State the issue plainly: Sahirasta helps families, nominees, surviving joint holders, legal heirs, executors, administrators, and NRIs handle transmission of shares after the death of a shareholder. Make it clear that this is about changing title after death so that the holding can be lawfully dealt with.</w:t>
      </w:r>
    </w:p>
    <w:p>
      <w:pPr>
        <w:pStyle w:val="Heading2"/>
      </w:pPr>
      <w:r>
        <w:t>2. What is transmission of shares?</w:t>
      </w:r>
    </w:p>
    <w:p>
      <w:pPr/>
      <w:r>
        <w:t>Explain in plain English that transmission is a succession-driven change in ownership after death, not a voluntary sale or transfer. Clarify the difference early because many visitors confuse transmission with transfer, especially in old physical-share cases.</w:t>
      </w:r>
    </w:p>
    <w:p>
      <w:pPr>
        <w:pStyle w:val="Heading2"/>
      </w:pPr>
      <w:r>
        <w:t>3. When does this issue arise?</w:t>
      </w:r>
    </w:p>
    <w:p>
      <w:pPr/>
      <w:r>
        <w:t>List the practical triggers: a shareholder dies and the family discovers shares in physical or demat form; the shares cannot be sold, dematerialised, or claimed because the deceased holder is still on record; no nomination exists; multiple heirs are involved; or old holdings surface only during estate clean-up.</w:t>
      </w:r>
    </w:p>
    <w:p>
      <w:pPr>
        <w:pStyle w:val="Heading2"/>
      </w:pPr>
      <w:r>
        <w:t>4. Who typically needs this service?</w:t>
      </w:r>
    </w:p>
    <w:p>
      <w:pPr/>
      <w:r>
        <w:t>Cover nominees, surviving joint holders, spouses, widows, children, parents, siblings, legal heirs, executors, administrators, and NRIs trying to claim securities left by a deceased family member. Make the page recognisable to users who know the asset exists but do not yet know the correct succession path.</w:t>
      </w:r>
    </w:p>
    <w:p>
      <w:pPr>
        <w:pStyle w:val="Heading2"/>
      </w:pPr>
      <w:r>
        <w:t>5. How Sahirasta helps</w:t>
      </w:r>
    </w:p>
    <w:p>
      <w:pPr/>
      <w:r>
        <w:t>Lay out the operational route: identify the company or DP, folio or demat details, and holding mode; determine the correct entitlement path such as nomination, survivorship, will, probate, succession certificate, or accepted heirship route; collect death, identity, relationship, bank, and demat proofs; prepare and submit the transmission set; and follow through until the holding is registered in the right claimant name or pattern.</w:t>
      </w:r>
    </w:p>
    <w:p>
      <w:pPr>
        <w:pStyle w:val="Heading2"/>
      </w:pPr>
      <w:r>
        <w:t>6. Documents usually required</w:t>
      </w:r>
    </w:p>
    <w:p>
      <w:pPr/>
      <w:r>
        <w:t>Use a realistic checklist: death certificate, PAN and address proof of the claimant, client master list or demat details, cancelled cheque or bank proof, specimen signature, transmission request forms, and original certificates where the holding is physical. Then note that nomination proof, family tree, legal-heir certificate, affidavit, indemnity, no-objection declarations, probate, succession certificate, or will documents may also be needed depending on the case.</w:t>
      </w:r>
    </w:p>
    <w:p>
      <w:pPr>
        <w:pStyle w:val="Heading2"/>
      </w:pPr>
      <w:r>
        <w:t>7. Common reasons the problem becomes difficult</w:t>
      </w:r>
    </w:p>
    <w:p>
      <w:pPr/>
      <w:r>
        <w:t>Focus on practical pain points: no nomination, no will, multiple legal heirs, disagreement among family members, jointly held securities, holdings spread across many companies, missing certificates, mismatch between legacy folio details and current KYC, and remote handling by NRIs.</w:t>
      </w:r>
    </w:p>
    <w:p>
      <w:pPr>
        <w:pStyle w:val="Heading2"/>
      </w:pPr>
      <w:r>
        <w:t>8. Special notes for legal heirs and NRIs</w:t>
      </w:r>
    </w:p>
    <w:p>
      <w:pPr/>
      <w:r>
        <w:t>Separate out the two high-friction groups. For legal-heir cases, stress that the key issue is choosing the correct succession route and making every supporting document point to the same claimant set and entitlement story. For NRIs, highlight overseas execution formalities, attestation, bank and demat alignment, and the slower pace that often comes with remote document handling.</w:t>
      </w:r>
    </w:p>
    <w:p>
      <w:pPr>
        <w:pStyle w:val="Heading2"/>
      </w:pPr>
      <w:r>
        <w:t>9. Complexity, limitations, and timelines</w:t>
      </w:r>
    </w:p>
    <w:p>
      <w:pPr/>
      <w:r>
        <w:t>Set expectations honestly. Explain that the biggest risk is taking the wrong route too early, such as treating a multi-heir dispute like a simple nominee case. Make it clear that complexity rises sharply where no nomination exists, where the estate is fragmented, or where transmission must later be linked to duplicate-share, demat, or IEPF work.</w:t>
      </w:r>
    </w:p>
    <w:p>
      <w:pPr>
        <w:pStyle w:val="Heading2"/>
      </w:pPr>
      <w:r>
        <w:t>10. FAQs</w:t>
      </w:r>
    </w:p>
    <w:p>
      <w:pPr/>
      <w:r>
        <w:t>Answer the practical questions: Is transmission the same as transfer? Can shares be transmitted without a nomination? What if there are multiple heirs? Can transmission happen if the shares are still in physical form? What if the family does not have all the documents? Can NRIs complete transmission from abroad?</w:t>
      </w:r>
    </w:p>
    <w:p>
      <w:pPr>
        <w:pStyle w:val="Heading2"/>
      </w:pPr>
      <w:r>
        <w:t>11. CTA block</w:t>
      </w:r>
    </w:p>
    <w:p>
      <w:pPr/>
      <w:r>
        <w:t>Close with a direct case-review invitation for families, widows, nominees, legal heirs, and NRIs who know the shares belonged to the deceased but do not yet know the correct legal or procedural route.</w:t>
      </w:r>
    </w:p>
    <w:p>
      <w:pPr>
        <w:pStyle w:val="Heading1"/>
      </w:pPr>
      <w:r>
        <w:t>Implementation and design notes for Codex</w:t>
      </w:r>
    </w:p>
    <w:p>
      <w:pPr/>
      <w:r>
        <w:t>• Keep this page calm, serious, and succession-focused. It should feel different from the IEPF and duplicate-share pages because the central problem here is title and entitlement after death.</w:t>
      </w:r>
    </w:p>
    <w:p>
      <w:pPr/>
      <w:r>
        <w:t>• Use a comparison callout near the top that briefly distinguishes transmission from transfer. This will save users from misclassifying their case.</w:t>
      </w:r>
    </w:p>
    <w:p>
      <w:pPr/>
      <w:r>
        <w:t>• Add a visual pathway box for the most common routes: nominee route, surviving joint holder route, will or probate route, succession-certificate route, and family-document route where accepted.</w:t>
      </w:r>
    </w:p>
    <w:p>
      <w:pPr/>
      <w:r>
        <w:t>• Use side notes or small callouts to show likely downstream next steps, such as Physical Shares to Demat, Transmission-cum-Demat, Duplicate / Lost Share Documents, or IEPF recovery where relevant.</w:t>
      </w:r>
    </w:p>
    <w:p>
      <w:pPr/>
      <w:r>
        <w:t>• Do not oversimplify contested or multi-heir matters. The page should reassure users but also signal that succession handling can become document-heavy and route-sensitive.</w:t>
      </w:r>
    </w:p>
    <w:p>
      <w:pPr>
        <w:pStyle w:val="Heading1"/>
      </w:pPr>
      <w:r>
        <w:t>Internal reference note</w:t>
      </w:r>
    </w:p>
    <w:p>
      <w:pPr/>
      <w:r>
        <w:t>This structure was informed by the Sahirasta master service sheet for Transmission of Shares and shaped around succession, nomination, legal-heir, and NRI handling needs. The final website copy should stay practical, emotionally steady, and route-specific.</w:t>
      </w:r>
    </w:p>
    <w:p>
      <w:pPr/>
      <w:r>
        <w:t>Next service to add in this same master document: Physical Shares to Demat</w:t>
      </w:r>
    </w:p>
    <w:p>
      <w:pPr/>
      <w:r/>
    </w:p>
    <w:p>
      <w:pPr>
        <w:pStyle w:val="Heading1"/>
      </w:pPr>
      <w:r>
        <w:t>Service 4 — Physical Shares to Demat</w:t>
      </w:r>
    </w:p>
    <w:p>
      <w:pPr/>
      <w:r>
        <w:t>This page should position Sahirasta as the service that helps investors, families, senior citizens, and NRIs convert valid old paper shareholdings into usable demat form. The emphasis should be on format conversion and regularisation of an existing holding — not succession after death and not lost-certificate reconstruction.</w:t>
      </w:r>
    </w:p>
    <w:p>
      <w:pPr>
        <w:pStyle w:val="Heading1"/>
      </w:pPr>
      <w:r>
        <w:t>Recommended page sections</w:t>
      </w:r>
    </w:p>
    <w:p>
      <w:pPr>
        <w:pStyle w:val="Heading2"/>
      </w:pPr>
      <w:r>
        <w:t>1. Hero</w:t>
      </w:r>
    </w:p>
    <w:p>
      <w:pPr/>
      <w:r>
        <w:t>State the issue plainly: Sahirasta helps investors convert old physical share certificates into demat form so the holding becomes live, trackable, and operationally usable. Make it clear that this service is for identifiable paper holdings where the ownership trail broadly exists, even if some clean-up is still needed.</w:t>
      </w:r>
    </w:p>
    <w:p>
      <w:pPr>
        <w:pStyle w:val="Heading2"/>
      </w:pPr>
      <w:r>
        <w:t>2. What is physical-to-demat conversion?</w:t>
      </w:r>
    </w:p>
    <w:p>
      <w:pPr/>
      <w:r>
        <w:t>Explain in plain English that this is the process of moving a shareholding from paper certificate form into electronic / demat form. Clarify early that this is mainly a format-conversion and compliance step. If the certificate is missing, the holder has died, or the folio record is defective, those issues may need to be resolved before or alongside dematerialisation.</w:t>
      </w:r>
    </w:p>
    <w:p>
      <w:pPr>
        <w:pStyle w:val="Heading2"/>
      </w:pPr>
      <w:r>
        <w:t>3. When does this issue arise?</w:t>
      </w:r>
    </w:p>
    <w:p>
      <w:pPr/>
      <w:r>
        <w:t>List the practical triggers: an investor discovers old paper certificates at home; a family finds legacy holdings during estate review; the holder wants to sell or monitor the investment but cannot do so while it remains in certificate form; or a portfolio clean-up reveals that some shares were never converted into demat during the market-wide transition away from paper.</w:t>
      </w:r>
    </w:p>
    <w:p>
      <w:pPr>
        <w:pStyle w:val="Heading2"/>
      </w:pPr>
      <w:r>
        <w:t>4. Who typically needs this service?</w:t>
      </w:r>
    </w:p>
    <w:p>
      <w:pPr/>
      <w:r>
        <w:t>Cover holders of old physical shares, families tracing legacy investments, senior citizens with long-held folios, and NRIs who still have Indian securities in paper form. Make the page recognisable to users who have the certificates or enough holding details, but do not know how to convert them into a usable modern form.</w:t>
      </w:r>
    </w:p>
    <w:p>
      <w:pPr>
        <w:pStyle w:val="Heading2"/>
      </w:pPr>
      <w:r>
        <w:t>5. How Sahirasta helps</w:t>
      </w:r>
    </w:p>
    <w:p>
      <w:pPr/>
      <w:r>
        <w:t>Lay out the operational route: identify the company, folio, certificate numbers, and ISIN if available; check whether the holding is active, traceable, and in a holder pattern that can be taken into demat; help the client open or align the correct demat account; prepare the Dematerialisation Request Form and related paperwork; submit the original certificates or valid replacement evidence; and follow through until the shares are credited in demat form.</w:t>
      </w:r>
    </w:p>
    <w:p>
      <w:pPr>
        <w:pStyle w:val="Heading2"/>
      </w:pPr>
      <w:r>
        <w:t>6. Documents usually required</w:t>
      </w:r>
    </w:p>
    <w:p>
      <w:pPr/>
      <w:r>
        <w:t>Use a realistic checklist: original physical share certificates or valid replacement evidence such as a Letter of Confirmation, PAN, address proof, bank proof / cancelled cheque, demat account details or client master list, and the prescribed DP / demat request forms. Then note that updated KYC, bank, contact, or signature-compliance documents may also be needed where the folio is old or defective.</w:t>
      </w:r>
    </w:p>
    <w:p>
      <w:pPr>
        <w:pStyle w:val="Heading2"/>
      </w:pPr>
      <w:r>
        <w:t>7. Common reasons the problem becomes difficult</w:t>
      </w:r>
    </w:p>
    <w:p>
      <w:pPr/>
      <w:r>
        <w:t>Focus on practical friction: certificates are present but the folio carries outdated KYC; the holder name pattern does not match the demat account; the signature on record no longer matches; the company or RTA raises objections because the paper trail is incomplete; corporate actions have altered the apparent holding; or the investor assumes demat is possible even though a prior title, duplicate-certificate, or correction step is actually needed first.</w:t>
      </w:r>
    </w:p>
    <w:p>
      <w:pPr>
        <w:pStyle w:val="Heading2"/>
      </w:pPr>
      <w:r>
        <w:t>8. Special notes for NRIs and legacy holdings</w:t>
      </w:r>
    </w:p>
    <w:p>
      <w:pPr/>
      <w:r>
        <w:t>Separate out the two high-friction groups. For NRIs, highlight PAN, bank, address, and demat-alignment issues, plus the slower pace that can come with overseas execution or attestation. For legacy holdings, stress that very old paper certificates may still be usable, but only after the issuer, folio details, and holder records are properly matched and cleaned up.</w:t>
      </w:r>
    </w:p>
    <w:p>
      <w:pPr>
        <w:pStyle w:val="Heading2"/>
      </w:pPr>
      <w:r>
        <w:t>9. Complexity, limitations, and timelines</w:t>
      </w:r>
    </w:p>
    <w:p>
      <w:pPr/>
      <w:r>
        <w:t>Set expectations honestly. Explain that demat itself may look procedural, but delays often come from upstream defects in the holding record. Make it clear that if the certificates are lost, the holder has died, the folio has KYC mismatches, or the ownership pattern is wrong, the case may need to move first through duplicate-share, transmission, transmission-cum-demat, or record-correction work.</w:t>
      </w:r>
    </w:p>
    <w:p>
      <w:pPr>
        <w:pStyle w:val="Heading2"/>
      </w:pPr>
      <w:r>
        <w:t>10. FAQs</w:t>
      </w:r>
    </w:p>
    <w:p>
      <w:pPr/>
      <w:r>
        <w:t>Answer the practical questions: Can all old physical shares still be converted into demat? What if the investor has the certificates but not all supporting details? What if the name or signature does not match current records? Can NRIs dematerialise old Indian paper holdings? What if the company is no longer active or the holding has a complex corporate-action history?</w:t>
      </w:r>
    </w:p>
    <w:p>
      <w:pPr>
        <w:pStyle w:val="Heading2"/>
      </w:pPr>
      <w:r>
        <w:t>11. CTA block</w:t>
      </w:r>
    </w:p>
    <w:p>
      <w:pPr/>
      <w:r>
        <w:t>Close with a direct invitation for investors, families, senior citizens, and NRIs who have old paper certificates and want help converting them into demat form without getting stuck on KYC, folio, or procedural objections.</w:t>
      </w:r>
    </w:p>
    <w:p>
      <w:pPr>
        <w:pStyle w:val="Heading1"/>
      </w:pPr>
      <w:r>
        <w:t>Implementation and design notes for Codex</w:t>
      </w:r>
    </w:p>
    <w:p>
      <w:pPr/>
      <w:r>
        <w:t>• Keep this page practical, operational, and clean. It should feel different from the transmission and IEPF pages because the central problem here is conversion of a valid physical holding into electronic form.</w:t>
      </w:r>
    </w:p>
    <w:p>
      <w:pPr/>
      <w:r>
        <w:t>• Use a small pathway box near the top that helps users distinguish among four common situations: simple physical-to-demat, physical shares with record mismatch, physical shares after death, and physical shares with missing certificates. This will steer many users to the right page earlier.</w:t>
      </w:r>
    </w:p>
    <w:p>
      <w:pPr/>
      <w:r>
        <w:t>• Add a visual checklist or compact card showing the minimum readiness items: physical certificate trail, correct holder pattern, PAN and KYC, bank details, and the right demat account.</w:t>
      </w:r>
    </w:p>
    <w:p>
      <w:pPr/>
      <w:r>
        <w:t>• Use side notes or cross-links to the related pages most likely to become relevant: Duplicate / Lost Share Documents, Transmission of Shares, Transmission-cum-Demat, and Name / Signature / Address Correction.</w:t>
      </w:r>
    </w:p>
    <w:p>
      <w:pPr/>
      <w:r>
        <w:t>• Do not oversell this as a button-click process. The page should reassure users, but it should also make clear that demat can stall where the underlying paper trail or holder records are not clean.</w:t>
      </w:r>
    </w:p>
    <w:p>
      <w:pPr>
        <w:pStyle w:val="Heading1"/>
      </w:pPr>
      <w:r>
        <w:t>Internal reference note</w:t>
      </w:r>
    </w:p>
    <w:p>
      <w:pPr/>
      <w:r>
        <w:t>This structure was informed by the Sahirasta master service sheet for Physical Shares to Demat and shaped around the page’s real commercial job: converting paper-holding owners into case-review leads while correctly separating simple demat work from death, duplicate-certificate, and correction-heavy cases.</w:t>
      </w:r>
    </w:p>
    <w:p>
      <w:pPr/>
      <w:r>
        <w:t>Next service to add in this same master document: Transmission-cum-Demat</w:t>
      </w:r>
    </w:p>
    <w:p/>
    <w:p>
      <w:pPr>
        <w:pStyle w:val="Heading1"/>
      </w:pPr>
      <w:r>
        <w:t>Service 5 — Transmission-cum-Demat</w:t>
      </w:r>
    </w:p>
    <w:p>
      <w:pPr/>
      <w:r>
        <w:t>This page should position Sahirasta as the service for cases where old physical shares belong to a deceased holder and the family needs to complete both succession-related title transfer and dematerialisation in the correct route. The page should make it clear that this is not just a simple demat request and not just a routine transmission matter; it is a combined process where death-related entitlement and conversion into demat form must be handled together.</w:t>
      </w:r>
    </w:p>
    <w:p>
      <w:pPr>
        <w:pStyle w:val="Heading1"/>
      </w:pPr>
      <w:r>
        <w:t>Recommended page sections</w:t>
      </w:r>
    </w:p>
    <w:p>
      <w:pPr>
        <w:pStyle w:val="Heading2"/>
      </w:pPr>
      <w:r>
        <w:t>1. Hero</w:t>
      </w:r>
    </w:p>
    <w:p>
      <w:pPr/>
      <w:r>
        <w:t>State the problem plainly: Sahirasta helps legal heirs, nominees, widows, and families transfer old physical shares after a death and convert them into demat form through the correct combined process. Include one CTA and one reassurance line for families who are unsure whether their case is transmission, demat, or both.</w:t>
      </w:r>
    </w:p>
    <w:p>
      <w:pPr>
        <w:pStyle w:val="Heading2"/>
      </w:pPr>
      <w:r>
        <w:t>2. What is transmission-cum-demat?</w:t>
      </w:r>
    </w:p>
    <w:p>
      <w:pPr/>
      <w:r>
        <w:t>Explain in plain English that this route is used when paper shareholdings stand in the name of a deceased investor and the claimant wants the holding both transmitted to the rightful successor and brought into demat form. Clarify early that this differs from ordinary demat because the title itself must first be regularised through death-related entitlement.</w:t>
      </w:r>
    </w:p>
    <w:p>
      <w:pPr>
        <w:pStyle w:val="Heading2"/>
      </w:pPr>
      <w:r>
        <w:t>3. When does this issue arise?</w:t>
      </w:r>
    </w:p>
    <w:p>
      <w:pPr/>
      <w:r>
        <w:t>List the common triggers: a family finds old physical certificates after the holder’s death; an investor died years ago and the holdings were never regularised; the claimant wants to sell, monitor, or consolidate the shares but cannot because they remain in the deceased holder’s paper folio; or a broader estate clean-up reveals legacy share investments that were never transmitted or dematerialised.</w:t>
      </w:r>
    </w:p>
    <w:p>
      <w:pPr>
        <w:pStyle w:val="Heading2"/>
      </w:pPr>
      <w:r>
        <w:t>4. Who typically needs this service?</w:t>
      </w:r>
    </w:p>
    <w:p>
      <w:pPr/>
      <w:r>
        <w:t>Cover nominees, legal heirs, widows, children, joint-family claimants, executors where relevant, and NRIs handling inherited Indian investments from abroad. This section should help families recognise that transmission-cum-demat is often the correct route when both death and old physical certificates are involved.</w:t>
      </w:r>
    </w:p>
    <w:p>
      <w:pPr>
        <w:pStyle w:val="Heading2"/>
      </w:pPr>
      <w:r>
        <w:t>5. How Sahirasta helps</w:t>
      </w:r>
    </w:p>
    <w:p>
      <w:pPr/>
      <w:r>
        <w:t>Lay out the operational sequence: identify the issuer, folio, and certificate trail; determine the correct claimant route based on nominee status, joint holding pattern, and legal-heir position; review death and entitlement documents; align the receiving demat account; prepare the transmission-cum-demat paperwork set; coordinate with the company / RTA / DP as required; and follow through until the holding is credited in demat form to the rightful claimant.</w:t>
      </w:r>
    </w:p>
    <w:p>
      <w:pPr>
        <w:pStyle w:val="Heading2"/>
      </w:pPr>
      <w:r>
        <w:t>6. Documents usually required</w:t>
      </w:r>
    </w:p>
    <w:p>
      <w:pPr/>
      <w:r>
        <w:t>Use a realistic checklist: death certificate, physical share certificates if available, nominee proof or legal-heir / succession papers as applicable, PAN and KYC documents of the claimant, address proof, bank proof, demat account details or client master list, and transmission / DRF / RTA-prescribed forms. Then note that affidavit, indemnity, NOC, notarisation, attestation, or additional family-settlement papers may be required depending on value, holding pattern, and claimant route.</w:t>
      </w:r>
    </w:p>
    <w:p>
      <w:pPr>
        <w:pStyle w:val="Heading2"/>
      </w:pPr>
      <w:r>
        <w:t>7. Common reasons the problem becomes difficult</w:t>
      </w:r>
    </w:p>
    <w:p>
      <w:pPr/>
      <w:r>
        <w:t>Focus on practical friction: no nominee was registered; multiple heirs exist and their consent trail is incomplete; certificates are available but holder details do not align cleanly; the family does not know whether to start with transmission, duplicate-certificate work, or demat; one or more heirs are overseas; signatures or KYC records are outdated; the folio is very old; or the company / RTA raises objections because the document chain is incomplete or inconsistent.</w:t>
      </w:r>
    </w:p>
    <w:p>
      <w:pPr>
        <w:pStyle w:val="Heading2"/>
      </w:pPr>
      <w:r>
        <w:t>8. Special notes for NRIs, widows, and multi-heir families</w:t>
      </w:r>
    </w:p>
    <w:p>
      <w:pPr/>
      <w:r>
        <w:t>Separate out the highest-friction user groups. For NRIs, highlight overseas execution, identity/bank/demat alignment, and attestation issues. For widows or sole surviving family members, explain that lack of technical familiarity does not prevent the case from moving, but entitlement proof must still be made clean. For multi-heir families, make clear that cooperation, NOCs, succession support, or stronger legal paperwork may be needed before demat credit can happen.</w:t>
      </w:r>
    </w:p>
    <w:p>
      <w:pPr>
        <w:pStyle w:val="Heading2"/>
      </w:pPr>
      <w:r>
        <w:t>9. Complexity, limitations, and timelines</w:t>
      </w:r>
    </w:p>
    <w:p>
      <w:pPr/>
      <w:r>
        <w:t>Set expectations honestly. Explain that transmission-cum-demat can look like one task from the outside but often contains several layers: entitlement verification, document regularisation, and then demat conversion. Make it clear that the timeline depends less on form submission alone and more on whether the death-related paperwork, claimant route, and folio trail are clean enough to pass scrutiny.</w:t>
      </w:r>
    </w:p>
    <w:p>
      <w:pPr>
        <w:pStyle w:val="Heading2"/>
      </w:pPr>
      <w:r>
        <w:t>10. FAQs</w:t>
      </w:r>
    </w:p>
    <w:p>
      <w:pPr/>
      <w:r>
        <w:t>Answer the practical questions: What is the difference between transmission, demat, and transmission-cum-demat? Can the family proceed if the original holder died long ago? What if there is no nominee? What if one heir lives abroad? Can the case move without original certificates? Does the claimant need a demat account first? How long can the process take?</w:t>
      </w:r>
    </w:p>
    <w:p>
      <w:pPr>
        <w:pStyle w:val="Heading2"/>
      </w:pPr>
      <w:r>
        <w:t>11. CTA block</w:t>
      </w:r>
    </w:p>
    <w:p>
      <w:pPr/>
      <w:r>
        <w:t>Close with a direct invitation for families, widows, legal heirs, and NRIs who have discovered old paper share certificates in the name of a deceased holder and need help completing the correct succession-and-demat route without getting stuck between the company, RTA, and depository steps.</w:t>
      </w:r>
    </w:p>
    <w:p>
      <w:pPr>
        <w:pStyle w:val="Heading1"/>
      </w:pPr>
      <w:r>
        <w:t>Implementation and design notes for Codex</w:t>
      </w:r>
    </w:p>
    <w:p>
      <w:pPr/>
      <w:r>
        <w:t>• Keep this page clearly distinct from the standalone Transmission and Physical Shares to Demat pages. The central problem here is the combined route created by death plus old physical holdings.</w:t>
      </w:r>
    </w:p>
    <w:p>
      <w:pPr/>
      <w:r>
        <w:t>• Use a visual pathway box near the top that helps users distinguish among four situations: deceased holder with physical certificates, deceased holder without certificates, nominee-led simple route, and multi-heir or dispute-heavy route.</w:t>
      </w:r>
    </w:p>
    <w:p>
      <w:pPr/>
      <w:r>
        <w:t>• Add a compact checklist showing the three readiness pillars: entitlement documents, certificate / folio trail, and receiving demat-account readiness.</w:t>
      </w:r>
    </w:p>
    <w:p>
      <w:pPr/>
      <w:r>
        <w:t>• Cross-link prominently to the related pages most likely to become relevant: Transmission of Shares, Physical Shares to Demat, Duplicate / Lost Share Documents, and Name / Signature / Address Correction.</w:t>
      </w:r>
    </w:p>
    <w:p>
      <w:pPr/>
      <w:r>
        <w:t>• Do not present this page as simple administrative paperwork. The design and language should reassure families, but should also make clear that success depends on the claimant route and the quality of the document trail.</w:t>
      </w:r>
    </w:p>
    <w:p>
      <w:pPr>
        <w:pStyle w:val="Heading1"/>
      </w:pPr>
      <w:r>
        <w:t>Internal reference note</w:t>
      </w:r>
    </w:p>
    <w:p>
      <w:pPr/>
      <w:r>
        <w:t>This structure was informed by the Sahirasta master service sheet for Transmission-cum-Demat and shaped around the page’s real commercial job: helping families and heirs recognise when death-related succession and dematerialisation must be handled together rather than treated as separate, incorrectly sequenced tasks.</w:t>
      </w:r>
    </w:p>
    <w:p>
      <w:pPr/>
      <w:r>
        <w:t>Next service to add in this same master document: Name / Signature / Address Correction</w:t>
      </w:r>
    </w:p>
    <w:p>
      <w:r>
        <w:br/>
      </w:r>
    </w:p>
    <w:p>
      <w:pPr>
        <w:pStyle w:val="Heading1"/>
      </w:pPr>
      <w:r>
        <w:t>Service 6 — Name / Signature / Address Correction</w:t>
      </w:r>
    </w:p>
    <w:p>
      <w:pPr/>
      <w:r>
        <w:t>This page should position Sahirasta as the service for legacy shareholding cases where the investment exists, but the records attached to it are incorrect, outdated, or inconsistent. The core commercial job of the page is to help visitors understand that seemingly small mismatches in name, signature, address, bank, PAN, KYC, or holder details can block dividends, demat, transmission, claim processing, and future sale or transfer.</w:t>
      </w:r>
    </w:p>
    <w:p>
      <w:pPr>
        <w:pStyle w:val="Heading1"/>
      </w:pPr>
      <w:r>
        <w:t>Recommended page sections</w:t>
      </w:r>
    </w:p>
    <w:p>
      <w:pPr>
        <w:pStyle w:val="Heading2"/>
      </w:pPr>
      <w:r>
        <w:t>1. Hero</w:t>
      </w:r>
    </w:p>
    <w:p>
      <w:pPr/>
      <w:r>
        <w:t>State the problem in plain language: Sahirasta helps investors, legal heirs, NRIs, and families correct shareholding records when the company or registrar records no longer match the claimant’s present identity, signature, address, bank details, or supporting documents. The hero should make it clear that these are not cosmetic corrections; they are often the reason a valid holding becomes unusable.</w:t>
      </w:r>
    </w:p>
    <w:p>
      <w:pPr>
        <w:pStyle w:val="Heading2"/>
      </w:pPr>
      <w:r>
        <w:t>2. What kinds of record correction issues does this cover?</w:t>
      </w:r>
    </w:p>
    <w:p>
      <w:pPr/>
      <w:r>
        <w:t>Define the scope clearly. Cover name mismatch after spelling variation, marriage, initials expansion, or document inconsistency; signature mismatch; change or correction of address; PAN, Aadhaar, or KYC mismatch; bank mandate mismatch; email/mobile update where relevant; and situations where legacy folio records are incomplete or inconsistent with current proof. Make clear that this page is about rectification of records, not about proving ownership from scratch where certificates are lost or shares are already in IEPF.</w:t>
      </w:r>
    </w:p>
    <w:p>
      <w:pPr>
        <w:pStyle w:val="Heading2"/>
      </w:pPr>
      <w:r>
        <w:t>3. When does this issue usually arise?</w:t>
      </w:r>
    </w:p>
    <w:p>
      <w:pPr/>
      <w:r>
        <w:t>List the common triggers: dividends stop reaching the investor; the registrar rejects a service request because the signature does not match; the address in the folio is decades old; the investor married and surname changed; the PAN or bank details were never updated; a legal heir discovers that the deceased holder’s records contain spelling or sequencing errors; an NRI tries to regularise holdings and finds the Indian records no longer match passport, PAN, or bank records.</w:t>
      </w:r>
    </w:p>
    <w:p>
      <w:pPr>
        <w:pStyle w:val="Heading2"/>
      </w:pPr>
      <w:r>
        <w:t>4. Who typically needs this service?</w:t>
      </w:r>
    </w:p>
    <w:p>
      <w:pPr/>
      <w:r>
        <w:t>Cover existing investors with old paper-based or legacy folio records, senior citizens whose records were never modernised, women whose name changed after marriage, NRIs updating Indian holdings from overseas, legal heirs dealing with inherited holdings that contain legacy mismatches, and families trying to complete demat, transmission, dividend recovery, or sale but getting blocked by record inconsistencies.</w:t>
      </w:r>
    </w:p>
    <w:p>
      <w:pPr>
        <w:pStyle w:val="Heading2"/>
      </w:pPr>
      <w:r>
        <w:t>5. How Sahirasta helps</w:t>
      </w:r>
    </w:p>
    <w:p>
      <w:pPr/>
      <w:r>
        <w:t>Lay out the operational sequence: identify the exact mismatch and the stage at which it is blocking progress; review whether the holding is still in physical form, already dematerialised, pending transmission, or linked to an IEPF/dividend issue; map the correction route required by the registrar, depository participant, company, or intermediary; assemble the right supporting record trail; prepare the case so the correction request is internally consistent; and then follow through until the records are aligned enough for the next transaction, claim, or recovery step to move forward.</w:t>
      </w:r>
    </w:p>
    <w:p>
      <w:pPr>
        <w:pStyle w:val="Heading2"/>
      </w:pPr>
      <w:r>
        <w:t>6. Documents usually required</w:t>
      </w:r>
    </w:p>
    <w:p>
      <w:pPr/>
      <w:r>
        <w:t>Use a realistic list rather than a fantasy-clean checklist. Depending on the issue, this may include PAN, Aadhaar or passport, address proof, banker-attested signature verification, cancelled cheque, old share certificates or folio details, demat-account statement, marriage-related name-change proof, Gazette/publication where relevant, affidavit or declaration formats where the registrar requires them, death certificate and entitlement documents where the correction is part of a family claim, and any prior correspondence or rejection note showing the exact mismatch.</w:t>
      </w:r>
    </w:p>
    <w:p>
      <w:pPr>
        <w:pStyle w:val="Heading2"/>
      </w:pPr>
      <w:r>
        <w:t>7. Common reasons the problem becomes difficult</w:t>
      </w:r>
    </w:p>
    <w:p>
      <w:pPr/>
      <w:r>
        <w:t>Focus on practical friction rather than legal jargon. The name on the holding may not match current ID exactly; the old signature may have changed over time; the investor may no longer have the original address or bank proof tied to the holding; more than one mismatch may exist at once; the correction may actually be bundled with demat, transmission, or dividend recovery; old folio details may be incomplete; and different institutions may ask for slightly different support even where the issue looks simple from the outside.</w:t>
      </w:r>
    </w:p>
    <w:p>
      <w:pPr>
        <w:pStyle w:val="Heading2"/>
      </w:pPr>
      <w:r>
        <w:t>8. Special notes for women after name change, NRIs, and inherited cases</w:t>
      </w:r>
    </w:p>
    <w:p>
      <w:pPr/>
      <w:r>
        <w:t>This section should recognise the highest-friction pathways. For women after marriage or other name changes, explain that the holding may still stand in an earlier name or initial pattern and that the supporting identity trail has to be made coherent. For NRIs, highlight passport/PAN/address/bank alignment and overseas attestation issues. For inherited cases, explain that record correction can become part of a larger succession route and should not be treated as a standalone clerical update if transmission, demat, or dividend recovery is also pending.</w:t>
      </w:r>
    </w:p>
    <w:p>
      <w:pPr>
        <w:pStyle w:val="Heading2"/>
      </w:pPr>
      <w:r>
        <w:t>9. Complexity, limitations, and timelines</w:t>
      </w:r>
    </w:p>
    <w:p>
      <w:pPr/>
      <w:r>
        <w:t>Set expectations honestly. Some corrections are straightforward; others look like simple updates but actually expose deeper issues of ownership trail, document inconsistency, or combined service requirements. Make clear that timelines depend on the nature of the mismatch, whether the holding is physical or demat, whether the holder is alive or deceased, and whether the correction is bundled with demat, transmission, or recovery action. The page should reassure users while also making clear that clean execution matters.</w:t>
      </w:r>
    </w:p>
    <w:p>
      <w:pPr>
        <w:pStyle w:val="Heading2"/>
      </w:pPr>
      <w:r>
        <w:t>10. FAQs</w:t>
      </w:r>
    </w:p>
    <w:p>
      <w:pPr/>
      <w:r>
        <w:t>Answer the practical questions: What if the old signature no longer matches? Can records be corrected after marriage or surname change? What if the old address proof no longer exists? Can an NRI update old Indian holdings from abroad? What happens if name correction is needed before demat or transmission? Is banker attestation required in every case? Can multiple issues be corrected together?</w:t>
      </w:r>
    </w:p>
    <w:p>
      <w:pPr>
        <w:pStyle w:val="Heading2"/>
      </w:pPr>
      <w:r>
        <w:t>11. CTA block</w:t>
      </w:r>
    </w:p>
    <w:p>
      <w:pPr/>
      <w:r>
        <w:t>Close with a direct invitation for investors, NRIs, widows, legal heirs, and families whose shareholding records do not match current documents. The CTA should emphasise that Sahirasta reviews the mismatch, identifies the right correction route, and helps prepare the case so the next step—demat, transmission, claim, dividend release, or sale—can actually move forward.</w:t>
      </w:r>
    </w:p>
    <w:p>
      <w:pPr>
        <w:pStyle w:val="Heading1"/>
      </w:pPr>
      <w:r>
        <w:t>Implementation and design notes for Codex</w:t>
      </w:r>
    </w:p>
    <w:p>
      <w:pPr/>
      <w:r>
        <w:t>• Keep this page distinct from Duplicate / Lost Share Documents, Physical Shares to Demat, Transmission of Shares, and IEPF Claims. The central problem here is record mismatch and rectification, not missing ownership proof, not death-based succession by itself, and not fund recovery from IEPF.</w:t>
      </w:r>
    </w:p>
    <w:p>
      <w:pPr/>
      <w:r>
        <w:t>• Use a compact issue-grid near the top with recognisable correction types: name mismatch, signature mismatch, address update, bank update, PAN/KYC mismatch, and inherited-record inconsistency. That gives visitors fast self-recognition without turning the page into a dense technical manual.</w:t>
      </w:r>
    </w:p>
    <w:p>
      <w:pPr/>
      <w:r>
        <w:t>• Add a short note explaining that correction requests often sit inside a larger transaction. This is important because many users come thinking they need only an address update, when the real page journey may also require demat, transmission, duplicate issuance, or dividend / IEPF follow-up.</w:t>
      </w:r>
    </w:p>
    <w:p>
      <w:pPr/>
      <w:r>
        <w:t>• Use side links or contextual cross-links to the related pages most likely to become relevant: Duplicate / Lost Share Documents, Physical Shares to Demat, Transmission of Shares, Transmission-cum-Demat, and IEPF Claims.</w:t>
      </w:r>
    </w:p>
    <w:p>
      <w:pPr/>
      <w:r>
        <w:t>• Do not design this page like a routine KYC-update page used by a modern app. It should feel practical, serious, and legacy-aware, because the actual user problem usually involves old paper trails, registrar formats, and blocked next steps rather than a simple profile edit.</w:t>
      </w:r>
    </w:p>
    <w:p>
      <w:pPr>
        <w:pStyle w:val="Heading1"/>
      </w:pPr>
      <w:r>
        <w:t>Internal reference note</w:t>
      </w:r>
    </w:p>
    <w:p>
      <w:pPr/>
      <w:r>
        <w:t>This structure was informed by the Sahirasta master service sheet for Name / Signature / Address Correction and shaped around the page’s real commercial job: turning a vague “records do not match” complaint into a clear, high-trust correction service that unlocks the next step in the shareholding journey.</w:t>
      </w:r>
    </w:p>
    <w:p>
      <w:pPr/>
      <w:r>
        <w:t>Next service to add in this same master document: Insurance services batch</w:t>
      </w:r>
    </w:p>
    <w:sectPr w:rsidR="00FC693F" w:rsidRPr="0006063C" w:rsidSect="00034616">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37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