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ind w:hanging="0"/>
        <w:rPr>
          <w:b/>
          <w:b/>
          <w:sz w:val="28"/>
          <w:szCs w:val="28"/>
          <w:lang w:val="en-GB"/>
        </w:rPr>
      </w:pPr>
      <w:r>
        <w:rPr>
          <w:b/>
          <w:sz w:val="28"/>
          <w:szCs w:val="28"/>
          <w:lang w:val="en-GB"/>
        </w:rPr>
        <w:t>Testing different genomic selection scenarios in a small cattle population by simulation</w:t>
      </w:r>
    </w:p>
    <w:p>
      <w:pPr>
        <w:pStyle w:val="Standard"/>
        <w:ind w:hanging="0"/>
        <w:rPr>
          <w:color w:val="C0C0C0"/>
          <w:sz w:val="24"/>
          <w:szCs w:val="24"/>
          <w:lang w:val="en-GB"/>
        </w:rPr>
      </w:pPr>
      <w:r>
        <w:rPr>
          <w:color w:val="C0C0C0"/>
          <w:sz w:val="24"/>
          <w:szCs w:val="24"/>
          <w:lang w:val="en-GB"/>
        </w:rPr>
      </w:r>
    </w:p>
    <w:p>
      <w:pPr>
        <w:pStyle w:val="Standard"/>
        <w:numPr>
          <w:ilvl w:val="0"/>
          <w:numId w:val="0"/>
        </w:numPr>
        <w:ind w:hanging="0"/>
        <w:outlineLvl w:val="0"/>
        <w:rPr>
          <w:lang w:val="en-GB"/>
        </w:rPr>
      </w:pPr>
      <w:r>
        <w:rPr>
          <w:i/>
          <w:sz w:val="24"/>
          <w:szCs w:val="24"/>
          <w:lang w:val="en-GB"/>
        </w:rPr>
        <w:t>J. Obšteter</w:t>
      </w:r>
      <w:r>
        <w:rPr>
          <w:i/>
          <w:sz w:val="24"/>
          <w:szCs w:val="24"/>
          <w:vertAlign w:val="superscript"/>
          <w:lang w:val="en-GB"/>
        </w:rPr>
        <w:t>1</w:t>
      </w:r>
      <w:r>
        <w:rPr>
          <w:i/>
          <w:sz w:val="24"/>
          <w:szCs w:val="24"/>
          <w:lang w:val="en-GB"/>
        </w:rPr>
        <w:t>, J. J</w:t>
      </w:r>
      <w:r>
        <w:rPr>
          <w:i/>
          <w:color w:val="000000"/>
          <w:sz w:val="24"/>
          <w:szCs w:val="24"/>
          <w:lang w:val="en-GB"/>
        </w:rPr>
        <w:t>enko</w:t>
      </w:r>
      <w:r>
        <w:rPr>
          <w:i/>
          <w:color w:val="000000"/>
          <w:sz w:val="24"/>
          <w:szCs w:val="24"/>
          <w:vertAlign w:val="superscript"/>
          <w:lang w:val="en-GB"/>
        </w:rPr>
        <w:t>2</w:t>
      </w:r>
      <w:r>
        <w:rPr>
          <w:color w:val="000000"/>
          <w:sz w:val="24"/>
          <w:szCs w:val="24"/>
          <w:lang w:val="en-GB"/>
        </w:rPr>
        <w:t xml:space="preserve">, </w:t>
      </w:r>
      <w:r>
        <w:rPr>
          <w:i/>
          <w:color w:val="000000"/>
          <w:sz w:val="24"/>
          <w:szCs w:val="24"/>
          <w:lang w:val="en-GB"/>
        </w:rPr>
        <w:t>J. M. Hickey</w:t>
      </w:r>
      <w:r>
        <w:rPr>
          <w:i/>
          <w:color w:val="000000"/>
          <w:sz w:val="24"/>
          <w:szCs w:val="24"/>
          <w:vertAlign w:val="superscript"/>
          <w:lang w:val="en-GB"/>
        </w:rPr>
        <w:t>2</w:t>
      </w:r>
      <w:r>
        <w:rPr>
          <w:color w:val="000000"/>
          <w:sz w:val="24"/>
          <w:szCs w:val="24"/>
          <w:lang w:val="en-GB"/>
        </w:rPr>
        <w:t xml:space="preserve"> &amp; </w:t>
      </w:r>
      <w:r>
        <w:rPr>
          <w:i/>
          <w:color w:val="000000"/>
          <w:sz w:val="24"/>
          <w:szCs w:val="24"/>
          <w:lang w:val="en-GB"/>
        </w:rPr>
        <w:t>G. Gorjanc</w:t>
      </w:r>
      <w:r>
        <w:rPr>
          <w:i/>
          <w:color w:val="000000"/>
          <w:sz w:val="24"/>
          <w:szCs w:val="24"/>
          <w:vertAlign w:val="superscript"/>
          <w:lang w:val="en-GB"/>
        </w:rPr>
        <w:t>2</w:t>
      </w:r>
    </w:p>
    <w:p>
      <w:pPr>
        <w:pStyle w:val="Standard"/>
        <w:ind w:hanging="0"/>
        <w:rPr>
          <w:color w:val="C0C0C0"/>
          <w:sz w:val="24"/>
          <w:szCs w:val="24"/>
          <w:lang w:val="en-GB"/>
        </w:rPr>
      </w:pPr>
      <w:r>
        <w:rPr>
          <w:color w:val="C0C0C0"/>
          <w:sz w:val="24"/>
          <w:szCs w:val="24"/>
          <w:lang w:val="en-GB"/>
        </w:rPr>
      </w:r>
    </w:p>
    <w:p>
      <w:pPr>
        <w:pStyle w:val="Standard"/>
        <w:ind w:right="-143" w:hanging="0"/>
        <w:rPr/>
      </w:pPr>
      <w:r>
        <w:rPr>
          <w:i/>
          <w:sz w:val="24"/>
          <w:szCs w:val="24"/>
          <w:vertAlign w:val="superscript"/>
          <w:lang w:val="en-GB"/>
        </w:rPr>
        <w:t xml:space="preserve">1 </w:t>
      </w:r>
      <w:r>
        <w:rPr>
          <w:i/>
          <w:sz w:val="24"/>
          <w:szCs w:val="24"/>
          <w:lang w:val="en-GB"/>
        </w:rPr>
        <w:t>Agricultural Institute of Slovenia, Department of Animal Science, Hacquetova ulica 17, 1000 Ljubljana, Slovenia</w:t>
      </w:r>
    </w:p>
    <w:p>
      <w:pPr>
        <w:pStyle w:val="Standard"/>
        <w:ind w:right="-143" w:hanging="0"/>
        <w:rPr/>
      </w:pPr>
      <w:r>
        <w:rPr>
          <w:i/>
          <w:color w:val="0000FF"/>
          <w:sz w:val="24"/>
          <w:szCs w:val="24"/>
          <w:u w:val="single"/>
          <w:lang w:val="en-GB"/>
        </w:rPr>
        <w:t>jana.obsteter</w:t>
      </w:r>
      <w:hyperlink r:id="rId2">
        <w:r>
          <w:rPr>
            <w:rStyle w:val="InternetLink1"/>
            <w:i/>
            <w:color w:val="0000FF"/>
            <w:sz w:val="24"/>
            <w:szCs w:val="24"/>
            <w:lang w:val="en-GB"/>
          </w:rPr>
          <w:t>@kis.si</w:t>
        </w:r>
      </w:hyperlink>
      <w:r>
        <w:rPr>
          <w:i/>
          <w:sz w:val="24"/>
          <w:szCs w:val="24"/>
          <w:lang w:val="en-GB"/>
        </w:rPr>
        <w:t xml:space="preserve"> (Corresponding Author)</w:t>
      </w:r>
    </w:p>
    <w:p>
      <w:pPr>
        <w:pStyle w:val="Standard"/>
        <w:ind w:hanging="0"/>
        <w:rPr>
          <w:lang w:val="en-GB"/>
        </w:rPr>
      </w:pPr>
      <w:r>
        <w:rPr>
          <w:i/>
          <w:sz w:val="24"/>
          <w:szCs w:val="24"/>
          <w:vertAlign w:val="superscript"/>
          <w:lang w:val="en-GB"/>
        </w:rPr>
        <w:t xml:space="preserve">2 </w:t>
      </w:r>
      <w:r>
        <w:rPr>
          <w:i/>
          <w:sz w:val="24"/>
          <w:szCs w:val="24"/>
          <w:lang w:val="en-GB"/>
        </w:rPr>
        <w:t>The Roslin Institute and Royal (Dick) School of Veterinary Studies, The University of Edinburgh, Easter Bush, Midlothian, EH259RG, United Kingdom</w:t>
      </w:r>
    </w:p>
    <w:p>
      <w:pPr>
        <w:pStyle w:val="Standard"/>
        <w:ind w:hanging="0"/>
        <w:rPr>
          <w:lang w:val="en-GB"/>
        </w:rPr>
      </w:pPr>
      <w:r>
        <w:rPr>
          <w:lang w:val="en-GB"/>
        </w:rPr>
      </w:r>
    </w:p>
    <w:p>
      <w:pPr>
        <w:pStyle w:val="Standard"/>
        <w:numPr>
          <w:ilvl w:val="0"/>
          <w:numId w:val="0"/>
        </w:numPr>
        <w:ind w:hanging="0"/>
        <w:outlineLvl w:val="0"/>
        <w:rPr/>
      </w:pPr>
      <w:r>
        <w:rPr>
          <w:b/>
          <w:sz w:val="28"/>
          <w:szCs w:val="28"/>
          <w:lang w:val="en-GB"/>
        </w:rPr>
        <w:t>Introduction</w:t>
      </w:r>
    </w:p>
    <w:p>
      <w:pPr>
        <w:pStyle w:val="Standard"/>
        <w:ind w:hanging="0"/>
        <w:rPr>
          <w:color w:val="C0C0C0"/>
          <w:sz w:val="24"/>
          <w:szCs w:val="24"/>
          <w:lang w:val="en-GB"/>
        </w:rPr>
      </w:pPr>
      <w:r>
        <w:rPr>
          <w:color w:val="C0C0C0"/>
          <w:sz w:val="24"/>
          <w:szCs w:val="24"/>
          <w:lang w:val="en-GB"/>
        </w:rPr>
      </w:r>
    </w:p>
    <w:p>
      <w:pPr>
        <w:pStyle w:val="Standard"/>
        <w:ind w:hanging="0"/>
        <w:jc w:val="both"/>
        <w:rPr/>
      </w:pPr>
      <w:r>
        <w:rPr>
          <w:color w:val="000000"/>
          <w:sz w:val="24"/>
          <w:szCs w:val="24"/>
          <w:lang w:val="en-GB"/>
        </w:rPr>
        <w:t>Selection aims to drive genetic improvement of a population. It involves selecting genetically superior individuals for economically important traits as the parents of the next generation. The identification of these individuals can be challenging due to many sources of variation: i) unknown genetic “architecture” for the traits; ii) substantial environmental effects; iii) prevalent sex-limited-expression of traits; iv) recombination and segregation of parents and other ancestors genomes; v) required cooperation of technical services, scientists, and breeders; and vi) limited financial resources. For conventional selection, the selection criteria are estimated breeding values (EBVs), which require own or progeny phenotypes on selection candidates for accurate selection. Consequently, they reduce to the average of the parents’ EBVs (parent average, PA) prior to the collection of phenotypes.</w:t>
      </w:r>
    </w:p>
    <w:p>
      <w:pPr>
        <w:pStyle w:val="Standard"/>
        <w:ind w:hanging="0"/>
        <w:jc w:val="both"/>
        <w:rPr/>
      </w:pPr>
      <w:r>
        <w:rPr>
          <w:color w:val="000000"/>
          <w:sz w:val="24"/>
          <w:szCs w:val="24"/>
          <w:lang w:val="en-GB"/>
        </w:rPr>
        <w:tab/>
        <w:t>The sex-limited-expression of phenotypes has led to multi-stage selection in dairy cattle breeding, which can be outlined in four steps: i) PA-based selection of male calves for performance testing; ii) EBV-based selection of the best young bulls for progeny testing (based on some own performance) iii) EBV-based selection of the best progeny tested bulls for wide-spread use in population; and iv) EBV-based selection of the best dams for insemination with elite bulls to generate a new generation of selection candidates for i). Since the accuracy, intensity, and generation interval differ substantially between selection of female and male parents, Rendel and Robertson (1950) defined four selection paths: dams of dams, dams of sires, sires of dams, and sires of sires.</w:t>
      </w:r>
    </w:p>
    <w:p>
      <w:pPr>
        <w:pStyle w:val="Standard"/>
        <w:ind w:hanging="0"/>
        <w:jc w:val="both"/>
        <w:rPr/>
      </w:pPr>
      <w:r>
        <w:rPr>
          <w:color w:val="000000"/>
          <w:sz w:val="24"/>
          <w:szCs w:val="24"/>
          <w:lang w:val="en-GB"/>
        </w:rPr>
        <w:tab/>
        <w:t>The collection of genomic data has enabled the implementation of genomic selection in cattle breeding (Meuwissen et al., 2001). It enables estimation of genomic breeding values (gEBVs) for all genotyped animals, even young animals without phenotypes. This provides an opportunity for cattle breeding by reducing the generation interval and increasing the accuracy of early selection decisions. A large reference population of genotyped and phenotyped individuals is required for accurate genomic prediction. To achieve acceptable accuracies, small populations have combined their animals across breeds or across countries to create an international reference population. However, in small populations, the benefit of genomic selection is constrained by limited resources, technical difficulties, such as inadequate number of own individuals for the reference population and distrust among breeders and producers regarding the new technology.</w:t>
      </w:r>
      <w:r>
        <w:rPr>
          <w:sz w:val="24"/>
          <w:szCs w:val="24"/>
          <w:lang w:val="en-GB"/>
        </w:rPr>
        <w:t xml:space="preserve"> These raise a crucial question regarding the optimal use of resources and obtained genomic information to maximize return on investment. The answer to this question is further blurred by many sources of variations in quantitative traits.</w:t>
      </w:r>
    </w:p>
    <w:p>
      <w:pPr>
        <w:pStyle w:val="Standard"/>
        <w:tabs>
          <w:tab w:val="left" w:pos="142" w:leader="none"/>
        </w:tabs>
        <w:ind w:hanging="0"/>
        <w:jc w:val="both"/>
        <w:rPr/>
      </w:pPr>
      <w:r>
        <w:rPr>
          <w:sz w:val="24"/>
          <w:szCs w:val="24"/>
          <w:lang w:val="en-GB"/>
        </w:rPr>
        <w:tab/>
        <w:tab/>
        <w:t>Previous studies have mainly explored the effect of different parameters on the accuracy of genomic prediction by considering simplified or generic cattle populations with discrete generations. Here we present a simulator that can be used to evaluate strategies and the extent to which genomic information should be used in a breeding program. The simulator can model realistic cattle populations with overlapping generations and involves stochastic simulation of the genome, individuals and associated data, estimation of breeding values, selection, and mating. The simulator was used to model the Slovenian Brown Swiss population and to test different scenarios of applying genomic selection in the male selection paths.</w:t>
      </w:r>
    </w:p>
    <w:p>
      <w:pPr>
        <w:pStyle w:val="Standard"/>
        <w:ind w:hanging="0"/>
        <w:jc w:val="both"/>
        <w:rPr>
          <w:color w:val="C0C0C0"/>
          <w:sz w:val="24"/>
          <w:szCs w:val="24"/>
          <w:lang w:val="en-GB"/>
        </w:rPr>
      </w:pPr>
      <w:r>
        <w:rPr>
          <w:color w:val="C0C0C0"/>
          <w:sz w:val="24"/>
          <w:szCs w:val="24"/>
          <w:lang w:val="en-GB"/>
        </w:rPr>
      </w:r>
    </w:p>
    <w:p>
      <w:pPr>
        <w:pStyle w:val="Standard"/>
        <w:numPr>
          <w:ilvl w:val="0"/>
          <w:numId w:val="0"/>
        </w:numPr>
        <w:ind w:hanging="0"/>
        <w:outlineLvl w:val="0"/>
        <w:rPr/>
      </w:pPr>
      <w:r>
        <w:rPr>
          <w:b/>
          <w:sz w:val="28"/>
          <w:szCs w:val="28"/>
          <w:lang w:val="en-GB"/>
        </w:rPr>
        <w:t>Material and methods</w:t>
      </w:r>
    </w:p>
    <w:p>
      <w:pPr>
        <w:pStyle w:val="Standard"/>
        <w:ind w:hanging="0"/>
        <w:rPr>
          <w:color w:val="C0C0C0"/>
          <w:sz w:val="24"/>
          <w:szCs w:val="24"/>
          <w:lang w:val="en-GB"/>
        </w:rPr>
      </w:pPr>
      <w:r>
        <w:rPr>
          <w:color w:val="C0C0C0"/>
          <w:sz w:val="24"/>
          <w:szCs w:val="24"/>
          <w:lang w:val="en-GB"/>
        </w:rPr>
      </w:r>
    </w:p>
    <w:p>
      <w:pPr>
        <w:pStyle w:val="Standard"/>
        <w:numPr>
          <w:ilvl w:val="0"/>
          <w:numId w:val="0"/>
        </w:numPr>
        <w:ind w:hanging="0"/>
        <w:outlineLvl w:val="0"/>
        <w:rPr>
          <w:b/>
          <w:b/>
          <w:sz w:val="24"/>
          <w:szCs w:val="24"/>
          <w:lang w:val="en-GB"/>
        </w:rPr>
      </w:pPr>
      <w:r>
        <w:rPr>
          <w:b/>
          <w:sz w:val="24"/>
          <w:szCs w:val="24"/>
          <w:lang w:val="en-GB"/>
        </w:rPr>
        <w:t>Simulation of a cattle breeding program</w:t>
      </w:r>
    </w:p>
    <w:p>
      <w:pPr>
        <w:pStyle w:val="Standard"/>
        <w:ind w:hanging="0"/>
        <w:rPr>
          <w:color w:val="C0C0C0"/>
          <w:sz w:val="24"/>
          <w:szCs w:val="24"/>
          <w:lang w:val="en-GB"/>
        </w:rPr>
      </w:pPr>
      <w:r>
        <w:rPr>
          <w:color w:val="C0C0C0"/>
          <w:sz w:val="24"/>
          <w:szCs w:val="24"/>
          <w:lang w:val="en-GB"/>
        </w:rPr>
      </w:r>
    </w:p>
    <w:p>
      <w:pPr>
        <w:pStyle w:val="Standard"/>
        <w:ind w:hanging="0"/>
        <w:jc w:val="both"/>
        <w:rPr/>
      </w:pPr>
      <w:r>
        <w:rPr>
          <w:color w:val="000000"/>
          <w:sz w:val="24"/>
          <w:szCs w:val="24"/>
          <w:lang w:val="en-GB"/>
        </w:rPr>
        <w:t xml:space="preserve">A simulator of dairy cattle breeding programs was developed. The simulator is driven by user-defined parameters to perform all breeding steps. The simulator was written as </w:t>
      </w:r>
      <w:r>
        <w:rPr>
          <w:sz w:val="24"/>
          <w:szCs w:val="24"/>
          <w:lang w:val="en-GB"/>
        </w:rPr>
        <w:t>a Python</w:t>
      </w:r>
      <w:r>
        <w:rPr>
          <w:color w:val="000000"/>
          <w:sz w:val="24"/>
          <w:szCs w:val="24"/>
          <w:lang w:val="en-GB"/>
        </w:rPr>
        <w:t xml:space="preserve"> wrapper around the AlphaSim </w:t>
      </w:r>
      <w:r>
        <w:rPr>
          <w:sz w:val="24"/>
          <w:szCs w:val="24"/>
          <w:lang w:val="en-GB"/>
        </w:rPr>
        <w:t xml:space="preserve">(Faux et al., 2016) </w:t>
      </w:r>
      <w:r>
        <w:rPr>
          <w:sz w:val="24"/>
          <w:szCs w:val="24"/>
          <w:lang w:val="en-GB"/>
        </w:rPr>
        <w:t xml:space="preserve">and </w:t>
      </w:r>
      <w:r>
        <w:rPr>
          <w:bCs/>
          <w:sz w:val="24"/>
          <w:szCs w:val="24"/>
          <w:lang w:val="en-GB"/>
        </w:rPr>
        <w:t xml:space="preserve">blupf90 </w:t>
      </w:r>
      <w:r>
        <w:rPr>
          <w:bCs/>
          <w:color w:val="000000"/>
          <w:sz w:val="24"/>
          <w:szCs w:val="24"/>
          <w:lang w:val="en-GB"/>
        </w:rPr>
        <w:t xml:space="preserve">software </w:t>
      </w:r>
      <w:r>
        <w:rPr>
          <w:bCs/>
          <w:sz w:val="24"/>
          <w:szCs w:val="24"/>
          <w:lang w:val="en-GB"/>
        </w:rPr>
        <w:t>(Misztal et al., 2002)</w:t>
      </w:r>
      <w:r>
        <w:rPr>
          <w:color w:val="000000"/>
          <w:sz w:val="24"/>
          <w:szCs w:val="24"/>
          <w:lang w:val="en-GB"/>
        </w:rPr>
        <w:t xml:space="preserve">. In this study, we used this simulator to model </w:t>
      </w:r>
      <w:r>
        <w:rPr>
          <w:color w:val="000000"/>
          <w:sz w:val="24"/>
          <w:szCs w:val="24"/>
          <w:lang w:val="en-GB"/>
        </w:rPr>
        <w:t>a small cattle</w:t>
      </w:r>
      <w:r>
        <w:rPr>
          <w:color w:val="000000"/>
          <w:sz w:val="24"/>
          <w:szCs w:val="24"/>
          <w:lang w:val="en-GB"/>
        </w:rPr>
        <w:t xml:space="preserve"> population </w:t>
      </w:r>
      <w:r>
        <w:rPr>
          <w:color w:val="000000"/>
          <w:sz w:val="24"/>
          <w:szCs w:val="24"/>
          <w:lang w:val="en-GB"/>
        </w:rPr>
        <w:t>of ~30,000 active individuals, from which ~10,000 cows</w:t>
      </w:r>
      <w:r>
        <w:rPr>
          <w:color w:val="000000"/>
          <w:sz w:val="24"/>
          <w:szCs w:val="24"/>
          <w:lang w:val="en-GB"/>
        </w:rPr>
        <w:t>. I</w:t>
      </w:r>
      <w:r>
        <w:rPr>
          <w:sz w:val="24"/>
          <w:szCs w:val="24"/>
          <w:lang w:val="en-GB"/>
        </w:rPr>
        <w:t>nitially, we generated sequence data for 10 chromosomes, from which 20,000 SNPs were used as causal loci affecting a trait with a heritability of 0.25. Then, we initiated a dairy cattle breeding program by first randomly mating the population for 20 generations to obtain animals to model overlapping generations. This was followed by 20 generations of burn-in selection with conventional pedigree-based EBVs and then another 20 generations for each of the designed selection scenarios. Breeding values were estimated</w:t>
      </w:r>
      <w:r>
        <w:rPr>
          <w:bCs/>
          <w:sz w:val="24"/>
          <w:szCs w:val="24"/>
          <w:lang w:val="en-GB"/>
        </w:rPr>
        <w:t xml:space="preserve"> using conventional pedigree-based BLUP or single-step genomic BLUP </w:t>
      </w:r>
      <w:r>
        <w:rPr>
          <w:sz w:val="24"/>
          <w:szCs w:val="24"/>
          <w:lang w:val="en-GB"/>
        </w:rPr>
        <w:t>(Legarra et al., 2009)</w:t>
      </w:r>
      <w:r>
        <w:rPr>
          <w:bCs/>
          <w:sz w:val="24"/>
          <w:szCs w:val="24"/>
          <w:lang w:val="en-GB"/>
        </w:rPr>
        <w:t>.</w:t>
      </w:r>
    </w:p>
    <w:p>
      <w:pPr>
        <w:pStyle w:val="Standard"/>
        <w:rPr>
          <w:lang w:val="en-GB"/>
        </w:rPr>
      </w:pPr>
      <w:r>
        <w:rPr>
          <w:lang w:val="en-GB"/>
        </w:rPr>
      </w:r>
    </w:p>
    <w:p>
      <w:pPr>
        <w:pStyle w:val="Standard"/>
        <w:numPr>
          <w:ilvl w:val="0"/>
          <w:numId w:val="0"/>
        </w:numPr>
        <w:ind w:hanging="0"/>
        <w:outlineLvl w:val="0"/>
        <w:rPr/>
      </w:pPr>
      <w:r>
        <w:rPr>
          <w:b/>
          <w:bCs/>
          <w:sz w:val="24"/>
          <w:szCs w:val="24"/>
          <w:lang w:val="en-GB"/>
        </w:rPr>
        <w:t>Sire selection s</w:t>
      </w:r>
      <w:r>
        <w:rPr>
          <w:b/>
          <w:bCs/>
          <w:sz w:val="24"/>
          <w:szCs w:val="24"/>
          <w:lang w:val="en-GB"/>
        </w:rPr>
        <w:t>cenarios</w:t>
      </w:r>
    </w:p>
    <w:p>
      <w:pPr>
        <w:pStyle w:val="Standard"/>
        <w:ind w:hanging="0"/>
        <w:rPr>
          <w:b/>
          <w:b/>
          <w:bCs/>
          <w:lang w:val="en-GB"/>
        </w:rPr>
      </w:pPr>
      <w:r>
        <w:rPr>
          <w:b/>
          <w:bCs/>
          <w:lang w:val="en-GB"/>
        </w:rPr>
      </w:r>
    </w:p>
    <w:p>
      <w:pPr>
        <w:pStyle w:val="Standard"/>
        <w:ind w:hanging="0"/>
        <w:jc w:val="both"/>
        <w:rPr/>
      </w:pPr>
      <w:r>
        <w:rPr>
          <w:sz w:val="24"/>
          <w:szCs w:val="24"/>
          <w:lang w:val="en-GB"/>
        </w:rPr>
        <w:t>We tested</w:t>
      </w:r>
      <w:r>
        <w:rPr>
          <w:sz w:val="24"/>
          <w:szCs w:val="24"/>
          <w:lang w:val="en-GB"/>
        </w:rPr>
        <w:t xml:space="preserve"> conventional scenario and four genomic selection scenarios that differed in the use of genomic information </w:t>
      </w:r>
      <w:r>
        <w:rPr>
          <w:sz w:val="24"/>
          <w:szCs w:val="24"/>
          <w:lang w:val="en-GB"/>
        </w:rPr>
        <w:t>in the male selection paths (Table 1)</w:t>
      </w:r>
      <w:r>
        <w:rPr>
          <w:sz w:val="24"/>
          <w:szCs w:val="24"/>
          <w:lang w:val="en-GB"/>
        </w:rPr>
        <w:t>. The genomic information was used either for the selection of bulls for progeny testing or for breeding in artificial insemination directly (PT* and GT in Table 1, respectively). For genomic selection, a reference population consisting of ~11,000 cows and 100 progeny tested bulls was assumed. The reference population was updated each generation by replacing the oldest 2000 cows with a random sample of females from the current cow population. In each selection cycle, all male selection candidates for sires were genotyped and added to the reference population.</w:t>
      </w:r>
    </w:p>
    <w:p>
      <w:pPr>
        <w:pStyle w:val="Standard"/>
        <w:ind w:hanging="0"/>
        <w:rPr>
          <w:color w:val="C0C0C0"/>
          <w:sz w:val="24"/>
          <w:szCs w:val="24"/>
          <w:lang w:val="en-GB"/>
        </w:rPr>
      </w:pPr>
      <w:r>
        <w:rPr>
          <w:color w:val="C0C0C0"/>
          <w:sz w:val="24"/>
          <w:szCs w:val="24"/>
          <w:lang w:val="en-GB"/>
        </w:rPr>
      </w:r>
    </w:p>
    <w:p>
      <w:pPr>
        <w:pStyle w:val="Standard"/>
        <w:numPr>
          <w:ilvl w:val="0"/>
          <w:numId w:val="0"/>
        </w:numPr>
        <w:ind w:hanging="0"/>
        <w:outlineLvl w:val="0"/>
        <w:rPr>
          <w:i/>
          <w:i/>
          <w:sz w:val="24"/>
          <w:szCs w:val="24"/>
          <w:lang w:val="en-GB"/>
        </w:rPr>
      </w:pPr>
      <w:r>
        <w:rPr>
          <w:i/>
          <w:sz w:val="24"/>
          <w:szCs w:val="24"/>
          <w:lang w:val="en-GB"/>
        </w:rPr>
        <w:t>Table 1. Sire selection criteria by scenario.</w:t>
      </w:r>
    </w:p>
    <w:tbl>
      <w:tblPr>
        <w:tblW w:w="9088" w:type="dxa"/>
        <w:jc w:val="left"/>
        <w:tblInd w:w="123" w:type="dxa"/>
        <w:tblBorders>
          <w:top w:val="single" w:sz="4" w:space="0" w:color="000001"/>
        </w:tblBorders>
        <w:tblCellMar>
          <w:top w:w="0" w:type="dxa"/>
          <w:left w:w="108" w:type="dxa"/>
          <w:bottom w:w="0" w:type="dxa"/>
          <w:right w:w="108" w:type="dxa"/>
        </w:tblCellMar>
        <w:tblLook w:val="0000" w:noVBand="0" w:noHBand="0" w:lastColumn="0" w:firstColumn="0" w:lastRow="0" w:firstRow="0"/>
      </w:tblPr>
      <w:tblGrid>
        <w:gridCol w:w="1705"/>
        <w:gridCol w:w="1527"/>
        <w:gridCol w:w="1446"/>
        <w:gridCol w:w="1440"/>
        <w:gridCol w:w="1443"/>
        <w:gridCol w:w="1526"/>
      </w:tblGrid>
      <w:tr>
        <w:trPr>
          <w:cantSplit w:val="true"/>
        </w:trPr>
        <w:tc>
          <w:tcPr>
            <w:tcW w:w="1705" w:type="dxa"/>
            <w:tcBorders>
              <w:top w:val="single" w:sz="4" w:space="0" w:color="000001"/>
            </w:tcBorders>
            <w:shd w:color="auto" w:fill="auto" w:val="clear"/>
          </w:tcPr>
          <w:p>
            <w:pPr>
              <w:pStyle w:val="Standard"/>
              <w:snapToGrid w:val="false"/>
              <w:ind w:hanging="0"/>
              <w:jc w:val="both"/>
              <w:rPr>
                <w:color w:val="000000"/>
                <w:sz w:val="24"/>
                <w:szCs w:val="24"/>
                <w:lang w:val="en-GB"/>
              </w:rPr>
            </w:pPr>
            <w:r>
              <w:rPr>
                <w:color w:val="000000"/>
                <w:sz w:val="24"/>
                <w:szCs w:val="24"/>
                <w:lang w:val="en-GB"/>
              </w:rPr>
            </w:r>
          </w:p>
        </w:tc>
        <w:tc>
          <w:tcPr>
            <w:tcW w:w="1527" w:type="dxa"/>
            <w:vMerge w:val="restart"/>
            <w:tcBorders>
              <w:top w:val="single" w:sz="4" w:space="0" w:color="000001"/>
              <w:bottom w:val="single" w:sz="4" w:space="0" w:color="000001"/>
              <w:insideH w:val="single" w:sz="4" w:space="0" w:color="000001"/>
            </w:tcBorders>
            <w:shd w:color="auto" w:fill="auto" w:val="clear"/>
            <w:vAlign w:val="center"/>
          </w:tcPr>
          <w:p>
            <w:pPr>
              <w:pStyle w:val="Standard"/>
              <w:ind w:hanging="0"/>
              <w:jc w:val="center"/>
              <w:rPr>
                <w:color w:val="000000"/>
                <w:sz w:val="24"/>
                <w:szCs w:val="24"/>
                <w:lang w:val="en-GB"/>
              </w:rPr>
            </w:pPr>
            <w:r>
              <w:rPr>
                <w:color w:val="000000"/>
                <w:sz w:val="24"/>
                <w:szCs w:val="24"/>
                <w:lang w:val="en-GB"/>
              </w:rPr>
              <w:t>Conventional scenario</w:t>
            </w:r>
          </w:p>
        </w:tc>
        <w:tc>
          <w:tcPr>
            <w:tcW w:w="5855" w:type="dxa"/>
            <w:gridSpan w:val="4"/>
            <w:tcBorders>
              <w:top w:val="single" w:sz="4" w:space="0" w:color="000001"/>
              <w:bottom w:val="single" w:sz="4" w:space="0" w:color="000001"/>
              <w:insideH w:val="single" w:sz="4" w:space="0" w:color="000001"/>
            </w:tcBorders>
            <w:shd w:color="auto" w:fill="auto" w:val="clear"/>
          </w:tcPr>
          <w:p>
            <w:pPr>
              <w:pStyle w:val="Standard"/>
              <w:ind w:hanging="0"/>
              <w:jc w:val="center"/>
              <w:rPr>
                <w:sz w:val="24"/>
                <w:szCs w:val="24"/>
                <w:lang w:val="en-GB"/>
              </w:rPr>
            </w:pPr>
            <w:r>
              <w:rPr>
                <w:sz w:val="24"/>
                <w:szCs w:val="24"/>
                <w:lang w:val="en-GB"/>
              </w:rPr>
              <w:t>Genomic selection scenarios</w:t>
            </w:r>
          </w:p>
        </w:tc>
      </w:tr>
      <w:tr>
        <w:trPr>
          <w:cantSplit w:val="true"/>
        </w:trPr>
        <w:tc>
          <w:tcPr>
            <w:tcW w:w="1705" w:type="dxa"/>
            <w:tcBorders>
              <w:top w:val="single" w:sz="4" w:space="0" w:color="000001"/>
              <w:bottom w:val="single" w:sz="4" w:space="0" w:color="000001"/>
              <w:insideH w:val="single" w:sz="4" w:space="0" w:color="000001"/>
            </w:tcBorders>
            <w:shd w:color="auto" w:fill="auto" w:val="clear"/>
          </w:tcPr>
          <w:p>
            <w:pPr>
              <w:pStyle w:val="Standard"/>
              <w:snapToGrid w:val="false"/>
              <w:ind w:hanging="0"/>
              <w:jc w:val="both"/>
              <w:rPr>
                <w:color w:val="000000"/>
                <w:sz w:val="24"/>
                <w:szCs w:val="24"/>
                <w:lang w:val="en-GB"/>
              </w:rPr>
            </w:pPr>
            <w:r>
              <w:rPr>
                <w:color w:val="000000"/>
                <w:sz w:val="24"/>
                <w:szCs w:val="24"/>
                <w:lang w:val="en-GB"/>
              </w:rPr>
              <w:t>Selection path</w:t>
            </w:r>
          </w:p>
        </w:tc>
        <w:tc>
          <w:tcPr>
            <w:tcW w:w="1527" w:type="dxa"/>
            <w:vMerge w:val="continue"/>
            <w:tcBorders>
              <w:top w:val="single" w:sz="4" w:space="0" w:color="000001"/>
              <w:bottom w:val="single" w:sz="4" w:space="0" w:color="000001"/>
              <w:insideH w:val="single" w:sz="4" w:space="0" w:color="000001"/>
            </w:tcBorders>
            <w:shd w:color="auto" w:fill="auto" w:val="clear"/>
            <w:vAlign w:val="center"/>
          </w:tcPr>
          <w:p>
            <w:pPr>
              <w:pStyle w:val="Normal"/>
              <w:rPr>
                <w:lang w:val="en-GB"/>
              </w:rPr>
            </w:pPr>
            <w:r>
              <w:rPr>
                <w:lang w:val="en-GB"/>
              </w:rPr>
            </w:r>
          </w:p>
        </w:tc>
        <w:tc>
          <w:tcPr>
            <w:tcW w:w="1446" w:type="dxa"/>
            <w:tcBorders>
              <w:top w:val="single" w:sz="4" w:space="0" w:color="000001"/>
              <w:bottom w:val="single" w:sz="4" w:space="0" w:color="000001"/>
              <w:insideH w:val="single" w:sz="4" w:space="0" w:color="000001"/>
            </w:tcBorders>
            <w:shd w:color="auto" w:fill="auto" w:val="clear"/>
          </w:tcPr>
          <w:p>
            <w:pPr>
              <w:pStyle w:val="Standard"/>
              <w:ind w:hanging="0"/>
              <w:jc w:val="center"/>
              <w:rPr>
                <w:sz w:val="24"/>
                <w:szCs w:val="24"/>
                <w:lang w:val="en-GB"/>
              </w:rPr>
            </w:pPr>
            <w:r>
              <w:rPr>
                <w:sz w:val="24"/>
                <w:szCs w:val="24"/>
                <w:lang w:val="en-GB"/>
              </w:rPr>
              <w:t>A</w:t>
            </w:r>
          </w:p>
        </w:tc>
        <w:tc>
          <w:tcPr>
            <w:tcW w:w="1440" w:type="dxa"/>
            <w:tcBorders>
              <w:top w:val="single" w:sz="4" w:space="0" w:color="000001"/>
              <w:bottom w:val="single" w:sz="4" w:space="0" w:color="000001"/>
              <w:insideH w:val="single" w:sz="4" w:space="0" w:color="000001"/>
            </w:tcBorders>
            <w:shd w:color="auto" w:fill="auto" w:val="clear"/>
          </w:tcPr>
          <w:p>
            <w:pPr>
              <w:pStyle w:val="Standard"/>
              <w:ind w:hanging="0"/>
              <w:jc w:val="center"/>
              <w:rPr>
                <w:sz w:val="24"/>
                <w:szCs w:val="24"/>
                <w:lang w:val="en-GB"/>
              </w:rPr>
            </w:pPr>
            <w:r>
              <w:rPr>
                <w:sz w:val="24"/>
                <w:szCs w:val="24"/>
                <w:lang w:val="en-GB"/>
              </w:rPr>
              <w:t>B</w:t>
            </w:r>
          </w:p>
        </w:tc>
        <w:tc>
          <w:tcPr>
            <w:tcW w:w="1443" w:type="dxa"/>
            <w:tcBorders>
              <w:top w:val="single" w:sz="4" w:space="0" w:color="000001"/>
              <w:bottom w:val="single" w:sz="4" w:space="0" w:color="000001"/>
              <w:insideH w:val="single" w:sz="4" w:space="0" w:color="000001"/>
            </w:tcBorders>
            <w:shd w:color="auto" w:fill="auto" w:val="clear"/>
          </w:tcPr>
          <w:p>
            <w:pPr>
              <w:pStyle w:val="Standard"/>
              <w:ind w:hanging="0"/>
              <w:jc w:val="center"/>
              <w:rPr>
                <w:sz w:val="24"/>
                <w:szCs w:val="24"/>
                <w:lang w:val="en-GB"/>
              </w:rPr>
            </w:pPr>
            <w:r>
              <w:rPr>
                <w:sz w:val="24"/>
                <w:szCs w:val="24"/>
                <w:lang w:val="en-GB"/>
              </w:rPr>
              <w:t>C</w:t>
            </w:r>
          </w:p>
        </w:tc>
        <w:tc>
          <w:tcPr>
            <w:tcW w:w="1526" w:type="dxa"/>
            <w:tcBorders>
              <w:top w:val="single" w:sz="4" w:space="0" w:color="000001"/>
              <w:bottom w:val="single" w:sz="4" w:space="0" w:color="000001"/>
              <w:insideH w:val="single" w:sz="4" w:space="0" w:color="000001"/>
            </w:tcBorders>
            <w:shd w:color="auto" w:fill="auto" w:val="clear"/>
          </w:tcPr>
          <w:p>
            <w:pPr>
              <w:pStyle w:val="Standard"/>
              <w:ind w:hanging="0"/>
              <w:jc w:val="center"/>
              <w:rPr>
                <w:sz w:val="24"/>
                <w:szCs w:val="24"/>
                <w:lang w:val="en-GB"/>
              </w:rPr>
            </w:pPr>
            <w:r>
              <w:rPr>
                <w:sz w:val="24"/>
                <w:szCs w:val="24"/>
                <w:lang w:val="en-GB"/>
              </w:rPr>
              <w:t>D</w:t>
            </w:r>
          </w:p>
        </w:tc>
      </w:tr>
      <w:tr>
        <w:trPr/>
        <w:tc>
          <w:tcPr>
            <w:tcW w:w="1705" w:type="dxa"/>
            <w:tcBorders/>
            <w:shd w:color="auto" w:fill="auto" w:val="clear"/>
          </w:tcPr>
          <w:p>
            <w:pPr>
              <w:pStyle w:val="Standard"/>
              <w:ind w:hanging="0"/>
              <w:rPr>
                <w:color w:val="000000"/>
                <w:sz w:val="24"/>
                <w:szCs w:val="24"/>
                <w:lang w:val="en-GB"/>
              </w:rPr>
            </w:pPr>
            <w:r>
              <w:rPr>
                <w:color w:val="000000"/>
                <w:sz w:val="24"/>
                <w:szCs w:val="24"/>
                <w:lang w:val="en-GB"/>
              </w:rPr>
              <w:t>Sires of sires</w:t>
            </w:r>
          </w:p>
        </w:tc>
        <w:tc>
          <w:tcPr>
            <w:tcW w:w="1527" w:type="dxa"/>
            <w:tcBorders/>
            <w:shd w:color="auto" w:fill="auto" w:val="clear"/>
          </w:tcPr>
          <w:p>
            <w:pPr>
              <w:pStyle w:val="Standard"/>
              <w:ind w:hanging="0"/>
              <w:rPr>
                <w:lang w:val="en-GB"/>
              </w:rPr>
            </w:pPr>
            <w:r>
              <w:rPr>
                <w:color w:val="000000"/>
                <w:sz w:val="24"/>
                <w:szCs w:val="24"/>
                <w:lang w:val="en-GB"/>
              </w:rPr>
              <w:t>PT</w:t>
            </w:r>
            <w:r>
              <w:rPr>
                <w:color w:val="000000"/>
                <w:sz w:val="24"/>
                <w:szCs w:val="24"/>
                <w:vertAlign w:val="superscript"/>
                <w:lang w:val="en-GB"/>
              </w:rPr>
              <w:t>1</w:t>
            </w:r>
            <w:r>
              <w:rPr>
                <w:color w:val="000000"/>
                <w:sz w:val="24"/>
                <w:szCs w:val="24"/>
                <w:lang w:val="en-GB"/>
              </w:rPr>
              <w:t xml:space="preserve"> bulls</w:t>
            </w:r>
          </w:p>
        </w:tc>
        <w:tc>
          <w:tcPr>
            <w:tcW w:w="1446" w:type="dxa"/>
            <w:tcBorders/>
            <w:shd w:color="auto" w:fill="auto" w:val="clear"/>
          </w:tcPr>
          <w:p>
            <w:pPr>
              <w:pStyle w:val="Standard"/>
              <w:ind w:hanging="0"/>
              <w:rPr>
                <w:lang w:val="en-GB"/>
              </w:rPr>
            </w:pPr>
            <w:r>
              <w:rPr>
                <w:color w:val="000000"/>
                <w:sz w:val="24"/>
                <w:szCs w:val="24"/>
                <w:lang w:val="en-GB"/>
              </w:rPr>
              <w:t>PT*</w:t>
            </w:r>
            <w:r>
              <w:rPr>
                <w:color w:val="000000"/>
                <w:sz w:val="24"/>
                <w:szCs w:val="24"/>
                <w:vertAlign w:val="superscript"/>
                <w:lang w:val="en-GB"/>
              </w:rPr>
              <w:t>2</w:t>
            </w:r>
            <w:r>
              <w:rPr>
                <w:color w:val="000000"/>
                <w:sz w:val="24"/>
                <w:szCs w:val="24"/>
                <w:lang w:val="en-GB"/>
              </w:rPr>
              <w:t xml:space="preserve"> bulls</w:t>
            </w:r>
          </w:p>
        </w:tc>
        <w:tc>
          <w:tcPr>
            <w:tcW w:w="1440" w:type="dxa"/>
            <w:tcBorders/>
            <w:shd w:color="auto" w:fill="auto" w:val="clear"/>
          </w:tcPr>
          <w:p>
            <w:pPr>
              <w:pStyle w:val="Standard"/>
              <w:ind w:hanging="0"/>
              <w:rPr>
                <w:lang w:val="en-GB"/>
              </w:rPr>
            </w:pPr>
            <w:r>
              <w:rPr>
                <w:color w:val="000000"/>
                <w:sz w:val="24"/>
                <w:szCs w:val="24"/>
                <w:lang w:val="en-GB"/>
              </w:rPr>
              <w:t>PT</w:t>
            </w:r>
            <w:r>
              <w:rPr>
                <w:color w:val="000000"/>
                <w:sz w:val="24"/>
                <w:szCs w:val="24"/>
                <w:vertAlign w:val="superscript"/>
                <w:lang w:val="en-GB"/>
              </w:rPr>
              <w:t>1</w:t>
            </w:r>
            <w:r>
              <w:rPr>
                <w:color w:val="000000"/>
                <w:sz w:val="24"/>
                <w:szCs w:val="24"/>
                <w:lang w:val="en-GB"/>
              </w:rPr>
              <w:t xml:space="preserve"> bulls</w:t>
            </w:r>
          </w:p>
        </w:tc>
        <w:tc>
          <w:tcPr>
            <w:tcW w:w="1443" w:type="dxa"/>
            <w:tcBorders/>
            <w:shd w:color="auto" w:fill="auto" w:val="clear"/>
          </w:tcPr>
          <w:p>
            <w:pPr>
              <w:pStyle w:val="Standard"/>
              <w:ind w:hanging="0"/>
              <w:rPr>
                <w:lang w:val="en-GB"/>
              </w:rPr>
            </w:pPr>
            <w:r>
              <w:rPr>
                <w:color w:val="000000"/>
                <w:sz w:val="24"/>
                <w:szCs w:val="24"/>
                <w:lang w:val="en-GB"/>
              </w:rPr>
              <w:t>GT</w:t>
            </w:r>
            <w:r>
              <w:rPr>
                <w:color w:val="000000"/>
                <w:sz w:val="24"/>
                <w:szCs w:val="24"/>
                <w:vertAlign w:val="superscript"/>
                <w:lang w:val="en-GB"/>
              </w:rPr>
              <w:t>3</w:t>
            </w:r>
            <w:r>
              <w:rPr>
                <w:color w:val="000000"/>
                <w:sz w:val="24"/>
                <w:szCs w:val="24"/>
                <w:lang w:val="en-GB"/>
              </w:rPr>
              <w:t xml:space="preserve"> bulls</w:t>
            </w:r>
          </w:p>
        </w:tc>
        <w:tc>
          <w:tcPr>
            <w:tcW w:w="1526" w:type="dxa"/>
            <w:tcBorders/>
            <w:shd w:color="auto" w:fill="auto" w:val="clear"/>
          </w:tcPr>
          <w:p>
            <w:pPr>
              <w:pStyle w:val="Standard"/>
              <w:ind w:hanging="0"/>
              <w:rPr>
                <w:lang w:val="en-GB"/>
              </w:rPr>
            </w:pPr>
            <w:r>
              <w:rPr>
                <w:color w:val="000000"/>
                <w:sz w:val="24"/>
                <w:szCs w:val="24"/>
                <w:lang w:val="en-GB"/>
              </w:rPr>
              <w:t>GT</w:t>
            </w:r>
            <w:r>
              <w:rPr>
                <w:color w:val="000000"/>
                <w:sz w:val="24"/>
                <w:szCs w:val="24"/>
                <w:vertAlign w:val="superscript"/>
                <w:lang w:val="en-GB"/>
              </w:rPr>
              <w:t>3</w:t>
            </w:r>
            <w:r>
              <w:rPr>
                <w:color w:val="000000"/>
                <w:sz w:val="24"/>
                <w:szCs w:val="24"/>
                <w:lang w:val="en-GB"/>
              </w:rPr>
              <w:t xml:space="preserve"> bulls</w:t>
            </w:r>
          </w:p>
        </w:tc>
      </w:tr>
      <w:tr>
        <w:trPr/>
        <w:tc>
          <w:tcPr>
            <w:tcW w:w="1705" w:type="dxa"/>
            <w:tcBorders>
              <w:top w:val="single" w:sz="4" w:space="0" w:color="000001"/>
              <w:bottom w:val="single" w:sz="4" w:space="0" w:color="000001"/>
              <w:insideH w:val="single" w:sz="4" w:space="0" w:color="000001"/>
            </w:tcBorders>
            <w:shd w:color="auto" w:fill="auto" w:val="clear"/>
          </w:tcPr>
          <w:p>
            <w:pPr>
              <w:pStyle w:val="Standard"/>
              <w:ind w:hanging="0"/>
              <w:rPr>
                <w:color w:val="000000"/>
                <w:sz w:val="24"/>
                <w:szCs w:val="24"/>
                <w:lang w:val="en-GB"/>
              </w:rPr>
            </w:pPr>
            <w:r>
              <w:rPr>
                <w:color w:val="000000"/>
                <w:sz w:val="24"/>
                <w:szCs w:val="24"/>
                <w:lang w:val="en-GB"/>
              </w:rPr>
              <w:t>Sires of dams</w:t>
            </w:r>
          </w:p>
        </w:tc>
        <w:tc>
          <w:tcPr>
            <w:tcW w:w="1527" w:type="dxa"/>
            <w:tcBorders>
              <w:top w:val="single" w:sz="4" w:space="0" w:color="000001"/>
              <w:bottom w:val="single" w:sz="4" w:space="0" w:color="000001"/>
              <w:insideH w:val="single" w:sz="4" w:space="0" w:color="000001"/>
            </w:tcBorders>
            <w:shd w:color="auto" w:fill="auto" w:val="clear"/>
          </w:tcPr>
          <w:p>
            <w:pPr>
              <w:pStyle w:val="Standard"/>
              <w:ind w:hanging="0"/>
              <w:rPr>
                <w:lang w:val="en-GB"/>
              </w:rPr>
            </w:pPr>
            <w:r>
              <w:rPr>
                <w:color w:val="000000"/>
                <w:sz w:val="24"/>
                <w:szCs w:val="24"/>
                <w:lang w:val="en-GB"/>
              </w:rPr>
              <w:t>PT</w:t>
            </w:r>
            <w:r>
              <w:rPr>
                <w:color w:val="000000"/>
                <w:sz w:val="24"/>
                <w:szCs w:val="24"/>
                <w:vertAlign w:val="superscript"/>
                <w:lang w:val="en-GB"/>
              </w:rPr>
              <w:t>1</w:t>
            </w:r>
            <w:r>
              <w:rPr>
                <w:color w:val="000000"/>
                <w:sz w:val="24"/>
                <w:szCs w:val="24"/>
                <w:lang w:val="en-GB"/>
              </w:rPr>
              <w:t xml:space="preserve"> bulls</w:t>
            </w:r>
          </w:p>
        </w:tc>
        <w:tc>
          <w:tcPr>
            <w:tcW w:w="1446" w:type="dxa"/>
            <w:tcBorders>
              <w:top w:val="single" w:sz="4" w:space="0" w:color="000001"/>
              <w:bottom w:val="single" w:sz="4" w:space="0" w:color="000001"/>
              <w:insideH w:val="single" w:sz="4" w:space="0" w:color="000001"/>
            </w:tcBorders>
            <w:shd w:color="auto" w:fill="auto" w:val="clear"/>
          </w:tcPr>
          <w:p>
            <w:pPr>
              <w:pStyle w:val="Standard"/>
              <w:ind w:hanging="0"/>
              <w:rPr>
                <w:lang w:val="en-GB"/>
              </w:rPr>
            </w:pPr>
            <w:r>
              <w:rPr>
                <w:color w:val="000000"/>
                <w:sz w:val="24"/>
                <w:szCs w:val="24"/>
                <w:lang w:val="en-GB"/>
              </w:rPr>
              <w:t>PT*</w:t>
            </w:r>
            <w:r>
              <w:rPr>
                <w:color w:val="000000"/>
                <w:sz w:val="24"/>
                <w:szCs w:val="24"/>
                <w:vertAlign w:val="superscript"/>
                <w:lang w:val="en-GB"/>
              </w:rPr>
              <w:t>2</w:t>
            </w:r>
            <w:r>
              <w:rPr>
                <w:color w:val="000000"/>
                <w:sz w:val="24"/>
                <w:szCs w:val="24"/>
                <w:lang w:val="en-GB"/>
              </w:rPr>
              <w:t xml:space="preserve"> bulls</w:t>
            </w:r>
          </w:p>
        </w:tc>
        <w:tc>
          <w:tcPr>
            <w:tcW w:w="1440" w:type="dxa"/>
            <w:tcBorders>
              <w:top w:val="single" w:sz="4" w:space="0" w:color="000001"/>
              <w:bottom w:val="single" w:sz="4" w:space="0" w:color="000001"/>
              <w:insideH w:val="single" w:sz="4" w:space="0" w:color="000001"/>
            </w:tcBorders>
            <w:shd w:color="auto" w:fill="auto" w:val="clear"/>
          </w:tcPr>
          <w:p>
            <w:pPr>
              <w:pStyle w:val="Standard"/>
              <w:ind w:hanging="0"/>
              <w:rPr>
                <w:lang w:val="en-GB"/>
              </w:rPr>
            </w:pPr>
            <w:r>
              <w:rPr>
                <w:color w:val="000000"/>
                <w:sz w:val="24"/>
                <w:szCs w:val="24"/>
                <w:lang w:val="en-GB"/>
              </w:rPr>
              <w:t>GT</w:t>
            </w:r>
            <w:r>
              <w:rPr>
                <w:color w:val="000000"/>
                <w:sz w:val="24"/>
                <w:szCs w:val="24"/>
                <w:vertAlign w:val="superscript"/>
                <w:lang w:val="en-GB"/>
              </w:rPr>
              <w:t>3</w:t>
            </w:r>
            <w:r>
              <w:rPr>
                <w:color w:val="000000"/>
                <w:sz w:val="24"/>
                <w:szCs w:val="24"/>
                <w:lang w:val="en-GB"/>
              </w:rPr>
              <w:t xml:space="preserve"> bulls</w:t>
            </w:r>
          </w:p>
        </w:tc>
        <w:tc>
          <w:tcPr>
            <w:tcW w:w="1443" w:type="dxa"/>
            <w:tcBorders>
              <w:top w:val="single" w:sz="4" w:space="0" w:color="000001"/>
              <w:bottom w:val="single" w:sz="4" w:space="0" w:color="000001"/>
              <w:insideH w:val="single" w:sz="4" w:space="0" w:color="000001"/>
            </w:tcBorders>
            <w:shd w:color="auto" w:fill="auto" w:val="clear"/>
          </w:tcPr>
          <w:p>
            <w:pPr>
              <w:pStyle w:val="Standard"/>
              <w:ind w:hanging="0"/>
              <w:rPr>
                <w:lang w:val="en-GB"/>
              </w:rPr>
            </w:pPr>
            <w:r>
              <w:rPr>
                <w:color w:val="000000"/>
                <w:sz w:val="24"/>
                <w:szCs w:val="24"/>
                <w:lang w:val="en-GB"/>
              </w:rPr>
              <w:t>PT</w:t>
            </w:r>
            <w:r>
              <w:rPr>
                <w:color w:val="000000"/>
                <w:sz w:val="24"/>
                <w:szCs w:val="24"/>
                <w:vertAlign w:val="superscript"/>
                <w:lang w:val="en-GB"/>
              </w:rPr>
              <w:t>1</w:t>
            </w:r>
            <w:r>
              <w:rPr>
                <w:color w:val="000000"/>
                <w:sz w:val="24"/>
                <w:szCs w:val="24"/>
                <w:lang w:val="en-GB"/>
              </w:rPr>
              <w:t xml:space="preserve"> bulls</w:t>
            </w:r>
          </w:p>
        </w:tc>
        <w:tc>
          <w:tcPr>
            <w:tcW w:w="1526" w:type="dxa"/>
            <w:tcBorders>
              <w:top w:val="single" w:sz="4" w:space="0" w:color="000001"/>
              <w:bottom w:val="single" w:sz="4" w:space="0" w:color="000001"/>
              <w:insideH w:val="single" w:sz="4" w:space="0" w:color="000001"/>
            </w:tcBorders>
            <w:shd w:color="auto" w:fill="auto" w:val="clear"/>
          </w:tcPr>
          <w:p>
            <w:pPr>
              <w:pStyle w:val="Standard"/>
              <w:ind w:hanging="0"/>
              <w:rPr>
                <w:lang w:val="en-GB"/>
              </w:rPr>
            </w:pPr>
            <w:r>
              <w:rPr>
                <w:color w:val="000000"/>
                <w:sz w:val="24"/>
                <w:szCs w:val="24"/>
                <w:lang w:val="en-GB"/>
              </w:rPr>
              <w:t>GT</w:t>
            </w:r>
            <w:r>
              <w:rPr>
                <w:color w:val="000000"/>
                <w:sz w:val="24"/>
                <w:szCs w:val="24"/>
                <w:vertAlign w:val="superscript"/>
                <w:lang w:val="en-GB"/>
              </w:rPr>
              <w:t>3</w:t>
            </w:r>
            <w:r>
              <w:rPr>
                <w:color w:val="000000"/>
                <w:sz w:val="24"/>
                <w:szCs w:val="24"/>
                <w:lang w:val="en-GB"/>
              </w:rPr>
              <w:t xml:space="preserve"> bulls</w:t>
            </w:r>
          </w:p>
        </w:tc>
      </w:tr>
    </w:tbl>
    <w:p>
      <w:pPr>
        <w:pStyle w:val="Standard"/>
        <w:ind w:hanging="0"/>
        <w:rPr>
          <w:lang w:val="en-GB"/>
        </w:rPr>
      </w:pPr>
      <w:r>
        <w:rPr>
          <w:color w:val="000000"/>
          <w:vertAlign w:val="superscript"/>
          <w:lang w:val="en-GB"/>
        </w:rPr>
        <w:t>1</w:t>
      </w:r>
      <w:r>
        <w:rPr>
          <w:color w:val="000000"/>
          <w:lang w:val="en-GB"/>
        </w:rPr>
        <w:t>PT = progeny tested</w:t>
      </w:r>
    </w:p>
    <w:p>
      <w:pPr>
        <w:pStyle w:val="Standard"/>
        <w:ind w:hanging="0"/>
        <w:rPr>
          <w:lang w:val="en-GB"/>
        </w:rPr>
      </w:pPr>
      <w:r>
        <w:rPr>
          <w:color w:val="000000"/>
          <w:vertAlign w:val="superscript"/>
          <w:lang w:val="en-GB"/>
        </w:rPr>
        <w:t>2</w:t>
      </w:r>
      <w:r>
        <w:rPr>
          <w:color w:val="000000"/>
          <w:lang w:val="en-GB"/>
        </w:rPr>
        <w:t>PT</w:t>
      </w:r>
      <w:r>
        <w:rPr>
          <w:vertAlign w:val="superscript"/>
          <w:lang w:val="en-GB"/>
        </w:rPr>
        <w:t>*</w:t>
      </w:r>
      <w:r>
        <w:rPr>
          <w:lang w:val="en-GB"/>
        </w:rPr>
        <w:t xml:space="preserve"> = young bulls for progeny testing selected based on genomic breeding values</w:t>
      </w:r>
    </w:p>
    <w:p>
      <w:pPr>
        <w:pStyle w:val="Standard"/>
        <w:ind w:hanging="0"/>
        <w:rPr>
          <w:lang w:val="en-GB"/>
        </w:rPr>
      </w:pPr>
      <w:r>
        <w:rPr>
          <w:color w:val="000000"/>
          <w:vertAlign w:val="superscript"/>
          <w:lang w:val="en-GB"/>
        </w:rPr>
        <w:t>3</w:t>
      </w:r>
      <w:r>
        <w:rPr>
          <w:color w:val="000000"/>
          <w:lang w:val="en-GB"/>
        </w:rPr>
        <w:t>GT = genomically tested</w:t>
      </w:r>
    </w:p>
    <w:p>
      <w:pPr>
        <w:pStyle w:val="Standard"/>
        <w:ind w:hanging="0"/>
        <w:rPr>
          <w:color w:val="C0C0C0"/>
          <w:sz w:val="24"/>
          <w:szCs w:val="24"/>
          <w:lang w:val="en-GB"/>
        </w:rPr>
      </w:pPr>
      <w:r>
        <w:rPr>
          <w:color w:val="C0C0C0"/>
          <w:sz w:val="24"/>
          <w:szCs w:val="24"/>
          <w:lang w:val="en-GB"/>
        </w:rPr>
      </w:r>
    </w:p>
    <w:p>
      <w:pPr>
        <w:pStyle w:val="Standard"/>
        <w:ind w:hanging="0"/>
        <w:rPr>
          <w:b/>
          <w:b/>
          <w:bCs/>
          <w:color w:val="000000"/>
          <w:sz w:val="24"/>
          <w:szCs w:val="24"/>
          <w:lang w:val="en-GB"/>
        </w:rPr>
      </w:pPr>
      <w:r>
        <w:rPr>
          <w:b/>
          <w:bCs/>
          <w:color w:val="000000"/>
          <w:sz w:val="24"/>
          <w:szCs w:val="24"/>
          <w:lang w:val="en-GB"/>
        </w:rPr>
        <w:t>Sire use strategies</w:t>
      </w:r>
    </w:p>
    <w:p>
      <w:pPr>
        <w:pStyle w:val="Standard"/>
        <w:ind w:hanging="0"/>
        <w:rPr>
          <w:b/>
          <w:b/>
          <w:bCs/>
          <w:color w:val="000000"/>
          <w:sz w:val="24"/>
          <w:szCs w:val="24"/>
          <w:lang w:val="en-GB"/>
        </w:rPr>
      </w:pPr>
      <w:r>
        <w:rPr>
          <w:b/>
          <w:bCs/>
          <w:color w:val="000000"/>
          <w:sz w:val="24"/>
          <w:szCs w:val="24"/>
          <w:lang w:val="en-GB"/>
        </w:rPr>
      </w:r>
    </w:p>
    <w:p>
      <w:pPr>
        <w:pStyle w:val="Standard"/>
        <w:ind w:hanging="0"/>
        <w:jc w:val="both"/>
        <w:rPr>
          <w:b w:val="false"/>
          <w:b w:val="false"/>
          <w:bCs w:val="false"/>
          <w:color w:val="000000"/>
          <w:sz w:val="24"/>
          <w:szCs w:val="24"/>
          <w:lang w:val="en-GB"/>
        </w:rPr>
      </w:pPr>
      <w:r>
        <w:rPr>
          <w:b w:val="false"/>
          <w:bCs w:val="false"/>
          <w:color w:val="000000"/>
          <w:sz w:val="24"/>
          <w:szCs w:val="24"/>
          <w:lang w:val="en-GB"/>
        </w:rPr>
        <w:t xml:space="preserve">The five sire selection scenarios were tested within three </w:t>
      </w:r>
      <w:r>
        <w:rPr>
          <w:b w:val="false"/>
          <w:bCs w:val="false"/>
          <w:color w:val="000000"/>
          <w:sz w:val="24"/>
          <w:szCs w:val="24"/>
          <w:lang w:val="en-GB"/>
        </w:rPr>
        <w:t xml:space="preserve">different </w:t>
      </w:r>
      <w:r>
        <w:rPr>
          <w:b w:val="false"/>
          <w:bCs w:val="false"/>
          <w:color w:val="000000"/>
          <w:sz w:val="24"/>
          <w:szCs w:val="24"/>
          <w:lang w:val="en-GB"/>
        </w:rPr>
        <w:t>strategies of the use of sires</w:t>
      </w:r>
      <w:r>
        <w:rPr>
          <w:b w:val="false"/>
          <w:bCs w:val="false"/>
          <w:color w:val="000000"/>
          <w:sz w:val="24"/>
          <w:szCs w:val="24"/>
          <w:lang w:val="en-GB"/>
        </w:rPr>
        <w:t>. In the original strategy (</w:t>
      </w:r>
      <w:r>
        <w:rPr>
          <w:b w:val="false"/>
          <w:bCs w:val="false"/>
          <w:color w:val="000000"/>
          <w:sz w:val="24"/>
          <w:szCs w:val="24"/>
          <w:lang w:val="en-GB"/>
        </w:rPr>
        <w:t xml:space="preserve">SU </w:t>
      </w:r>
      <w:r>
        <w:rPr>
          <w:b w:val="false"/>
          <w:bCs w:val="false"/>
          <w:color w:val="000000"/>
          <w:sz w:val="24"/>
          <w:szCs w:val="24"/>
          <w:lang w:val="en-GB"/>
        </w:rPr>
        <w:t xml:space="preserve">5/5) we selected five bulls each year and kept them in use for five years. In the next strategy we increased the selection intensity </w:t>
      </w:r>
      <w:r>
        <w:rPr>
          <w:b w:val="false"/>
          <w:bCs w:val="false"/>
          <w:color w:val="000000"/>
          <w:sz w:val="24"/>
          <w:szCs w:val="24"/>
          <w:lang w:val="en-GB"/>
        </w:rPr>
        <w:t>by selection only one bull - instead of five - per year</w:t>
      </w:r>
      <w:r>
        <w:rPr>
          <w:b w:val="false"/>
          <w:bCs w:val="false"/>
          <w:color w:val="000000"/>
          <w:sz w:val="24"/>
          <w:szCs w:val="24"/>
          <w:lang w:val="en-GB"/>
        </w:rPr>
        <w:t xml:space="preserve"> and kept him in use for five years  (</w:t>
      </w:r>
      <w:r>
        <w:rPr>
          <w:b w:val="false"/>
          <w:bCs w:val="false"/>
          <w:color w:val="000000"/>
          <w:sz w:val="24"/>
          <w:szCs w:val="24"/>
          <w:lang w:val="en-GB"/>
        </w:rPr>
        <w:t xml:space="preserve">SU </w:t>
      </w:r>
      <w:r>
        <w:rPr>
          <w:b w:val="false"/>
          <w:bCs w:val="false"/>
          <w:color w:val="000000"/>
          <w:sz w:val="24"/>
          <w:szCs w:val="24"/>
          <w:lang w:val="en-GB"/>
        </w:rPr>
        <w:t xml:space="preserve">1/5). </w:t>
      </w:r>
      <w:r>
        <w:rPr>
          <w:b w:val="false"/>
          <w:bCs w:val="false"/>
          <w:color w:val="000000"/>
          <w:sz w:val="24"/>
          <w:szCs w:val="24"/>
          <w:lang w:val="en-GB"/>
        </w:rPr>
        <w:t>In t</w:t>
      </w:r>
      <w:r>
        <w:rPr>
          <w:b w:val="false"/>
          <w:bCs w:val="false"/>
          <w:color w:val="000000"/>
          <w:sz w:val="24"/>
          <w:szCs w:val="24"/>
          <w:lang w:val="en-GB"/>
        </w:rPr>
        <w:t>he last strategy we selected five bulls each year and kept them in use for five years (</w:t>
      </w:r>
      <w:r>
        <w:rPr>
          <w:b w:val="false"/>
          <w:bCs w:val="false"/>
          <w:color w:val="000000"/>
          <w:sz w:val="24"/>
          <w:szCs w:val="24"/>
          <w:lang w:val="en-GB"/>
        </w:rPr>
        <w:t xml:space="preserve">SU </w:t>
      </w:r>
      <w:r>
        <w:rPr>
          <w:b w:val="false"/>
          <w:bCs w:val="false"/>
          <w:color w:val="000000"/>
          <w:sz w:val="24"/>
          <w:szCs w:val="24"/>
          <w:lang w:val="en-GB"/>
        </w:rPr>
        <w:t xml:space="preserve">5/1) </w:t>
      </w:r>
      <w:r>
        <w:rPr>
          <w:b w:val="false"/>
          <w:bCs w:val="false"/>
          <w:color w:val="000000"/>
          <w:sz w:val="24"/>
          <w:szCs w:val="24"/>
          <w:lang w:val="en-GB"/>
        </w:rPr>
        <w:t>which decreased generation interval even further</w:t>
      </w:r>
      <w:r>
        <w:rPr>
          <w:b w:val="false"/>
          <w:bCs w:val="false"/>
          <w:color w:val="000000"/>
          <w:sz w:val="24"/>
          <w:szCs w:val="24"/>
          <w:lang w:val="en-GB"/>
        </w:rPr>
        <w:t xml:space="preserve">. </w:t>
      </w:r>
    </w:p>
    <w:p>
      <w:pPr>
        <w:pStyle w:val="Standard"/>
        <w:ind w:hanging="0"/>
        <w:rPr>
          <w:b/>
          <w:b/>
          <w:bCs/>
          <w:color w:val="000000"/>
          <w:sz w:val="24"/>
          <w:szCs w:val="24"/>
          <w:lang w:val="en-GB"/>
        </w:rPr>
      </w:pPr>
      <w:r>
        <w:rPr>
          <w:b/>
          <w:bCs/>
          <w:color w:val="000000"/>
          <w:sz w:val="24"/>
          <w:szCs w:val="24"/>
          <w:lang w:val="en-GB"/>
        </w:rPr>
      </w:r>
    </w:p>
    <w:p>
      <w:pPr>
        <w:pStyle w:val="Standard"/>
        <w:numPr>
          <w:ilvl w:val="0"/>
          <w:numId w:val="0"/>
        </w:numPr>
        <w:ind w:hanging="0"/>
        <w:outlineLvl w:val="0"/>
        <w:rPr>
          <w:b/>
          <w:b/>
          <w:bCs/>
          <w:sz w:val="24"/>
          <w:szCs w:val="24"/>
          <w:lang w:val="en-GB"/>
        </w:rPr>
      </w:pPr>
      <w:r>
        <w:rPr>
          <w:b/>
          <w:bCs/>
          <w:sz w:val="24"/>
          <w:szCs w:val="24"/>
          <w:lang w:val="en-GB"/>
        </w:rPr>
        <w:t>Metrics of comparison</w:t>
      </w:r>
    </w:p>
    <w:p>
      <w:pPr>
        <w:pStyle w:val="Standard"/>
        <w:ind w:hanging="0"/>
        <w:rPr>
          <w:b/>
          <w:b/>
          <w:bCs/>
          <w:lang w:val="en-GB"/>
        </w:rPr>
      </w:pPr>
      <w:r>
        <w:rPr>
          <w:b/>
          <w:bCs/>
          <w:lang w:val="en-GB"/>
        </w:rPr>
      </w:r>
    </w:p>
    <w:p>
      <w:pPr>
        <w:pStyle w:val="Standard"/>
        <w:ind w:hanging="0"/>
        <w:jc w:val="both"/>
        <w:rPr/>
      </w:pPr>
      <w:r>
        <w:rPr>
          <w:sz w:val="24"/>
          <w:szCs w:val="24"/>
          <w:lang w:val="en-GB"/>
        </w:rPr>
        <w:t xml:space="preserve">The scenarios were compared in terms of genetic gain per year (expressed with mean zero and in units of genetic standard deviation in the first generation of comparison) and efficiency. We defined </w:t>
      </w:r>
      <w:r>
        <w:rPr>
          <w:sz w:val="24"/>
          <w:szCs w:val="24"/>
          <w:lang w:val="en-GB"/>
        </w:rPr>
        <w:t xml:space="preserve">the </w:t>
      </w:r>
      <w:r>
        <w:rPr>
          <w:sz w:val="24"/>
          <w:szCs w:val="24"/>
          <w:lang w:val="en-GB"/>
        </w:rPr>
        <w:t xml:space="preserve">efficiency of selection as a regression of the achieved genetic gain on the amount of reduction of the genic </w:t>
      </w:r>
      <w:r>
        <w:rPr>
          <w:rStyle w:val="Annotationreference"/>
          <w:sz w:val="24"/>
          <w:szCs w:val="24"/>
          <w:lang w:val="en-GB"/>
        </w:rPr>
        <w:t xml:space="preserve">standard deviation. We used the genic rather than the genetic standard deviation due to large fluctuations in the latter. When computing efficiency, both genetic gain and the genic standard deviation were standardized by the genic standard deviation in the first generation of comparison. Therefore, this efficiency metric indicates the potential genetic gain in units of genic standard deviation when all variation is converted into gain or lost due to drift. </w:t>
      </w:r>
      <w:r>
        <w:rPr>
          <w:rStyle w:val="Annotationreference"/>
          <w:color w:val="000000"/>
          <w:sz w:val="23"/>
          <w:szCs w:val="24"/>
          <w:lang w:val="en-GB"/>
        </w:rPr>
        <w:t>Results are presented as the mean of ten replicates for each scenario on a per generation or cumulative basis</w:t>
      </w:r>
      <w:r>
        <w:rPr>
          <w:rStyle w:val="Annotationreference"/>
          <w:color w:val="642A8F"/>
          <w:sz w:val="23"/>
          <w:szCs w:val="24"/>
          <w:lang w:val="en-GB"/>
        </w:rPr>
        <w:t>.</w:t>
      </w:r>
    </w:p>
    <w:p>
      <w:pPr>
        <w:pStyle w:val="Standard"/>
        <w:numPr>
          <w:ilvl w:val="0"/>
          <w:numId w:val="0"/>
        </w:numPr>
        <w:ind w:hanging="0"/>
        <w:outlineLvl w:val="0"/>
        <w:rPr>
          <w:b/>
          <w:b/>
          <w:color w:val="000000"/>
          <w:sz w:val="28"/>
          <w:szCs w:val="28"/>
          <w:lang w:val="en-GB"/>
        </w:rPr>
      </w:pPr>
      <w:r>
        <w:rPr>
          <w:b/>
          <w:color w:val="000000"/>
          <w:sz w:val="28"/>
          <w:szCs w:val="28"/>
          <w:lang w:val="en-GB"/>
        </w:rPr>
      </w:r>
    </w:p>
    <w:p>
      <w:pPr>
        <w:pStyle w:val="Standard"/>
        <w:numPr>
          <w:ilvl w:val="0"/>
          <w:numId w:val="0"/>
        </w:numPr>
        <w:ind w:hanging="0"/>
        <w:outlineLvl w:val="0"/>
        <w:rPr/>
      </w:pPr>
      <w:r>
        <w:rPr>
          <w:b/>
          <w:color w:val="000000"/>
          <w:sz w:val="28"/>
          <w:szCs w:val="28"/>
          <w:lang w:val="en-GB"/>
        </w:rPr>
        <w:t>Results and Discussion</w:t>
      </w:r>
    </w:p>
    <w:p>
      <w:pPr>
        <w:pStyle w:val="Standard"/>
        <w:ind w:hanging="0"/>
        <w:jc w:val="both"/>
        <w:rPr>
          <w:sz w:val="24"/>
          <w:szCs w:val="24"/>
          <w:lang w:val="en-GB"/>
        </w:rPr>
      </w:pPr>
      <w:r>
        <w:rPr>
          <w:sz w:val="24"/>
          <w:szCs w:val="24"/>
          <w:lang w:val="en-GB"/>
        </w:rPr>
      </w:r>
    </w:p>
    <w:p>
      <w:pPr>
        <w:pStyle w:val="Textbody1"/>
        <w:numPr>
          <w:ilvl w:val="0"/>
          <w:numId w:val="0"/>
        </w:numPr>
        <w:spacing w:lineRule="auto" w:line="240" w:before="0" w:after="0"/>
        <w:ind w:hanging="0"/>
        <w:outlineLvl w:val="0"/>
        <w:rPr/>
      </w:pPr>
      <w:bookmarkStart w:id="0" w:name="docs-internal-guid-64ecb138-e9ef-65b3-3c"/>
      <w:bookmarkEnd w:id="0"/>
      <w:r>
        <w:rPr>
          <w:b/>
          <w:bCs/>
          <w:sz w:val="24"/>
          <w:szCs w:val="24"/>
          <w:lang w:val="en-GB"/>
        </w:rPr>
        <w:t>Genetic Gain</w:t>
      </w:r>
    </w:p>
    <w:p>
      <w:pPr>
        <w:pStyle w:val="Textbody1"/>
        <w:spacing w:lineRule="auto" w:line="240" w:before="0" w:after="0"/>
        <w:ind w:hanging="0"/>
        <w:rPr>
          <w:b/>
          <w:b/>
          <w:bCs/>
          <w:sz w:val="24"/>
          <w:szCs w:val="24"/>
          <w:lang w:val="en-GB"/>
        </w:rPr>
      </w:pPr>
      <w:r>
        <w:rPr>
          <w:b/>
          <w:bCs/>
          <w:sz w:val="24"/>
          <w:szCs w:val="24"/>
          <w:lang w:val="en-GB"/>
        </w:rPr>
      </w:r>
    </w:p>
    <w:p>
      <w:pPr>
        <w:pStyle w:val="Textbody1"/>
        <w:spacing w:lineRule="auto" w:line="240" w:before="0" w:after="0"/>
        <w:ind w:hanging="0"/>
        <w:jc w:val="both"/>
        <w:rPr/>
      </w:pPr>
      <w:r>
        <w:rPr>
          <w:sz w:val="24"/>
          <w:szCs w:val="24"/>
          <w:lang w:val="en-GB"/>
        </w:rPr>
        <w:t>In Table 2 we present g</w:t>
      </w:r>
      <w:r>
        <w:rPr>
          <w:sz w:val="24"/>
          <w:szCs w:val="24"/>
          <w:lang w:val="en-GB"/>
        </w:rPr>
        <w:t>enetic gains</w:t>
      </w:r>
      <w:r>
        <w:rPr>
          <w:sz w:val="24"/>
          <w:szCs w:val="24"/>
          <w:lang w:val="en-GB"/>
        </w:rPr>
        <w:t xml:space="preserve"> </w:t>
      </w:r>
      <w:r>
        <w:rPr>
          <w:sz w:val="24"/>
          <w:szCs w:val="24"/>
          <w:lang w:val="en-GB"/>
        </w:rPr>
        <w:t xml:space="preserve">for the tested scenarios </w:t>
      </w:r>
      <w:r>
        <w:rPr>
          <w:sz w:val="24"/>
          <w:szCs w:val="24"/>
          <w:lang w:val="en-GB"/>
        </w:rPr>
        <w:t>within the three sire use strategies</w:t>
      </w:r>
      <w:r>
        <w:rPr>
          <w:sz w:val="24"/>
          <w:szCs w:val="24"/>
          <w:lang w:val="en-GB"/>
        </w:rPr>
        <w:t xml:space="preserve">. </w:t>
      </w:r>
      <w:r>
        <w:rPr>
          <w:sz w:val="24"/>
          <w:szCs w:val="24"/>
          <w:lang w:val="en-GB"/>
        </w:rPr>
        <w:t xml:space="preserve">All the values in the table are relative to the conventional scenario of the </w:t>
      </w:r>
      <w:r>
        <w:rPr>
          <w:sz w:val="24"/>
          <w:szCs w:val="24"/>
          <w:lang w:val="en-GB"/>
        </w:rPr>
        <w:t xml:space="preserve">SU </w:t>
      </w:r>
      <w:r>
        <w:rPr>
          <w:sz w:val="24"/>
          <w:szCs w:val="24"/>
          <w:lang w:val="en-GB"/>
        </w:rPr>
        <w:t xml:space="preserve">5/5 strategy. Conventional scenario </w:t>
      </w:r>
      <w:r>
        <w:rPr>
          <w:sz w:val="24"/>
          <w:szCs w:val="24"/>
          <w:lang w:val="en-GB"/>
        </w:rPr>
        <w:t xml:space="preserve">had </w:t>
      </w:r>
      <w:r>
        <w:rPr>
          <w:sz w:val="24"/>
          <w:szCs w:val="24"/>
          <w:lang w:val="en-GB"/>
        </w:rPr>
        <w:t xml:space="preserve">the lowest genetic gain in all three </w:t>
      </w:r>
      <w:r>
        <w:rPr>
          <w:sz w:val="24"/>
          <w:szCs w:val="24"/>
          <w:lang w:val="en-GB"/>
        </w:rPr>
        <w:t xml:space="preserve">sire use </w:t>
      </w:r>
      <w:r>
        <w:rPr>
          <w:sz w:val="24"/>
          <w:szCs w:val="24"/>
          <w:lang w:val="en-GB"/>
        </w:rPr>
        <w:t xml:space="preserve">strategies. The results show that in this particular population we can achieve a substantial increase in genetic gain, i.e. </w:t>
      </w:r>
      <w:r>
        <w:rPr>
          <w:sz w:val="24"/>
          <w:szCs w:val="24"/>
          <w:lang w:val="en-GB"/>
        </w:rPr>
        <w:t xml:space="preserve">between </w:t>
      </w:r>
      <w:r>
        <w:rPr>
          <w:sz w:val="24"/>
          <w:szCs w:val="24"/>
          <w:lang w:val="en-GB"/>
        </w:rPr>
        <w:t xml:space="preserve">35 </w:t>
      </w:r>
      <w:r>
        <w:rPr>
          <w:sz w:val="24"/>
          <w:szCs w:val="24"/>
          <w:lang w:val="en-GB"/>
        </w:rPr>
        <w:t>and</w:t>
      </w:r>
      <w:r>
        <w:rPr>
          <w:sz w:val="24"/>
          <w:szCs w:val="24"/>
          <w:lang w:val="en-GB"/>
        </w:rPr>
        <w:t xml:space="preserve"> 46%, by using genomic information for a pre-selection step of male calves for progeny testing only (Genomic A). We observe that in all sire use strategies the genetic gain increases with the increasing use of genomic information </w:t>
      </w:r>
      <w:r>
        <w:rPr>
          <w:sz w:val="24"/>
          <w:szCs w:val="24"/>
          <w:lang w:val="en-GB"/>
        </w:rPr>
        <w:t>which</w:t>
      </w:r>
      <w:r>
        <w:rPr>
          <w:sz w:val="24"/>
          <w:szCs w:val="24"/>
          <w:lang w:val="en-GB"/>
        </w:rPr>
        <w:t xml:space="preserve"> is in concordance with the reduction in generation interval</w:t>
      </w:r>
      <w:r>
        <w:rPr>
          <w:sz w:val="24"/>
          <w:szCs w:val="24"/>
          <w:lang w:val="en-GB"/>
        </w:rPr>
        <w:t xml:space="preserve">. Using genomically tested bulls as sires of dams or sires of sires increases the genetic gain by 50-73% and 62-69%, respectively. The most comprehensive genomic scenario increased genetic gain by 88-123%. </w:t>
      </w:r>
      <w:r>
        <w:rPr>
          <w:sz w:val="24"/>
          <w:szCs w:val="24"/>
          <w:lang w:val="en-GB"/>
        </w:rPr>
        <w:t>I</w:t>
      </w:r>
      <w:r>
        <w:rPr>
          <w:sz w:val="24"/>
          <w:szCs w:val="24"/>
          <w:lang w:val="en-GB"/>
        </w:rPr>
        <w:t>ncreasing the intensity of selection (</w:t>
      </w:r>
      <w:r>
        <w:rPr>
          <w:sz w:val="24"/>
          <w:szCs w:val="24"/>
          <w:lang w:val="en-GB"/>
        </w:rPr>
        <w:t xml:space="preserve">SU </w:t>
      </w:r>
      <w:r>
        <w:rPr>
          <w:sz w:val="24"/>
          <w:szCs w:val="24"/>
          <w:lang w:val="en-GB"/>
        </w:rPr>
        <w:t>1/5) or reducing the generation interval even further (</w:t>
      </w:r>
      <w:r>
        <w:rPr>
          <w:sz w:val="24"/>
          <w:szCs w:val="24"/>
          <w:lang w:val="en-GB"/>
        </w:rPr>
        <w:t xml:space="preserve">SU </w:t>
      </w:r>
      <w:r>
        <w:rPr>
          <w:sz w:val="24"/>
          <w:szCs w:val="24"/>
          <w:lang w:val="en-GB"/>
        </w:rPr>
        <w:t xml:space="preserve">5/1) </w:t>
      </w:r>
      <w:r>
        <w:rPr>
          <w:sz w:val="24"/>
          <w:szCs w:val="24"/>
          <w:lang w:val="en-GB"/>
        </w:rPr>
        <w:t xml:space="preserve">increased the genetic gain. </w:t>
      </w:r>
      <w:r>
        <w:rPr>
          <w:sz w:val="24"/>
          <w:szCs w:val="24"/>
          <w:lang w:val="en-GB"/>
        </w:rPr>
        <w:t>However, the observed increases were</w:t>
      </w:r>
      <w:r>
        <w:rPr>
          <w:sz w:val="24"/>
          <w:szCs w:val="24"/>
          <w:lang w:val="en-GB"/>
        </w:rPr>
        <w:t xml:space="preserve"> only up to </w:t>
      </w:r>
      <w:r>
        <w:rPr>
          <w:sz w:val="24"/>
          <w:szCs w:val="24"/>
          <w:lang w:val="en-GB"/>
        </w:rPr>
        <w:t>27</w:t>
      </w:r>
      <w:r>
        <w:rPr>
          <w:sz w:val="24"/>
          <w:szCs w:val="24"/>
          <w:lang w:val="en-GB"/>
        </w:rPr>
        <w:t xml:space="preserve">% </w:t>
      </w:r>
      <w:r>
        <w:rPr>
          <w:sz w:val="24"/>
          <w:szCs w:val="24"/>
          <w:lang w:val="en-GB"/>
        </w:rPr>
        <w:t>in the SU 1/5 strategy and up to 35% in the SU 5/1 strategy.</w:t>
      </w:r>
    </w:p>
    <w:p>
      <w:pPr>
        <w:pStyle w:val="Textbody1"/>
        <w:spacing w:lineRule="auto" w:line="240" w:before="0" w:after="0"/>
        <w:ind w:hanging="0"/>
        <w:jc w:val="both"/>
        <w:rPr>
          <w:sz w:val="24"/>
          <w:szCs w:val="24"/>
          <w:lang w:val="en-GB"/>
        </w:rPr>
      </w:pPr>
      <w:r>
        <w:rPr/>
      </w:r>
      <w:r>
        <w:br w:type="page"/>
      </w:r>
    </w:p>
    <w:p>
      <w:pPr>
        <w:pStyle w:val="Standard"/>
        <w:ind w:hanging="0"/>
        <w:jc w:val="both"/>
        <w:rPr/>
      </w:pPr>
      <w:r>
        <w:rPr>
          <w:i/>
          <w:sz w:val="24"/>
          <w:szCs w:val="24"/>
          <w:lang w:val="en-GB"/>
        </w:rPr>
        <w:t>Table</w:t>
      </w:r>
      <w:r>
        <w:rPr>
          <w:i/>
          <w:sz w:val="24"/>
          <w:szCs w:val="24"/>
          <w:lang w:val="en-GB"/>
        </w:rPr>
        <w:t xml:space="preserve"> </w:t>
      </w:r>
      <w:r>
        <w:rPr>
          <w:i/>
          <w:sz w:val="24"/>
          <w:szCs w:val="24"/>
          <w:lang w:val="en-GB"/>
        </w:rPr>
        <w:t>2</w:t>
      </w:r>
      <w:r>
        <w:rPr>
          <w:i/>
          <w:sz w:val="24"/>
          <w:szCs w:val="24"/>
          <w:lang w:val="en-GB"/>
        </w:rPr>
        <w:t xml:space="preserve">. Genetic gain by </w:t>
      </w:r>
      <w:r>
        <w:rPr>
          <w:i/>
          <w:sz w:val="24"/>
          <w:szCs w:val="24"/>
          <w:lang w:val="en-GB"/>
        </w:rPr>
        <w:t xml:space="preserve">sire selection </w:t>
      </w:r>
      <w:r>
        <w:rPr>
          <w:i/>
          <w:sz w:val="24"/>
          <w:szCs w:val="24"/>
          <w:lang w:val="en-GB"/>
        </w:rPr>
        <w:t xml:space="preserve">scenario </w:t>
      </w:r>
      <w:r>
        <w:rPr>
          <w:i/>
          <w:sz w:val="24"/>
          <w:szCs w:val="24"/>
          <w:lang w:val="en-GB"/>
        </w:rPr>
        <w:t xml:space="preserve">and sire use strategies </w:t>
      </w:r>
      <w:r>
        <w:rPr>
          <w:i/>
          <w:sz w:val="24"/>
          <w:szCs w:val="24"/>
          <w:lang w:val="en-GB"/>
        </w:rPr>
        <w:t>averaged across ten replicates</w:t>
      </w:r>
      <w:r>
        <w:rPr>
          <w:sz w:val="24"/>
          <w:szCs w:val="24"/>
          <w:lang w:val="en-GB"/>
        </w:rPr>
        <w:t>.</w:t>
      </w:r>
    </w:p>
    <w:p>
      <w:pPr>
        <w:pStyle w:val="Standard"/>
        <w:spacing w:lineRule="auto" w:line="240" w:before="0" w:after="0"/>
        <w:ind w:hanging="0"/>
        <w:jc w:val="both"/>
        <w:rPr>
          <w:sz w:val="20"/>
          <w:szCs w:val="20"/>
        </w:rPr>
      </w:pPr>
      <w:r>
        <w:rPr>
          <w:sz w:val="20"/>
          <w:szCs w:val="20"/>
          <w:lang w:val="en-GB"/>
        </w:rPr>
        <w:t>Sire selection strategies</w:t>
      </w:r>
      <w:r>
        <w:rPr>
          <w:sz w:val="20"/>
          <w:szCs w:val="20"/>
          <w:lang w:val="en-GB"/>
        </w:rPr>
        <w:t xml:space="preserve">: </w:t>
      </w:r>
      <w:r>
        <w:rPr>
          <w:sz w:val="20"/>
          <w:szCs w:val="20"/>
          <w:lang w:val="en-GB"/>
        </w:rPr>
        <w:t>conventional = only progeny tested bulls (no genomic information),</w:t>
      </w:r>
      <w:r>
        <w:rPr>
          <w:sz w:val="20"/>
          <w:szCs w:val="20"/>
          <w:lang w:val="en-GB"/>
        </w:rPr>
        <w:t xml:space="preserve"> A = genomic information used for selection of young bulls for progeny testing, B / C / D = genomically tested bulls used respectively as sires of dams / as sires of sires / as sires of dams and sires of sires.</w:t>
      </w:r>
    </w:p>
    <w:p>
      <w:pPr>
        <w:pStyle w:val="Standard"/>
        <w:spacing w:lineRule="auto" w:line="240" w:before="0" w:after="0"/>
        <w:ind w:hanging="0"/>
        <w:jc w:val="both"/>
        <w:rPr>
          <w:sz w:val="20"/>
          <w:szCs w:val="20"/>
        </w:rPr>
      </w:pPr>
      <w:r>
        <w:rPr>
          <w:sz w:val="20"/>
          <w:szCs w:val="20"/>
          <w:lang w:val="en-GB"/>
        </w:rPr>
        <w:t>S</w:t>
      </w:r>
      <w:r>
        <w:rPr>
          <w:sz w:val="20"/>
          <w:szCs w:val="20"/>
          <w:lang w:val="en-GB"/>
        </w:rPr>
        <w:t xml:space="preserve">ire use strategies: SU 5/5 = five bulls selected </w:t>
      </w:r>
      <w:r>
        <w:rPr>
          <w:sz w:val="20"/>
          <w:szCs w:val="20"/>
          <w:lang w:val="en-GB"/>
        </w:rPr>
        <w:t>each</w:t>
      </w:r>
      <w:r>
        <w:rPr>
          <w:sz w:val="20"/>
          <w:szCs w:val="20"/>
          <w:lang w:val="en-GB"/>
        </w:rPr>
        <w:t xml:space="preserve"> year and </w:t>
      </w:r>
      <w:r>
        <w:rPr>
          <w:sz w:val="20"/>
          <w:szCs w:val="20"/>
          <w:lang w:val="en-GB"/>
        </w:rPr>
        <w:t>used f</w:t>
      </w:r>
      <w:r>
        <w:rPr>
          <w:sz w:val="20"/>
          <w:szCs w:val="20"/>
          <w:lang w:val="en-GB"/>
        </w:rPr>
        <w:t xml:space="preserve">or five years, SU 1/5 = one bull selected each year and </w:t>
      </w:r>
      <w:r>
        <w:rPr>
          <w:sz w:val="20"/>
          <w:szCs w:val="20"/>
          <w:lang w:val="en-GB"/>
        </w:rPr>
        <w:t>used</w:t>
      </w:r>
      <w:r>
        <w:rPr>
          <w:sz w:val="20"/>
          <w:szCs w:val="20"/>
          <w:lang w:val="en-GB"/>
        </w:rPr>
        <w:t xml:space="preserve"> for five years, SU 5/1 = five bulls selected </w:t>
      </w:r>
      <w:r>
        <w:rPr>
          <w:sz w:val="20"/>
          <w:szCs w:val="20"/>
          <w:lang w:val="en-GB"/>
        </w:rPr>
        <w:t xml:space="preserve">each </w:t>
      </w:r>
      <w:r>
        <w:rPr>
          <w:sz w:val="20"/>
          <w:szCs w:val="20"/>
          <w:lang w:val="en-GB"/>
        </w:rPr>
        <w:t>year and use</w:t>
      </w:r>
      <w:r>
        <w:rPr>
          <w:sz w:val="20"/>
          <w:szCs w:val="20"/>
          <w:lang w:val="en-GB"/>
        </w:rPr>
        <w:t>d</w:t>
      </w:r>
      <w:r>
        <w:rPr>
          <w:sz w:val="20"/>
          <w:szCs w:val="20"/>
          <w:lang w:val="en-GB"/>
        </w:rPr>
        <w:t xml:space="preserve"> for one year.</w:t>
      </w:r>
    </w:p>
    <w:tbl>
      <w:tblPr>
        <w:tblW w:w="7747" w:type="dxa"/>
        <w:jc w:val="center"/>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54"/>
        <w:gridCol w:w="1617"/>
        <w:gridCol w:w="1892"/>
        <w:gridCol w:w="1892"/>
        <w:gridCol w:w="1892"/>
      </w:tblGrid>
      <w:tr>
        <w:trPr>
          <w:trHeight w:val="359" w:hRule="atLeast"/>
        </w:trPr>
        <w:tc>
          <w:tcPr>
            <w:tcW w:w="2071" w:type="dxa"/>
            <w:gridSpan w:val="2"/>
            <w:vMerge w:val="restart"/>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pPr>
            <w:r>
              <w:rPr/>
              <mc:AlternateContent>
                <mc:Choice Requires="wps">
                  <w:drawing>
                    <wp:anchor behindDoc="0" distT="0" distB="0" distL="0" distR="0" simplePos="0" locked="0" layoutInCell="1" allowOverlap="1" relativeHeight="2">
                      <wp:simplePos x="0" y="0"/>
                      <wp:positionH relativeFrom="column">
                        <wp:posOffset>-320040</wp:posOffset>
                      </wp:positionH>
                      <wp:positionV relativeFrom="paragraph">
                        <wp:posOffset>746125</wp:posOffset>
                      </wp:positionV>
                      <wp:extent cx="875665" cy="340360"/>
                      <wp:effectExtent l="0" t="0" r="0" b="0"/>
                      <wp:wrapNone/>
                      <wp:docPr id="1" name="Shape1"/>
                      <a:graphic xmlns:a="http://schemas.openxmlformats.org/drawingml/2006/main">
                        <a:graphicData uri="http://schemas.microsoft.com/office/word/2010/wordprocessingShape">
                          <wps:wsp>
                            <wps:cNvSpPr txBox="1"/>
                            <wps:spPr>
                              <a:xfrm rot="16200000">
                                <a:off x="0" y="0"/>
                                <a:ext cx="875160" cy="339840"/>
                              </a:xfrm>
                              <a:prstGeom prst="rect">
                                <a:avLst/>
                              </a:prstGeom>
                              <a:noFill/>
                              <a:ln>
                                <a:noFill/>
                              </a:ln>
                            </wps:spPr>
                            <wps:txbx>
                              <w:txbxContent>
                                <w:p>
                                  <w:pPr>
                                    <w:overflowPunct w:val="false"/>
                                    <w:ind w:left="0" w:right="0" w:hanging="0"/>
                                    <w:jc w:val="center"/>
                                    <w:rPr/>
                                  </w:pPr>
                                  <w:r>
                                    <w:rPr>
                                      <w:b/>
                                      <w:bCs/>
                                      <w:sz w:val="20"/>
                                      <w:szCs w:val="20"/>
                                      <w:rFonts w:ascii="Times new roman" w:hAnsi="Times new roman"/>
                                      <w:color w:val="auto"/>
                                    </w:rPr>
                                    <w:t xml:space="preserve">Sire selection </w:t>
                                  </w:r>
                                </w:p>
                                <w:p>
                                  <w:pPr>
                                    <w:overflowPunct w:val="false"/>
                                    <w:ind w:left="0" w:right="0" w:hanging="0"/>
                                    <w:jc w:val="center"/>
                                    <w:rPr/>
                                  </w:pPr>
                                  <w:r>
                                    <w:rPr>
                                      <w:b/>
                                      <w:bCs/>
                                      <w:sz w:val="20"/>
                                      <w:szCs w:val="20"/>
                                      <w:rFonts w:ascii="Times new roman" w:hAnsi="Times new roman"/>
                                      <w:color w:val="auto"/>
                                    </w:rPr>
                                    <w:t>scenario</w:t>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ID="Shape1" stroked="f" style="position:absolute;margin-left:-25.2pt;margin-top:58.75pt;width:68.85pt;height:26.7pt;rotation:270" type="shapetype_202">
                      <v:textbox>
                        <w:txbxContent>
                          <w:p>
                            <w:pPr>
                              <w:overflowPunct w:val="false"/>
                              <w:ind w:left="0" w:right="0" w:hanging="0"/>
                              <w:jc w:val="center"/>
                              <w:rPr/>
                            </w:pPr>
                            <w:r>
                              <w:rPr>
                                <w:b/>
                                <w:bCs/>
                                <w:sz w:val="20"/>
                                <w:szCs w:val="20"/>
                                <w:rFonts w:ascii="Times new roman" w:hAnsi="Times new roman"/>
                                <w:color w:val="auto"/>
                              </w:rPr>
                              <w:t xml:space="preserve">Sire selection </w:t>
                            </w:r>
                          </w:p>
                          <w:p>
                            <w:pPr>
                              <w:overflowPunct w:val="false"/>
                              <w:ind w:left="0" w:right="0" w:hanging="0"/>
                              <w:jc w:val="center"/>
                              <w:rPr/>
                            </w:pPr>
                            <w:r>
                              <w:rPr>
                                <w:b/>
                                <w:bCs/>
                                <w:sz w:val="20"/>
                                <w:szCs w:val="20"/>
                                <w:rFonts w:ascii="Times new roman" w:hAnsi="Times new roman"/>
                                <w:color w:val="auto"/>
                              </w:rPr>
                              <w:t>scenario</w:t>
                            </w:r>
                          </w:p>
                        </w:txbxContent>
                      </v:textbox>
                      <w10:wrap type="square"/>
                      <v:fill o:detectmouseclick="t" on="false"/>
                      <v:stroke color="black" joinstyle="round" endcap="flat"/>
                    </v:shape>
                  </w:pict>
                </mc:Fallback>
              </mc:AlternateContent>
            </w:r>
          </w:p>
        </w:tc>
        <w:tc>
          <w:tcPr>
            <w:tcW w:w="5676"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DDDDD" w:val="clear"/>
            <w:tcMar>
              <w:left w:w="54" w:type="dxa"/>
            </w:tcMar>
          </w:tcPr>
          <w:p>
            <w:pPr>
              <w:pStyle w:val="TableContents"/>
              <w:jc w:val="center"/>
              <w:rPr>
                <w:b/>
                <w:b/>
                <w:bCs/>
              </w:rPr>
            </w:pPr>
            <w:r>
              <w:rPr>
                <w:b/>
                <w:bCs/>
              </w:rPr>
              <w:t>Sire use strategies</w:t>
            </w:r>
          </w:p>
        </w:tc>
      </w:tr>
      <w:tr>
        <w:trPr>
          <w:trHeight w:val="275" w:hRule="atLeast"/>
        </w:trPr>
        <w:tc>
          <w:tcPr>
            <w:tcW w:w="2071" w:type="dxa"/>
            <w:gridSpan w:val="2"/>
            <w:vMerge w:val="continue"/>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892" w:type="dxa"/>
            <w:tcBorders>
              <w:left w:val="single" w:sz="2" w:space="0" w:color="000000"/>
              <w:bottom w:val="single" w:sz="2" w:space="0" w:color="000000"/>
              <w:insideH w:val="single" w:sz="2" w:space="0" w:color="000000"/>
            </w:tcBorders>
            <w:shd w:fill="B2B2B2" w:val="clear"/>
            <w:tcMar>
              <w:left w:w="54" w:type="dxa"/>
            </w:tcMar>
            <w:vAlign w:val="center"/>
          </w:tcPr>
          <w:p>
            <w:pPr>
              <w:pStyle w:val="TableContents"/>
              <w:widowControl/>
              <w:bidi w:val="0"/>
              <w:ind w:left="0" w:right="0" w:hanging="0"/>
              <w:jc w:val="center"/>
              <w:rPr>
                <w:b/>
                <w:b/>
                <w:bCs/>
              </w:rPr>
            </w:pPr>
            <w:r>
              <w:rPr>
                <w:b/>
                <w:bCs/>
              </w:rPr>
              <w:t>SU 5/5</w:t>
            </w:r>
          </w:p>
        </w:tc>
        <w:tc>
          <w:tcPr>
            <w:tcW w:w="1892" w:type="dxa"/>
            <w:tcBorders>
              <w:left w:val="single" w:sz="2" w:space="0" w:color="000000"/>
              <w:bottom w:val="single" w:sz="2" w:space="0" w:color="000000"/>
              <w:insideH w:val="single" w:sz="2" w:space="0" w:color="000000"/>
            </w:tcBorders>
            <w:shd w:fill="B2B2B2" w:val="clear"/>
            <w:tcMar>
              <w:left w:w="54" w:type="dxa"/>
            </w:tcMar>
            <w:vAlign w:val="center"/>
          </w:tcPr>
          <w:p>
            <w:pPr>
              <w:pStyle w:val="TableContents"/>
              <w:widowControl/>
              <w:bidi w:val="0"/>
              <w:ind w:left="0" w:right="0" w:hanging="0"/>
              <w:jc w:val="center"/>
              <w:rPr>
                <w:b/>
                <w:b/>
                <w:bCs/>
              </w:rPr>
            </w:pPr>
            <w:r>
              <w:rPr>
                <w:b/>
                <w:bCs/>
              </w:rPr>
              <w:t>SU 1/5</w:t>
            </w:r>
          </w:p>
        </w:tc>
        <w:tc>
          <w:tcPr>
            <w:tcW w:w="1892" w:type="dxa"/>
            <w:tcBorders>
              <w:left w:val="single" w:sz="2" w:space="0" w:color="000000"/>
              <w:bottom w:val="single" w:sz="2" w:space="0" w:color="000000"/>
              <w:right w:val="single" w:sz="2" w:space="0" w:color="000000"/>
              <w:insideH w:val="single" w:sz="2" w:space="0" w:color="000000"/>
              <w:insideV w:val="single" w:sz="2" w:space="0" w:color="000000"/>
            </w:tcBorders>
            <w:shd w:fill="B2B2B2" w:val="clear"/>
            <w:tcMar>
              <w:left w:w="54" w:type="dxa"/>
            </w:tcMar>
            <w:vAlign w:val="center"/>
          </w:tcPr>
          <w:p>
            <w:pPr>
              <w:pStyle w:val="TableContents"/>
              <w:widowControl/>
              <w:bidi w:val="0"/>
              <w:ind w:left="0" w:right="0" w:hanging="0"/>
              <w:jc w:val="center"/>
              <w:rPr>
                <w:b/>
                <w:b/>
                <w:bCs/>
              </w:rPr>
            </w:pPr>
            <w:r>
              <w:rPr>
                <w:b/>
                <w:bCs/>
              </w:rPr>
              <w:t>SU 5/1</w:t>
            </w:r>
          </w:p>
        </w:tc>
      </w:tr>
      <w:tr>
        <w:trPr>
          <w:trHeight w:val="317" w:hRule="exact"/>
        </w:trPr>
        <w:tc>
          <w:tcPr>
            <w:tcW w:w="454" w:type="dxa"/>
            <w:vMerge w:val="restart"/>
            <w:tcBorders>
              <w:left w:val="single" w:sz="2" w:space="0" w:color="000000"/>
              <w:bottom w:val="single" w:sz="2" w:space="0" w:color="000000"/>
              <w:insideH w:val="single" w:sz="2" w:space="0" w:color="000000"/>
            </w:tcBorders>
            <w:shd w:fill="DDDDDD" w:val="clear"/>
            <w:tcMar>
              <w:left w:w="54" w:type="dxa"/>
            </w:tcMar>
            <w:textDirection w:val="btLr"/>
          </w:tcPr>
          <w:p>
            <w:pPr>
              <w:pStyle w:val="TableContents"/>
              <w:shd w:fill="DDDDDD" w:val="clear"/>
              <w:ind w:hanging="0"/>
              <w:rPr>
                <w:b/>
                <w:b/>
                <w:bCs/>
              </w:rPr>
            </w:pPr>
            <w:r>
              <w:rPr>
                <w:b/>
                <w:bCs/>
              </w:rPr>
            </w:r>
          </w:p>
        </w:tc>
        <w:tc>
          <w:tcPr>
            <w:tcW w:w="1617" w:type="dxa"/>
            <w:tcBorders>
              <w:left w:val="single" w:sz="2" w:space="0" w:color="000000"/>
              <w:bottom w:val="single" w:sz="2" w:space="0" w:color="000000"/>
              <w:insideH w:val="single" w:sz="2" w:space="0" w:color="000000"/>
            </w:tcBorders>
            <w:shd w:fill="B2B2B2" w:val="clear"/>
            <w:tcMar>
              <w:left w:w="54" w:type="dxa"/>
            </w:tcMar>
          </w:tcPr>
          <w:p>
            <w:pPr>
              <w:pStyle w:val="TableContents"/>
              <w:widowControl/>
              <w:bidi w:val="0"/>
              <w:ind w:left="0" w:right="0" w:hanging="0"/>
              <w:jc w:val="left"/>
              <w:rPr>
                <w:b/>
                <w:b/>
                <w:bCs/>
              </w:rPr>
            </w:pPr>
            <w:r>
              <w:rPr>
                <w:b/>
                <w:bCs/>
              </w:rPr>
              <w:t>Conventional</w:t>
            </w:r>
          </w:p>
        </w:tc>
        <w:tc>
          <w:tcPr>
            <w:tcW w:w="189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100%</w:t>
            </w:r>
          </w:p>
        </w:tc>
        <w:tc>
          <w:tcPr>
            <w:tcW w:w="189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131%</w:t>
            </w:r>
          </w:p>
        </w:tc>
        <w:tc>
          <w:tcPr>
            <w:tcW w:w="189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100%</w:t>
            </w:r>
          </w:p>
        </w:tc>
      </w:tr>
      <w:tr>
        <w:trPr>
          <w:trHeight w:val="317" w:hRule="exact"/>
        </w:trPr>
        <w:tc>
          <w:tcPr>
            <w:tcW w:w="454" w:type="dxa"/>
            <w:vMerge w:val="continue"/>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r>
          </w:p>
        </w:tc>
        <w:tc>
          <w:tcPr>
            <w:tcW w:w="1617" w:type="dxa"/>
            <w:tcBorders>
              <w:left w:val="single" w:sz="2" w:space="0" w:color="000000"/>
              <w:bottom w:val="single" w:sz="2" w:space="0" w:color="000000"/>
              <w:insideH w:val="single" w:sz="2" w:space="0" w:color="000000"/>
            </w:tcBorders>
            <w:shd w:fill="B2B2B2" w:val="clear"/>
            <w:tcMar>
              <w:left w:w="54" w:type="dxa"/>
            </w:tcMar>
          </w:tcPr>
          <w:p>
            <w:pPr>
              <w:pStyle w:val="TableContents"/>
              <w:widowControl/>
              <w:bidi w:val="0"/>
              <w:ind w:left="0" w:right="0" w:hanging="0"/>
              <w:jc w:val="left"/>
              <w:rPr>
                <w:b/>
                <w:b/>
                <w:bCs/>
              </w:rPr>
            </w:pPr>
            <w:r>
              <w:rPr>
                <w:b/>
                <w:bCs/>
              </w:rPr>
              <w:t>Genomic A</w:t>
            </w:r>
          </w:p>
        </w:tc>
        <w:tc>
          <w:tcPr>
            <w:tcW w:w="189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135%</w:t>
            </w:r>
          </w:p>
        </w:tc>
        <w:tc>
          <w:tcPr>
            <w:tcW w:w="189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146%</w:t>
            </w:r>
          </w:p>
        </w:tc>
        <w:tc>
          <w:tcPr>
            <w:tcW w:w="189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135%</w:t>
            </w:r>
          </w:p>
        </w:tc>
      </w:tr>
      <w:tr>
        <w:trPr>
          <w:trHeight w:val="317" w:hRule="exact"/>
        </w:trPr>
        <w:tc>
          <w:tcPr>
            <w:tcW w:w="454" w:type="dxa"/>
            <w:vMerge w:val="continue"/>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r>
          </w:p>
        </w:tc>
        <w:tc>
          <w:tcPr>
            <w:tcW w:w="1617" w:type="dxa"/>
            <w:tcBorders>
              <w:left w:val="single" w:sz="2" w:space="0" w:color="000000"/>
              <w:bottom w:val="single" w:sz="2" w:space="0" w:color="000000"/>
              <w:insideH w:val="single" w:sz="2" w:space="0" w:color="000000"/>
            </w:tcBorders>
            <w:shd w:fill="B2B2B2" w:val="clear"/>
            <w:tcMar>
              <w:left w:w="54" w:type="dxa"/>
            </w:tcMar>
          </w:tcPr>
          <w:p>
            <w:pPr>
              <w:pStyle w:val="TableContents"/>
              <w:widowControl/>
              <w:bidi w:val="0"/>
              <w:ind w:left="0" w:right="0" w:hanging="0"/>
              <w:jc w:val="left"/>
              <w:rPr>
                <w:b/>
                <w:b/>
                <w:bCs/>
              </w:rPr>
            </w:pPr>
            <w:r>
              <w:rPr>
                <w:b/>
                <w:bCs/>
              </w:rPr>
              <w:t>Genomic B</w:t>
            </w:r>
          </w:p>
        </w:tc>
        <w:tc>
          <w:tcPr>
            <w:tcW w:w="189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154%</w:t>
            </w:r>
          </w:p>
        </w:tc>
        <w:tc>
          <w:tcPr>
            <w:tcW w:w="189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150%</w:t>
            </w:r>
          </w:p>
        </w:tc>
        <w:tc>
          <w:tcPr>
            <w:tcW w:w="189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173%</w:t>
            </w:r>
          </w:p>
        </w:tc>
      </w:tr>
      <w:tr>
        <w:trPr>
          <w:trHeight w:val="317" w:hRule="exact"/>
        </w:trPr>
        <w:tc>
          <w:tcPr>
            <w:tcW w:w="454" w:type="dxa"/>
            <w:vMerge w:val="continue"/>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r>
          </w:p>
        </w:tc>
        <w:tc>
          <w:tcPr>
            <w:tcW w:w="1617" w:type="dxa"/>
            <w:tcBorders>
              <w:left w:val="single" w:sz="2" w:space="0" w:color="000000"/>
              <w:bottom w:val="single" w:sz="2" w:space="0" w:color="000000"/>
              <w:insideH w:val="single" w:sz="2" w:space="0" w:color="000000"/>
            </w:tcBorders>
            <w:shd w:fill="B2B2B2" w:val="clear"/>
            <w:tcMar>
              <w:left w:w="54" w:type="dxa"/>
            </w:tcMar>
          </w:tcPr>
          <w:p>
            <w:pPr>
              <w:pStyle w:val="TableContents"/>
              <w:widowControl/>
              <w:bidi w:val="0"/>
              <w:ind w:left="0" w:right="0" w:hanging="0"/>
              <w:jc w:val="left"/>
              <w:rPr>
                <w:b/>
                <w:b/>
                <w:bCs/>
              </w:rPr>
            </w:pPr>
            <w:r>
              <w:rPr>
                <w:b/>
                <w:bCs/>
              </w:rPr>
              <w:t>Genomic C</w:t>
            </w:r>
          </w:p>
        </w:tc>
        <w:tc>
          <w:tcPr>
            <w:tcW w:w="189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162%</w:t>
            </w:r>
          </w:p>
        </w:tc>
        <w:tc>
          <w:tcPr>
            <w:tcW w:w="189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162%</w:t>
            </w:r>
          </w:p>
        </w:tc>
        <w:tc>
          <w:tcPr>
            <w:tcW w:w="189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169%</w:t>
            </w:r>
          </w:p>
        </w:tc>
      </w:tr>
      <w:tr>
        <w:trPr>
          <w:trHeight w:val="317" w:hRule="exact"/>
        </w:trPr>
        <w:tc>
          <w:tcPr>
            <w:tcW w:w="454" w:type="dxa"/>
            <w:vMerge w:val="continue"/>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r>
          </w:p>
        </w:tc>
        <w:tc>
          <w:tcPr>
            <w:tcW w:w="1617" w:type="dxa"/>
            <w:tcBorders>
              <w:left w:val="single" w:sz="2" w:space="0" w:color="000000"/>
              <w:bottom w:val="single" w:sz="2" w:space="0" w:color="000000"/>
              <w:insideH w:val="single" w:sz="2" w:space="0" w:color="000000"/>
            </w:tcBorders>
            <w:shd w:fill="B2B2B2" w:val="clear"/>
            <w:tcMar>
              <w:left w:w="54" w:type="dxa"/>
            </w:tcMar>
          </w:tcPr>
          <w:p>
            <w:pPr>
              <w:pStyle w:val="TableContents"/>
              <w:widowControl/>
              <w:bidi w:val="0"/>
              <w:ind w:left="0" w:right="0" w:hanging="0"/>
              <w:jc w:val="left"/>
              <w:rPr>
                <w:b/>
                <w:b/>
                <w:bCs/>
              </w:rPr>
            </w:pPr>
            <w:r>
              <w:rPr>
                <w:b/>
                <w:bCs/>
              </w:rPr>
              <w:t>Genomic D</w:t>
            </w:r>
          </w:p>
        </w:tc>
        <w:tc>
          <w:tcPr>
            <w:tcW w:w="189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188%</w:t>
            </w:r>
          </w:p>
        </w:tc>
        <w:tc>
          <w:tcPr>
            <w:tcW w:w="189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215%</w:t>
            </w:r>
          </w:p>
        </w:tc>
        <w:tc>
          <w:tcPr>
            <w:tcW w:w="189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223%</w:t>
            </w:r>
          </w:p>
        </w:tc>
      </w:tr>
    </w:tbl>
    <w:p>
      <w:pPr>
        <w:pStyle w:val="Textbody1"/>
        <w:spacing w:lineRule="auto" w:line="240" w:before="0" w:after="0"/>
        <w:ind w:hanging="0"/>
        <w:jc w:val="both"/>
        <w:rPr>
          <w:b/>
          <w:b/>
          <w:bCs/>
          <w:sz w:val="24"/>
          <w:szCs w:val="24"/>
          <w:lang w:val="en-GB"/>
        </w:rPr>
      </w:pPr>
      <w:r>
        <w:rPr>
          <w:b/>
          <w:bCs/>
          <w:sz w:val="24"/>
          <w:szCs w:val="24"/>
          <w:lang w:val="en-GB"/>
        </w:rPr>
      </w:r>
    </w:p>
    <w:p>
      <w:pPr>
        <w:pStyle w:val="Standard"/>
        <w:ind w:hanging="0"/>
        <w:rPr/>
      </w:pPr>
      <w:r>
        <w:rPr>
          <w:b/>
          <w:bCs/>
          <w:sz w:val="24"/>
          <w:szCs w:val="24"/>
          <w:lang w:val="en-GB"/>
        </w:rPr>
        <w:t>Efficiency</w:t>
      </w:r>
    </w:p>
    <w:p>
      <w:pPr>
        <w:pStyle w:val="Standard"/>
        <w:ind w:hanging="0"/>
        <w:rPr>
          <w:b/>
          <w:b/>
          <w:bCs/>
          <w:sz w:val="24"/>
          <w:szCs w:val="24"/>
          <w:lang w:val="en-GB"/>
        </w:rPr>
      </w:pPr>
      <w:r>
        <w:rPr/>
      </w:r>
    </w:p>
    <w:p>
      <w:pPr>
        <w:pStyle w:val="Standard"/>
        <w:ind w:hanging="0"/>
        <w:jc w:val="both"/>
        <w:rPr>
          <w:b w:val="false"/>
          <w:b w:val="false"/>
          <w:bCs w:val="false"/>
          <w:sz w:val="24"/>
          <w:szCs w:val="24"/>
          <w:lang w:val="en-GB"/>
        </w:rPr>
      </w:pPr>
      <w:r>
        <w:rPr>
          <w:b w:val="false"/>
          <w:bCs w:val="false"/>
          <w:sz w:val="24"/>
          <w:szCs w:val="24"/>
          <w:lang w:val="en-GB"/>
        </w:rPr>
        <w:t xml:space="preserve">Selection efficiencies are presented in Figure 1, </w:t>
      </w:r>
      <w:r>
        <w:rPr>
          <w:b w:val="false"/>
          <w:bCs w:val="false"/>
          <w:sz w:val="24"/>
          <w:szCs w:val="24"/>
          <w:lang w:val="en-GB"/>
        </w:rPr>
        <w:t>which shows</w:t>
      </w:r>
      <w:r>
        <w:rPr>
          <w:b w:val="false"/>
          <w:bCs w:val="false"/>
          <w:sz w:val="24"/>
          <w:szCs w:val="24"/>
          <w:lang w:val="en-GB"/>
        </w:rPr>
        <w:t xml:space="preserve"> the evolution of the scenarios in terms of genetic gain and reductions in the genic standard deviation. In the </w:t>
      </w:r>
      <w:r>
        <w:rPr>
          <w:b w:val="false"/>
          <w:bCs w:val="false"/>
          <w:sz w:val="24"/>
          <w:szCs w:val="24"/>
          <w:lang w:val="en-GB"/>
        </w:rPr>
        <w:t>SU 5/5</w:t>
      </w:r>
      <w:r>
        <w:rPr>
          <w:b w:val="false"/>
          <w:bCs w:val="false"/>
          <w:sz w:val="24"/>
          <w:szCs w:val="24"/>
          <w:lang w:val="en-GB"/>
        </w:rPr>
        <w:t xml:space="preserve"> strategy  all the genomic selection scenarios were between 14 and 38% more efficient than the conventional scenario (Figure 1a). </w:t>
      </w:r>
      <w:r>
        <w:rPr>
          <w:b w:val="false"/>
          <w:bCs w:val="false"/>
          <w:sz w:val="24"/>
          <w:szCs w:val="24"/>
          <w:lang w:val="en-GB"/>
        </w:rPr>
        <w:t>The most efficient were genomic scenarios A and C (38% increase) and</w:t>
      </w:r>
      <w:r>
        <w:rPr>
          <w:b w:val="false"/>
          <w:bCs w:val="false"/>
          <w:sz w:val="24"/>
          <w:szCs w:val="24"/>
          <w:lang w:val="en-GB"/>
        </w:rPr>
        <w:t xml:space="preserve"> the most comprehensive genomic selection scenario was not the most efficient one </w:t>
      </w:r>
      <w:r>
        <w:rPr>
          <w:b w:val="false"/>
          <w:bCs w:val="false"/>
          <w:sz w:val="24"/>
          <w:szCs w:val="24"/>
          <w:lang w:val="en-GB"/>
        </w:rPr>
        <w:t>(14% increase)</w:t>
      </w:r>
      <w:r>
        <w:rPr>
          <w:b w:val="false"/>
          <w:bCs w:val="false"/>
          <w:sz w:val="24"/>
          <w:szCs w:val="24"/>
          <w:lang w:val="en-GB"/>
        </w:rPr>
        <w:t xml:space="preserve">. </w:t>
      </w:r>
      <w:commentRangeStart w:id="0"/>
      <w:r>
        <w:rPr>
          <w:b w:val="false"/>
          <w:bCs w:val="false"/>
          <w:color w:val="999999"/>
          <w:sz w:val="24"/>
          <w:szCs w:val="24"/>
          <w:lang w:val="en-GB"/>
        </w:rPr>
        <w:t>We attribute the differences in efficiency between genomic selection scenarios A and B versus C and D to greater accuracy of EBV with progeny testing and therefore greater spread of EBVs in the sires of sires. Sires of sires are under intense selection and have a major impact on the population. Thus, accurately estimating Mendelian sampling terms for this group of animals is important for maximizing conversion of standing genetic variation into genetic gain, which is in line with optimal contribution theory (Woolliams et al., 2015).</w:t>
      </w:r>
      <w:commentRangeEnd w:id="0"/>
      <w:r>
        <w:commentReference w:id="0"/>
      </w:r>
      <w:r>
        <w:rPr>
          <w:b w:val="false"/>
          <w:bCs w:val="false"/>
          <w:color w:val="999999"/>
          <w:sz w:val="24"/>
          <w:szCs w:val="24"/>
          <w:lang w:val="en-GB"/>
        </w:rPr>
      </w:r>
    </w:p>
    <w:p>
      <w:pPr>
        <w:pStyle w:val="Standard"/>
        <w:ind w:hanging="0"/>
        <w:jc w:val="both"/>
        <w:rPr>
          <w:sz w:val="24"/>
          <w:szCs w:val="24"/>
          <w:lang w:val="en-GB"/>
        </w:rPr>
      </w:pPr>
      <w:r>
        <w:rPr/>
      </w:r>
    </w:p>
    <w:p>
      <w:pPr>
        <w:pStyle w:val="Standard"/>
        <w:ind w:hanging="0"/>
        <w:jc w:val="both"/>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933315" cy="257619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933315" cy="2576195"/>
                    </a:xfrm>
                    <a:prstGeom prst="rect">
                      <a:avLst/>
                    </a:prstGeom>
                  </pic:spPr>
                </pic:pic>
              </a:graphicData>
            </a:graphic>
          </wp:anchor>
        </w:drawing>
      </w:r>
      <w:r>
        <w:rPr/>
      </w:r>
    </w:p>
    <w:p>
      <w:pPr>
        <w:pStyle w:val="Standard"/>
        <w:ind w:hanging="0"/>
        <w:jc w:val="both"/>
        <w:rPr/>
      </w:pPr>
      <w:r>
        <w:rPr>
          <w:i/>
          <w:iCs/>
          <w:sz w:val="24"/>
          <w:szCs w:val="24"/>
          <w:lang w:val="en-GB"/>
        </w:rPr>
        <w:t xml:space="preserve">Figure </w:t>
        <w:commentReference w:id="1"/>
      </w:r>
      <w:r>
        <w:rPr>
          <w:i/>
          <w:iCs/>
          <w:sz w:val="24"/>
          <w:szCs w:val="24"/>
          <w:lang w:val="en-GB"/>
        </w:rPr>
        <w:t>1</w:t>
      </w:r>
      <w:r>
        <w:rPr>
          <w:i/>
          <w:iCs/>
          <w:sz w:val="24"/>
          <w:szCs w:val="24"/>
          <w:lang w:val="en-GB"/>
        </w:rPr>
        <w:t xml:space="preserve">: Change of genetic mean and genic standard deviation over the 20 years of selection by </w:t>
      </w:r>
      <w:r>
        <w:rPr>
          <w:i/>
          <w:iCs/>
          <w:sz w:val="24"/>
          <w:szCs w:val="24"/>
          <w:lang w:val="en-GB"/>
        </w:rPr>
        <w:t xml:space="preserve">sire selection </w:t>
      </w:r>
      <w:r>
        <w:rPr>
          <w:i/>
          <w:iCs/>
          <w:sz w:val="24"/>
          <w:szCs w:val="24"/>
          <w:lang w:val="en-GB"/>
        </w:rPr>
        <w:t xml:space="preserve">scenario </w:t>
      </w:r>
      <w:r>
        <w:rPr>
          <w:i/>
          <w:iCs/>
          <w:sz w:val="24"/>
          <w:szCs w:val="24"/>
          <w:lang w:val="en-GB"/>
        </w:rPr>
        <w:t>within sire use strategies</w:t>
      </w:r>
      <w:r>
        <w:rPr>
          <w:i/>
          <w:iCs/>
          <w:sz w:val="24"/>
          <w:szCs w:val="24"/>
          <w:lang w:val="en-GB"/>
        </w:rPr>
        <w:t xml:space="preserve"> averaged across ten replicates.</w:t>
      </w:r>
    </w:p>
    <w:p>
      <w:pPr>
        <w:pStyle w:val="Standard"/>
        <w:ind w:hanging="0"/>
        <w:jc w:val="both"/>
        <w:rPr>
          <w:sz w:val="20"/>
          <w:szCs w:val="20"/>
        </w:rPr>
      </w:pPr>
      <w:r>
        <w:rPr>
          <w:sz w:val="20"/>
          <w:szCs w:val="20"/>
          <w:lang w:val="en-GB"/>
        </w:rPr>
        <w:t xml:space="preserve">Arrows point the direction of change. </w:t>
      </w:r>
      <w:r>
        <w:rPr>
          <w:sz w:val="20"/>
          <w:szCs w:val="20"/>
          <w:lang w:val="en-GB"/>
        </w:rPr>
        <w:t>Sire selection strategies</w:t>
      </w:r>
      <w:r>
        <w:rPr>
          <w:sz w:val="20"/>
          <w:szCs w:val="20"/>
          <w:lang w:val="en-GB"/>
        </w:rPr>
        <w:t xml:space="preserve">: </w:t>
      </w:r>
      <w:r>
        <w:rPr>
          <w:sz w:val="20"/>
          <w:szCs w:val="20"/>
          <w:lang w:val="en-GB"/>
        </w:rPr>
        <w:t>conventional = only progeny tested bulls (no genomic information),</w:t>
      </w:r>
      <w:r>
        <w:rPr>
          <w:sz w:val="20"/>
          <w:szCs w:val="20"/>
          <w:lang w:val="en-GB"/>
        </w:rPr>
        <w:t xml:space="preserve"> A = genomic information used for selection of young bulls for progeny testing, B / C / D = genomically tested bulls used respectively as sires of dams / as sires of sires / as sires of dams and sires of sires.</w:t>
      </w:r>
    </w:p>
    <w:p>
      <w:pPr>
        <w:pStyle w:val="Standard"/>
        <w:spacing w:lineRule="auto" w:line="240" w:before="0" w:after="0"/>
        <w:ind w:hanging="0"/>
        <w:jc w:val="both"/>
        <w:rPr>
          <w:sz w:val="20"/>
          <w:szCs w:val="20"/>
        </w:rPr>
      </w:pPr>
      <w:r>
        <w:rPr>
          <w:sz w:val="20"/>
          <w:szCs w:val="20"/>
          <w:lang w:val="en-GB"/>
        </w:rPr>
        <w:t>S</w:t>
      </w:r>
      <w:r>
        <w:rPr>
          <w:sz w:val="20"/>
          <w:szCs w:val="20"/>
          <w:lang w:val="en-GB"/>
        </w:rPr>
        <w:t xml:space="preserve">ire use strategies: SU 5/5 = five bulls selected </w:t>
      </w:r>
      <w:r>
        <w:rPr>
          <w:sz w:val="20"/>
          <w:szCs w:val="20"/>
          <w:lang w:val="en-GB"/>
        </w:rPr>
        <w:t>each</w:t>
      </w:r>
      <w:r>
        <w:rPr>
          <w:sz w:val="20"/>
          <w:szCs w:val="20"/>
          <w:lang w:val="en-GB"/>
        </w:rPr>
        <w:t xml:space="preserve"> year and </w:t>
      </w:r>
      <w:r>
        <w:rPr>
          <w:sz w:val="20"/>
          <w:szCs w:val="20"/>
          <w:lang w:val="en-GB"/>
        </w:rPr>
        <w:t>used f</w:t>
      </w:r>
      <w:r>
        <w:rPr>
          <w:sz w:val="20"/>
          <w:szCs w:val="20"/>
          <w:lang w:val="en-GB"/>
        </w:rPr>
        <w:t xml:space="preserve">or five years, SU 1/5 = one bull selected each year and </w:t>
      </w:r>
      <w:r>
        <w:rPr>
          <w:sz w:val="20"/>
          <w:szCs w:val="20"/>
          <w:lang w:val="en-GB"/>
        </w:rPr>
        <w:t>used</w:t>
      </w:r>
      <w:r>
        <w:rPr>
          <w:sz w:val="20"/>
          <w:szCs w:val="20"/>
          <w:lang w:val="en-GB"/>
        </w:rPr>
        <w:t xml:space="preserve"> for five years, SU 5/1 = five bulls selected </w:t>
      </w:r>
      <w:r>
        <w:rPr>
          <w:sz w:val="20"/>
          <w:szCs w:val="20"/>
          <w:lang w:val="en-GB"/>
        </w:rPr>
        <w:t xml:space="preserve">each </w:t>
      </w:r>
      <w:r>
        <w:rPr>
          <w:sz w:val="20"/>
          <w:szCs w:val="20"/>
          <w:lang w:val="en-GB"/>
        </w:rPr>
        <w:t>year and use</w:t>
      </w:r>
      <w:r>
        <w:rPr>
          <w:sz w:val="20"/>
          <w:szCs w:val="20"/>
          <w:lang w:val="en-GB"/>
        </w:rPr>
        <w:t>d</w:t>
      </w:r>
      <w:r>
        <w:rPr>
          <w:sz w:val="20"/>
          <w:szCs w:val="20"/>
          <w:lang w:val="en-GB"/>
        </w:rPr>
        <w:t xml:space="preserve"> for one year.</w:t>
      </w:r>
    </w:p>
    <w:p>
      <w:pPr>
        <w:pStyle w:val="Standard"/>
        <w:ind w:hanging="0"/>
        <w:jc w:val="both"/>
        <w:rPr>
          <w:sz w:val="24"/>
          <w:szCs w:val="24"/>
          <w:lang w:val="en-GB"/>
        </w:rPr>
      </w:pPr>
      <w:r>
        <w:rPr/>
      </w:r>
    </w:p>
    <w:p>
      <w:pPr>
        <w:pStyle w:val="Standard"/>
        <w:ind w:hanging="0"/>
        <w:jc w:val="both"/>
        <w:rPr/>
      </w:pPr>
      <w:r>
        <w:rPr>
          <w:sz w:val="24"/>
          <w:szCs w:val="24"/>
          <w:lang w:val="en-GB"/>
        </w:rPr>
        <w:t>Although i</w:t>
      </w:r>
      <w:r>
        <w:rPr>
          <w:sz w:val="24"/>
          <w:szCs w:val="24"/>
          <w:lang w:val="en-GB"/>
        </w:rPr>
        <w:t>ncreasing the intensity of selection (</w:t>
      </w:r>
      <w:r>
        <w:rPr>
          <w:sz w:val="24"/>
          <w:szCs w:val="24"/>
          <w:lang w:val="en-GB"/>
        </w:rPr>
        <w:t xml:space="preserve">SU </w:t>
      </w:r>
      <w:r>
        <w:rPr>
          <w:sz w:val="24"/>
          <w:szCs w:val="24"/>
          <w:lang w:val="en-GB"/>
        </w:rPr>
        <w:t xml:space="preserve">1/5) </w:t>
      </w:r>
      <w:r>
        <w:rPr>
          <w:sz w:val="24"/>
          <w:szCs w:val="24"/>
          <w:lang w:val="en-GB"/>
        </w:rPr>
        <w:t>increased the genetic gain, it</w:t>
      </w:r>
      <w:r>
        <w:rPr>
          <w:sz w:val="24"/>
          <w:szCs w:val="24"/>
          <w:lang w:val="en-GB"/>
        </w:rPr>
        <w:t xml:space="preserve"> reduced the selection efficiencies by 35 – 50% compared to the corresponding scenarios in </w:t>
      </w:r>
      <w:r>
        <w:rPr>
          <w:sz w:val="24"/>
          <w:szCs w:val="24"/>
          <w:lang w:val="en-GB"/>
        </w:rPr>
        <w:t xml:space="preserve">SU </w:t>
      </w:r>
      <w:r>
        <w:rPr>
          <w:sz w:val="24"/>
          <w:szCs w:val="24"/>
          <w:lang w:val="en-GB"/>
        </w:rPr>
        <w:t xml:space="preserve">5/5 </w:t>
      </w:r>
      <w:r>
        <w:rPr>
          <w:sz w:val="24"/>
          <w:szCs w:val="24"/>
          <w:lang w:val="en-GB"/>
        </w:rPr>
        <w:t>(Figure 1b)</w:t>
      </w:r>
      <w:r>
        <w:rPr>
          <w:sz w:val="24"/>
          <w:szCs w:val="24"/>
          <w:lang w:val="en-GB"/>
        </w:rPr>
        <w:t>. We also see that the most comprehensive genomic scenario (</w:t>
      </w:r>
      <w:r>
        <w:rPr>
          <w:sz w:val="24"/>
          <w:szCs w:val="24"/>
          <w:lang w:val="en-GB"/>
        </w:rPr>
        <w:t xml:space="preserve">Genomic </w:t>
      </w:r>
      <w:r>
        <w:rPr>
          <w:sz w:val="24"/>
          <w:szCs w:val="24"/>
          <w:lang w:val="en-GB"/>
        </w:rPr>
        <w:t xml:space="preserve">D) became the least efficient one. </w:t>
      </w:r>
      <w:r>
        <w:rPr>
          <w:sz w:val="24"/>
          <w:szCs w:val="24"/>
          <w:lang w:val="en-GB"/>
        </w:rPr>
        <w:t xml:space="preserve">This is due to a larger loss in genetic variance caused by using only one sire. </w:t>
      </w:r>
      <w:r>
        <w:rPr>
          <w:sz w:val="24"/>
          <w:szCs w:val="24"/>
          <w:lang w:val="en-GB"/>
        </w:rPr>
        <w:t>We can remed</w:t>
      </w:r>
      <w:r>
        <w:rPr>
          <w:sz w:val="24"/>
          <w:szCs w:val="24"/>
          <w:lang w:val="en-GB"/>
        </w:rPr>
        <w:t xml:space="preserve">y this by selecting five bulls again in </w:t>
      </w:r>
      <w:r>
        <w:rPr>
          <w:sz w:val="24"/>
          <w:szCs w:val="24"/>
          <w:lang w:val="en-GB"/>
        </w:rPr>
        <w:t xml:space="preserve">SU </w:t>
      </w:r>
      <w:r>
        <w:rPr>
          <w:sz w:val="24"/>
          <w:szCs w:val="24"/>
          <w:lang w:val="en-GB"/>
        </w:rPr>
        <w:t>5/</w:t>
      </w:r>
      <w:r>
        <w:rPr>
          <w:sz w:val="24"/>
          <w:szCs w:val="24"/>
          <w:lang w:val="en-GB"/>
        </w:rPr>
        <w:t>1</w:t>
      </w:r>
      <w:r>
        <w:rPr>
          <w:sz w:val="24"/>
          <w:szCs w:val="24"/>
          <w:lang w:val="en-GB"/>
        </w:rPr>
        <w:t xml:space="preserve"> strategy (Figure 1c). </w:t>
      </w:r>
      <w:r>
        <w:rPr>
          <w:sz w:val="24"/>
          <w:szCs w:val="24"/>
          <w:lang w:val="en-GB"/>
        </w:rPr>
        <w:t xml:space="preserve">The differences between the scenarios are smaller than in SU 1/5 and more similar to the ones in 5/5 strategy. </w:t>
      </w:r>
      <w:r>
        <w:rPr>
          <w:sz w:val="24"/>
          <w:szCs w:val="24"/>
          <w:lang w:val="en-GB"/>
        </w:rPr>
        <w:t xml:space="preserve">However, the selection efficiencies are still decreased compared to the </w:t>
      </w:r>
      <w:r>
        <w:rPr>
          <w:sz w:val="24"/>
          <w:szCs w:val="24"/>
          <w:lang w:val="en-GB"/>
        </w:rPr>
        <w:t xml:space="preserve">SU </w:t>
      </w:r>
      <w:r>
        <w:rPr>
          <w:sz w:val="24"/>
          <w:szCs w:val="24"/>
          <w:lang w:val="en-GB"/>
        </w:rPr>
        <w:t xml:space="preserve">5/5 strategy. This is due to a lower accuracies of the prediction in </w:t>
      </w:r>
      <w:r>
        <w:rPr>
          <w:sz w:val="24"/>
          <w:szCs w:val="24"/>
          <w:lang w:val="en-GB"/>
        </w:rPr>
        <w:t xml:space="preserve">SU </w:t>
      </w:r>
      <w:r>
        <w:rPr>
          <w:sz w:val="24"/>
          <w:szCs w:val="24"/>
          <w:lang w:val="en-GB"/>
        </w:rPr>
        <w:t>5/1 strategy (0.1 unit drop in accuracy) attributable to a larger genetic distance between the training and testing population.</w:t>
      </w:r>
    </w:p>
    <w:p>
      <w:pPr>
        <w:pStyle w:val="Standard"/>
        <w:ind w:hanging="0"/>
        <w:jc w:val="both"/>
        <w:rPr>
          <w:lang w:val="en-GB"/>
        </w:rPr>
      </w:pPr>
      <w:r>
        <w:rPr>
          <w:lang w:val="en-GB"/>
        </w:rPr>
      </w:r>
    </w:p>
    <w:p>
      <w:pPr>
        <w:pStyle w:val="Standard"/>
        <w:numPr>
          <w:ilvl w:val="0"/>
          <w:numId w:val="0"/>
        </w:numPr>
        <w:ind w:hanging="0"/>
        <w:outlineLvl w:val="0"/>
        <w:rPr>
          <w:b/>
          <w:b/>
          <w:color w:val="000000"/>
          <w:sz w:val="28"/>
          <w:szCs w:val="28"/>
          <w:lang w:val="en-GB"/>
        </w:rPr>
      </w:pPr>
      <w:r>
        <w:rPr>
          <w:b/>
          <w:color w:val="000000"/>
          <w:sz w:val="28"/>
          <w:szCs w:val="28"/>
          <w:lang w:val="en-GB"/>
        </w:rPr>
        <w:t>Conclusion</w:t>
      </w:r>
    </w:p>
    <w:p>
      <w:pPr>
        <w:pStyle w:val="Standard"/>
        <w:ind w:hanging="0"/>
        <w:jc w:val="both"/>
        <w:rPr>
          <w:lang w:val="en-GB"/>
        </w:rPr>
      </w:pPr>
      <w:r>
        <w:rPr>
          <w:lang w:val="en-GB"/>
        </w:rPr>
      </w:r>
    </w:p>
    <w:p>
      <w:pPr>
        <w:pStyle w:val="Standard"/>
        <w:ind w:hanging="0"/>
        <w:jc w:val="both"/>
        <w:rPr>
          <w:sz w:val="24"/>
          <w:szCs w:val="24"/>
          <w:lang w:val="en-GB"/>
        </w:rPr>
      </w:pPr>
      <w:r>
        <w:rPr>
          <w:sz w:val="24"/>
          <w:szCs w:val="24"/>
          <w:lang w:val="en-GB"/>
        </w:rPr>
        <w:tab/>
        <w:t>To conclude, the developed simulator enables comparison of breeding scenarios using a model of a realistic cattle population. It can help breeding organisations to find the optimum strategy for using genomic information with the given resources.</w:t>
      </w:r>
    </w:p>
    <w:p>
      <w:pPr>
        <w:pStyle w:val="Standard"/>
        <w:numPr>
          <w:ilvl w:val="0"/>
          <w:numId w:val="0"/>
        </w:numPr>
        <w:ind w:hanging="0"/>
        <w:outlineLvl w:val="0"/>
        <w:rPr>
          <w:b/>
          <w:b/>
          <w:color w:val="000000"/>
          <w:sz w:val="28"/>
          <w:szCs w:val="28"/>
          <w:lang w:val="en-GB"/>
        </w:rPr>
      </w:pPr>
      <w:r>
        <w:rPr>
          <w:b/>
          <w:color w:val="000000"/>
          <w:sz w:val="28"/>
          <w:szCs w:val="28"/>
          <w:lang w:val="en-GB"/>
        </w:rPr>
      </w:r>
    </w:p>
    <w:p>
      <w:pPr>
        <w:pStyle w:val="Standard"/>
        <w:numPr>
          <w:ilvl w:val="0"/>
          <w:numId w:val="0"/>
        </w:numPr>
        <w:ind w:hanging="0"/>
        <w:jc w:val="both"/>
        <w:outlineLvl w:val="0"/>
        <w:rPr/>
      </w:pPr>
      <w:r>
        <w:rPr>
          <w:b/>
          <w:color w:val="000000"/>
          <w:sz w:val="28"/>
          <w:szCs w:val="28"/>
          <w:lang w:val="en-GB"/>
        </w:rPr>
        <w:t>List of References</w:t>
      </w:r>
    </w:p>
    <w:p>
      <w:pPr>
        <w:pStyle w:val="Standard"/>
        <w:rPr>
          <w:sz w:val="24"/>
          <w:szCs w:val="24"/>
          <w:lang w:val="en-GB"/>
        </w:rPr>
      </w:pPr>
      <w:r>
        <w:rPr>
          <w:sz w:val="24"/>
          <w:szCs w:val="24"/>
          <w:lang w:val="en-GB"/>
        </w:rPr>
      </w:r>
    </w:p>
    <w:p>
      <w:pPr>
        <w:sectPr>
          <w:headerReference w:type="default" r:id="rId4"/>
          <w:type w:val="nextPage"/>
          <w:pgSz w:w="11906" w:h="16838"/>
          <w:pgMar w:left="1418" w:right="1418" w:header="1560" w:top="2147" w:footer="0" w:bottom="1701" w:gutter="0"/>
          <w:pgNumType w:start="1" w:fmt="decimal"/>
          <w:formProt w:val="false"/>
          <w:textDirection w:val="lrTb"/>
          <w:docGrid w:type="default" w:linePitch="240" w:charSpace="4294961151"/>
        </w:sectPr>
      </w:pPr>
    </w:p>
    <w:p>
      <w:pPr>
        <w:pStyle w:val="Bibliography1"/>
        <w:rPr>
          <w:sz w:val="24"/>
          <w:szCs w:val="24"/>
          <w:lang w:val="en-GB"/>
        </w:rPr>
      </w:pPr>
      <w:r>
        <w:rPr>
          <w:sz w:val="24"/>
          <w:szCs w:val="24"/>
          <w:lang w:val="en-GB"/>
        </w:rPr>
        <w:t>Faux, A.-M., Gorjanc, G., Gaynor, R.C., Battagin, M., Edwards, S.M., Wilson, D.L., Hearne, S.J., Gonen, S., Hickey, J.M., 2016. AlphaSim: Software for Breeding Program Simulation. Plant Genome 9(3).</w:t>
      </w:r>
    </w:p>
    <w:p>
      <w:pPr>
        <w:pStyle w:val="Bibliography1"/>
        <w:rPr>
          <w:sz w:val="24"/>
          <w:szCs w:val="24"/>
          <w:lang w:val="en-GB"/>
        </w:rPr>
      </w:pPr>
      <w:r>
        <w:rPr>
          <w:sz w:val="24"/>
          <w:szCs w:val="24"/>
          <w:lang w:val="en-GB"/>
        </w:rPr>
        <w:t>Legarra, A., Aguilar, I., Misztal, I., 2009. A relationship matrix including full pedigree and genomic information. J. Dairy Sci. 92(9): 4656–4663.</w:t>
      </w:r>
    </w:p>
    <w:p>
      <w:pPr>
        <w:pStyle w:val="Bibliography1"/>
        <w:rPr>
          <w:sz w:val="24"/>
          <w:szCs w:val="24"/>
          <w:lang w:val="en-GB"/>
        </w:rPr>
      </w:pPr>
      <w:r>
        <w:rPr>
          <w:sz w:val="24"/>
          <w:szCs w:val="24"/>
          <w:lang w:val="en-GB"/>
        </w:rPr>
        <w:t>Meuwissen, T.H.E., Hayes, B.J., Goddard, M.E., 2001. Prediction of Total Genetic Value Using Genome-Wide Dense Marker Maps. Genetics 157(4): 1819–1829.</w:t>
      </w:r>
    </w:p>
    <w:p>
      <w:pPr>
        <w:pStyle w:val="Bibliography1"/>
        <w:rPr>
          <w:sz w:val="24"/>
          <w:szCs w:val="24"/>
          <w:lang w:val="en-GB"/>
        </w:rPr>
      </w:pPr>
      <w:r>
        <w:rPr>
          <w:sz w:val="24"/>
          <w:szCs w:val="24"/>
          <w:lang w:val="en-GB"/>
        </w:rPr>
        <w:t>Misztal, I., Tsuruta, S., Strabel, T., Auvray, B., Druet, T., Lee, D.H., 2002. BLUPF90 and related programs (BGF90), in: Proc. 7th World Congress on Genetics Applied to Livestock Production. Presented at the WCGALP</w:t>
      </w:r>
      <w:bookmarkStart w:id="2" w:name="_GoBack"/>
      <w:bookmarkEnd w:id="2"/>
      <w:r>
        <w:rPr>
          <w:sz w:val="24"/>
          <w:szCs w:val="24"/>
          <w:lang w:val="en-GB"/>
        </w:rPr>
        <w:t>, Montpellier, France, pp. 1–2.</w:t>
      </w:r>
    </w:p>
    <w:p>
      <w:pPr>
        <w:pStyle w:val="Bibliography1"/>
        <w:rPr>
          <w:sz w:val="24"/>
          <w:szCs w:val="24"/>
          <w:lang w:val="en-GB"/>
        </w:rPr>
      </w:pPr>
      <w:r>
        <w:rPr>
          <w:sz w:val="24"/>
          <w:szCs w:val="24"/>
          <w:lang w:val="en-GB"/>
        </w:rPr>
        <w:t>Rendel, J.M., Robertson, A., 1950. Estimation of genetic gain in milk yield by selection in a closed herd of dairy cattle. J. Genet. 50(1): 1–8.</w:t>
      </w:r>
    </w:p>
    <w:p>
      <w:pPr>
        <w:pStyle w:val="Bibliography1"/>
        <w:rPr>
          <w:sz w:val="24"/>
          <w:szCs w:val="24"/>
          <w:lang w:val="en-GB"/>
        </w:rPr>
      </w:pPr>
      <w:r>
        <w:rPr>
          <w:sz w:val="24"/>
          <w:szCs w:val="24"/>
          <w:lang w:val="en-GB"/>
        </w:rPr>
        <w:t>Thomasen, J.R., Egger-Danner, C., Willam, A., Guldbrandtsen, B., Lund, M.S., Sørensen, A.C., 2014. Genomic selection strategies in a small dairy cattle population evaluated for genetic gain and profit. J. Dairy Sci. 97(1): 458–470.</w:t>
      </w:r>
    </w:p>
    <w:p>
      <w:pPr>
        <w:pStyle w:val="Bibliography1"/>
        <w:rPr/>
      </w:pPr>
      <w:r>
        <w:rPr>
          <w:color w:val="000000"/>
          <w:sz w:val="24"/>
          <w:szCs w:val="24"/>
          <w:lang w:val="en-GB"/>
        </w:rPr>
        <w:t>Woolliams, J.A., Berg, P., Dagnachew, B.S., Meuwissen, T.H.E., 2015. Genetic contributions and their optimization. J. Anim. Breed. Genet. 132(2): 89–99.</w:t>
      </w:r>
    </w:p>
    <w:p>
      <w:pPr>
        <w:sectPr>
          <w:type w:val="continuous"/>
          <w:pgSz w:w="11906" w:h="16838"/>
          <w:pgMar w:left="1418" w:right="1418" w:header="1560" w:top="2147" w:footer="0" w:bottom="1701" w:gutter="0"/>
          <w:formProt w:val="false"/>
          <w:textDirection w:val="lrTb"/>
          <w:docGrid w:type="default" w:linePitch="240" w:charSpace="4294961151"/>
        </w:sectPr>
      </w:pPr>
    </w:p>
    <w:sectPr>
      <w:type w:val="continuous"/>
      <w:pgSz w:w="11906" w:h="16838"/>
      <w:pgMar w:left="1418" w:right="1418" w:header="1560" w:top="2147" w:footer="0" w:bottom="1701"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8-02-26T12:19:32Z" w:initials="">
    <w:p>
      <w:r>
        <w:rPr>
          <w:rFonts w:eastAsia="Noto Sans CJK SC Regular" w:cs="FreeSans"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eastAsia="zh-CN" w:val="en-GB"/>
        </w:rPr>
        <w:t>Pustim to not?</w:t>
      </w:r>
    </w:p>
  </w:comment>
  <w:comment w:id="1" w:author="Unknown Author" w:date="2018-02-26T12:19:52Z" w:initials="">
    <w:p>
      <w:r>
        <w:rPr>
          <w:rFonts w:eastAsia="Noto Sans CJK SC Regular" w:cs="FreeSans"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eastAsia="zh-CN" w:val="en-US"/>
        </w:rPr>
        <w:t>Sliko bom popravla! Ta je samo za orientacijo, bo lepša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roman"/>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8" w:space="2" w:color="000001"/>
      </w:pBdr>
      <w:rPr/>
    </w:pPr>
    <w:bookmarkStart w:id="1" w:name="__DdeLink__4268_204493034"/>
    <w:bookmarkEnd w:id="1"/>
    <w:r>
      <w:rPr>
        <w:rStyle w:val="Emphasis"/>
        <w:rFonts w:ascii="Times New Roman" w:hAnsi="Times New Roman"/>
        <w:color w:val="555555"/>
        <w:sz w:val="21"/>
      </w:rPr>
      <w:t>Proceedings of the World Congress on Genetics Applied to Livestock Production, 11.496</w:t>
    </w:r>
  </w:p>
</w:hdr>
</file>

<file path=word/settings.xml><?xml version="1.0" encoding="utf-8"?>
<w:settings xmlns:w="http://schemas.openxmlformats.org/wordprocessingml/2006/main">
  <w:zoom w:percent="12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sl-SI" w:eastAsia="zh-CN" w:bidi="hi-IN"/>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textAlignment w:val="baseline"/>
    </w:pPr>
    <w:rPr>
      <w:rFonts w:ascii="Liberation Serif" w:hAnsi="Liberation Serif" w:eastAsia="Noto Sans CJK SC Regular" w:cs="FreeSans"/>
      <w:color w:val="00000A"/>
      <w:sz w:val="24"/>
      <w:szCs w:val="24"/>
      <w:lang w:val="sl-SI" w:eastAsia="zh-CN" w:bidi="hi-IN"/>
    </w:rPr>
  </w:style>
  <w:style w:type="paragraph" w:styleId="Heading1">
    <w:name w:val="Heading 1"/>
    <w:basedOn w:val="Heading"/>
    <w:qFormat/>
    <w:pPr>
      <w:keepNext/>
      <w:keepLines/>
      <w:widowControl w:val="false"/>
      <w:bidi w:val="0"/>
      <w:spacing w:before="480" w:after="120"/>
      <w:jc w:val="left"/>
      <w:outlineLvl w:val="0"/>
    </w:pPr>
    <w:rPr/>
  </w:style>
  <w:style w:type="paragraph" w:styleId="Heading2">
    <w:name w:val="Heading 2"/>
    <w:basedOn w:val="Heading"/>
    <w:qFormat/>
    <w:pPr>
      <w:keepNext/>
      <w:keepLines/>
      <w:widowControl w:val="false"/>
      <w:bidi w:val="0"/>
      <w:spacing w:before="360" w:after="80"/>
      <w:jc w:val="left"/>
      <w:outlineLvl w:val="1"/>
    </w:pPr>
    <w:rPr/>
  </w:style>
  <w:style w:type="paragraph" w:styleId="Heading3">
    <w:name w:val="Heading 3"/>
    <w:basedOn w:val="Heading"/>
    <w:qFormat/>
    <w:pPr>
      <w:keepNext/>
      <w:keepLines/>
      <w:widowControl w:val="false"/>
      <w:bidi w:val="0"/>
      <w:spacing w:before="280" w:after="80"/>
      <w:jc w:val="left"/>
      <w:outlineLvl w:val="2"/>
    </w:pPr>
    <w:rPr/>
  </w:style>
  <w:style w:type="paragraph" w:styleId="Heading4">
    <w:name w:val="Heading 4"/>
    <w:basedOn w:val="Heading"/>
    <w:qFormat/>
    <w:pPr>
      <w:keepNext/>
      <w:keepLines/>
      <w:widowControl w:val="false"/>
      <w:bidi w:val="0"/>
      <w:spacing w:before="240" w:after="40"/>
      <w:jc w:val="left"/>
      <w:outlineLvl w:val="3"/>
    </w:pPr>
    <w:rPr/>
  </w:style>
  <w:style w:type="paragraph" w:styleId="Heading5">
    <w:name w:val="Heading 5"/>
    <w:basedOn w:val="Heading"/>
    <w:qFormat/>
    <w:pPr>
      <w:keepNext/>
      <w:keepLines/>
      <w:widowControl w:val="false"/>
      <w:bidi w:val="0"/>
      <w:spacing w:before="220" w:after="40"/>
      <w:jc w:val="left"/>
      <w:outlineLvl w:val="4"/>
    </w:pPr>
    <w:rPr/>
  </w:style>
  <w:style w:type="paragraph" w:styleId="Heading6">
    <w:name w:val="Heading 6"/>
    <w:basedOn w:val="Heading"/>
    <w:qFormat/>
    <w:pPr>
      <w:keepNext/>
      <w:keepLines/>
      <w:widowControl w:val="false"/>
      <w:bidi w:val="0"/>
      <w:spacing w:before="200" w:after="40"/>
      <w:jc w:val="left"/>
      <w:outlineLvl w:val="5"/>
    </w:pPr>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DefaultParagraphFont" w:customStyle="1">
    <w:name w:val="WW-Default Paragraph Font"/>
    <w:qFormat/>
    <w:rPr/>
  </w:style>
  <w:style w:type="character" w:styleId="WWDefaultParagraphFont1" w:customStyle="1">
    <w:name w:val="WW-Default Paragraph Font1"/>
    <w:qFormat/>
    <w:rPr/>
  </w:style>
  <w:style w:type="character" w:styleId="WWDefaultParagraphFont11" w:customStyle="1">
    <w:name w:val="WW-Default Paragraph Font11"/>
    <w:qFormat/>
    <w:rPr/>
  </w:style>
  <w:style w:type="character" w:styleId="WWDefaultParagraphFont111" w:customStyle="1">
    <w:name w:val="WW-Default Paragraph Font111"/>
    <w:qFormat/>
    <w:rPr/>
  </w:style>
  <w:style w:type="character" w:styleId="Internetlink" w:customStyle="1">
    <w:name w:val="Internet link"/>
    <w:qFormat/>
    <w:rPr/>
  </w:style>
  <w:style w:type="character" w:styleId="BalloonTextChar" w:customStyle="1">
    <w:name w:val="Balloon Text Char"/>
    <w:qFormat/>
    <w:rPr/>
  </w:style>
  <w:style w:type="character" w:styleId="Annotationreference">
    <w:name w:val="annotation reference"/>
    <w:qFormat/>
    <w:rPr>
      <w:sz w:val="18"/>
      <w:szCs w:val="18"/>
    </w:rPr>
  </w:style>
  <w:style w:type="character" w:styleId="CommentTextChar" w:customStyle="1">
    <w:name w:val="Comment Text Char"/>
    <w:qFormat/>
    <w:rPr/>
  </w:style>
  <w:style w:type="character" w:styleId="CommentSubjectChar" w:customStyle="1">
    <w:name w:val="Comment Subject Char"/>
    <w:qFormat/>
    <w:rPr/>
  </w:style>
  <w:style w:type="character" w:styleId="DocumentMapChar" w:customStyle="1">
    <w:name w:val="Document Map Char"/>
    <w:qFormat/>
    <w:rPr/>
  </w:style>
  <w:style w:type="character" w:styleId="InternetLink1" w:customStyle="1">
    <w:name w:val="Internet Link"/>
    <w:rPr>
      <w:color w:val="000080"/>
      <w:u w:val="single"/>
    </w:rPr>
  </w:style>
  <w:style w:type="character" w:styleId="Emphasis">
    <w:name w:val="Emphasis"/>
    <w:qFormat/>
    <w:rPr>
      <w:i/>
      <w:iCs/>
    </w:rPr>
  </w:style>
  <w:style w:type="paragraph" w:styleId="Heading" w:customStyle="1">
    <w:name w:val="Heading"/>
    <w:basedOn w:val="Normal"/>
    <w:next w:val="TextBody"/>
    <w:qFormat/>
    <w:pPr>
      <w:keepNext/>
      <w:widowControl w:val="false"/>
      <w:bidi w:val="0"/>
      <w:spacing w:before="240" w:after="120"/>
      <w:jc w:val="left"/>
    </w:pPr>
    <w:rPr>
      <w:rFonts w:ascii="Liberation Serif" w:hAnsi="Liberation Serif" w:eastAsia="Noto Sans CJK SC Regular" w:cs="FreeSans"/>
      <w:color w:val="00000A"/>
      <w:sz w:val="24"/>
      <w:szCs w:val="24"/>
      <w:lang w:val="sl-SI" w:eastAsia="zh-CN" w:bidi="hi-IN"/>
    </w:rPr>
  </w:style>
  <w:style w:type="paragraph" w:styleId="TextBody">
    <w:name w:val="Body Text"/>
    <w:basedOn w:val="Normal"/>
    <w:pPr>
      <w:spacing w:lineRule="auto" w:line="288" w:before="0" w:after="140"/>
    </w:pPr>
    <w:rPr/>
  </w:style>
  <w:style w:type="paragraph" w:styleId="List">
    <w:name w:val="List"/>
    <w:basedOn w:val="TextBody"/>
    <w:pPr>
      <w:widowControl w:val="false"/>
      <w:bidi w:val="0"/>
      <w:jc w:val="left"/>
    </w:pPr>
    <w:rPr>
      <w:rFonts w:ascii="Liberation Serif" w:hAnsi="Liberation Serif" w:eastAsia="Noto Sans CJK SC Regular" w:cs="FreeSans"/>
      <w:color w:val="00000A"/>
      <w:sz w:val="24"/>
      <w:szCs w:val="24"/>
      <w:lang w:val="sl-SI" w:eastAsia="zh-CN" w:bidi="hi-IN"/>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widowControl w:val="false"/>
      <w:suppressLineNumbers/>
      <w:bidi w:val="0"/>
      <w:jc w:val="left"/>
    </w:pPr>
    <w:rPr>
      <w:rFonts w:ascii="Liberation Serif" w:hAnsi="Liberation Serif" w:eastAsia="Noto Sans CJK SC Regular" w:cs="FreeSans"/>
      <w:color w:val="00000A"/>
      <w:sz w:val="24"/>
      <w:szCs w:val="24"/>
      <w:lang w:val="sl-SI" w:eastAsia="zh-CN" w:bidi="hi-IN"/>
    </w:rPr>
  </w:style>
  <w:style w:type="paragraph" w:styleId="Caption1">
    <w:name w:val="caption"/>
    <w:qFormat/>
    <w:pPr>
      <w:widowControl w:val="false"/>
      <w:suppressLineNumbers/>
      <w:bidi w:val="0"/>
      <w:spacing w:before="120" w:after="120"/>
      <w:jc w:val="left"/>
    </w:pPr>
    <w:rPr>
      <w:rFonts w:ascii="Liberation Serif" w:hAnsi="Liberation Serif" w:eastAsia="Noto Sans CJK SC Regular" w:cs="FreeSans"/>
      <w:color w:val="00000A"/>
      <w:sz w:val="24"/>
      <w:szCs w:val="24"/>
      <w:lang w:val="sl-SI" w:eastAsia="zh-CN" w:bidi="hi-IN"/>
    </w:rPr>
  </w:style>
  <w:style w:type="paragraph" w:styleId="Standard" w:customStyle="1">
    <w:name w:val="Standard"/>
    <w:qFormat/>
    <w:pPr>
      <w:widowControl/>
      <w:bidi w:val="0"/>
      <w:ind w:firstLine="720"/>
      <w:jc w:val="left"/>
    </w:pPr>
    <w:rPr>
      <w:rFonts w:ascii="Times New Roman" w:hAnsi="Times New Roman" w:eastAsia="Times New Roman" w:cs="Times New Roman"/>
      <w:color w:val="00000A"/>
      <w:sz w:val="20"/>
      <w:szCs w:val="20"/>
      <w:lang w:val="en-US" w:eastAsia="zh-CN" w:bidi="ar-SA"/>
    </w:rPr>
  </w:style>
  <w:style w:type="paragraph" w:styleId="Textbody1" w:customStyle="1">
    <w:name w:val="Text body"/>
    <w:basedOn w:val="Standard"/>
    <w:qFormat/>
    <w:pPr>
      <w:spacing w:lineRule="auto" w:line="288" w:before="0" w:after="140"/>
    </w:pPr>
    <w:rPr/>
  </w:style>
  <w:style w:type="paragraph" w:styleId="LOnormal" w:customStyle="1">
    <w:name w:val="LO-normal"/>
    <w:qFormat/>
    <w:pPr>
      <w:widowControl/>
      <w:bidi w:val="0"/>
      <w:jc w:val="left"/>
    </w:pPr>
    <w:rPr>
      <w:rFonts w:ascii="Times New Roman" w:hAnsi="Times New Roman" w:eastAsia="Times New Roman" w:cs="Times New Roman"/>
      <w:color w:val="00000A"/>
      <w:sz w:val="20"/>
      <w:szCs w:val="20"/>
      <w:lang w:val="en-US" w:eastAsia="zh-CN" w:bidi="ar-SA"/>
    </w:rPr>
  </w:style>
  <w:style w:type="paragraph" w:styleId="Title">
    <w:name w:val="Title"/>
    <w:basedOn w:val="LOnormal"/>
    <w:next w:val="Standard"/>
    <w:qFormat/>
    <w:pPr>
      <w:keepNext/>
      <w:keepLines/>
      <w:spacing w:before="480" w:after="120"/>
    </w:pPr>
    <w:rPr/>
  </w:style>
  <w:style w:type="paragraph" w:styleId="Subtitle">
    <w:name w:val="Subtitle"/>
    <w:basedOn w:val="LOnormal"/>
    <w:next w:val="Standard"/>
    <w:qFormat/>
    <w:pPr>
      <w:keepNext/>
      <w:keepLines/>
      <w:spacing w:before="360" w:after="80"/>
    </w:pPr>
    <w:rPr/>
  </w:style>
  <w:style w:type="paragraph" w:styleId="TableContents" w:customStyle="1">
    <w:name w:val="Table Contents"/>
    <w:basedOn w:val="Standard"/>
    <w:qFormat/>
    <w:pPr/>
    <w:rPr/>
  </w:style>
  <w:style w:type="paragraph" w:styleId="TableHeading" w:customStyle="1">
    <w:name w:val="Table Heading"/>
    <w:basedOn w:val="TableContents"/>
    <w:qFormat/>
    <w:pPr/>
    <w:rPr/>
  </w:style>
  <w:style w:type="paragraph" w:styleId="BalloonText">
    <w:name w:val="Balloon Text"/>
    <w:basedOn w:val="Standard"/>
    <w:qFormat/>
    <w:pPr/>
    <w:rPr>
      <w:sz w:val="18"/>
      <w:szCs w:val="18"/>
    </w:rPr>
  </w:style>
  <w:style w:type="paragraph" w:styleId="Annotationtext">
    <w:name w:val="annotation text"/>
    <w:basedOn w:val="Standard"/>
    <w:qFormat/>
    <w:pPr/>
    <w:rPr>
      <w:sz w:val="24"/>
      <w:szCs w:val="24"/>
    </w:rPr>
  </w:style>
  <w:style w:type="paragraph" w:styleId="Annotationsubject">
    <w:name w:val="annotation subject"/>
    <w:basedOn w:val="Annotationtext"/>
    <w:qFormat/>
    <w:pPr/>
    <w:rPr/>
  </w:style>
  <w:style w:type="paragraph" w:styleId="Bibliography1" w:customStyle="1">
    <w:name w:val="Bibliography 1"/>
    <w:basedOn w:val="Index"/>
    <w:qFormat/>
    <w:pPr>
      <w:spacing w:lineRule="atLeast" w:line="240"/>
      <w:ind w:left="720" w:hanging="720"/>
    </w:pPr>
    <w:rPr/>
  </w:style>
  <w:style w:type="paragraph" w:styleId="DocumentMap">
    <w:name w:val="Document Map"/>
    <w:basedOn w:val="Standard"/>
    <w:qFormat/>
    <w:pPr/>
    <w:rPr>
      <w:sz w:val="24"/>
      <w:szCs w:val="24"/>
    </w:rPr>
  </w:style>
  <w:style w:type="paragraph" w:styleId="Revision">
    <w:name w:val="Revision"/>
    <w:qFormat/>
    <w:pPr>
      <w:widowControl/>
      <w:bidi w:val="0"/>
      <w:jc w:val="left"/>
    </w:pPr>
    <w:rPr>
      <w:rFonts w:ascii="Times New Roman" w:hAnsi="Times New Roman" w:eastAsia="Times New Roman" w:cs="Times New Roman"/>
      <w:color w:val="00000A"/>
      <w:sz w:val="20"/>
      <w:szCs w:val="20"/>
      <w:lang w:val="en-US" w:eastAsia="zh-CN" w:bidi="ar-SA"/>
    </w:rPr>
  </w:style>
  <w:style w:type="paragraph" w:styleId="Header">
    <w:name w:val="Header"/>
    <w:basedOn w:val="Normal"/>
    <w:pPr/>
    <w:rPr/>
  </w:style>
  <w:style w:type="numbering" w:styleId="NoList" w:default="1">
    <w:name w:val="No List"/>
    <w:uiPriority w:val="99"/>
    <w:semiHidden/>
    <w:unhideWhenUsed/>
    <w:qFormat/>
  </w:style>
  <w:style w:type="numbering" w:styleId="WW8Num1" w:customStyle="1">
    <w:name w:val="WW8Num1"/>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iberc@univit.com" TargetMode="External"/><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Application>LibreOffice/5.1.6.2$Linux_X86_64 LibreOffice_project/10m0$Build-2</Application>
  <Pages>5</Pages>
  <Words>2177</Words>
  <Characters>11772</Characters>
  <CharactersWithSpaces>13863</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2018-01-12T08:56:00Z</dcterms:created>
  <dc:creator>JENKO Janez</dc:creator>
  <dc:description/>
  <dc:language>sl-SI</dc:language>
  <cp:lastModifiedBy/>
  <cp:lastPrinted>2017-09-28T13:34:00Z</cp:lastPrinted>
  <dcterms:modified xsi:type="dcterms:W3CDTF">2018-02-27T12:42:04Z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PREF_1">
    <vt:lpwstr>&lt;data data-version="3" zotero-version="4.0.29.10"&gt;&lt;session id="1bX1NNzs"/&gt;&lt;style id="http://www.zotero.org/styles/elsevier-harvard" hasBibliography="1" bibliographyStyleHasBeenSet="1"/&gt;&lt;prefs&gt;&lt;pref name="fieldType" value="ReferenceMark"/&gt;&lt;pref name="store</vt:lpwstr>
  </property>
  <property fmtid="{D5CDD505-2E9C-101B-9397-08002B2CF9AE}" pid="9" name="ZOTERO_PREF_2">
    <vt:lpwstr>References" value="true"/&gt;&lt;pref name="automaticJournalAbbreviations" value="true"/&gt;&lt;pref name="noteType" value=""/&gt;&lt;/prefs&gt;&lt;/data&gt;</vt:lpwstr>
  </property>
</Properties>
</file>