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 xml:space="preserve">Implementing genomic selection by optimizing the investment in phenotyping and genotyping increased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reduced generation interval.</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 Simulation studies also confirmed that the genomic selection increases genetic gain due to reduced generation interval, despite reduced selection accuracy (Pryce et al., 2010; Obšteter et al., 2019). </w:t>
      </w:r>
      <w:commentRangeStart w:id="0"/>
      <w:r>
        <w:rPr/>
        <w:t>Van Grevenhof et al. computed the break-even size of the training population required to achieve a response comparable with conventional selection. They showed, that if the generation is not reduced and the number of phenotypes is limited, genomic selection cannot compete with conventional selection. But as the generation decreases, the break-even size decreases rapidly. When generation interval is halved, only ~2000 or ~3500 individuals are needed to achieve the response of selection on traditional BLUP-EBV based on own performance or 10 progeny per sire.</w:t>
      </w:r>
      <w:commentRangeEnd w:id="0"/>
      <w:r>
        <w:commentReference w:id="0"/>
      </w:r>
      <w:r>
        <w:rPr/>
      </w:r>
    </w:p>
    <w:p>
      <w:pPr>
        <w:pStyle w:val="TextBody"/>
        <w:spacing w:lineRule="auto" w:line="480"/>
        <w:jc w:val="both"/>
        <w:rPr/>
      </w:pPr>
      <w:r>
        <w:rPr/>
        <w:t xml:space="preserve">Another major advantage of the genomic scenarios was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1"/>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1"/>
      <w:r>
        <w:commentReference w:id="1"/>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(Garcia-Ruiz et al:)</w:t>
      </w:r>
      <w:r>
        <w:rPr>
          <w:rFonts w:eastAsia="AR PL SungtiL GB" w:cs="Lohit Devanagari"/>
          <w:color w:val="auto"/>
          <w:kern w:val="2"/>
          <w:sz w:val="24"/>
          <w:szCs w:val="24"/>
          <w:lang w:val="en-GB" w:eastAsia="zh-CN" w:bidi="hi-IN"/>
        </w:rPr>
        <w:t>.</w:t>
      </w:r>
    </w:p>
    <w:p>
      <w:pPr>
        <w:pStyle w:val="TextBody"/>
        <w:spacing w:lineRule="auto" w:line="480"/>
        <w:jc w:val="both"/>
        <w:rPr/>
      </w:pPr>
      <w:r>
        <w:rPr>
          <w:rFonts w:eastAsia="AR PL SungtiL GB" w:cs="Lohit Devanagari"/>
          <w:color w:val="auto"/>
          <w:kern w:val="2"/>
          <w:sz w:val="24"/>
          <w:szCs w:val="24"/>
          <w:lang w:val="en-GB" w:eastAsia="zh-CN" w:bidi="hi-IN"/>
        </w:rPr>
        <w:t>Assisting the superiority of genomic scenarios was also the fact, that although reduced phenotyping decreased the phenotype accuracy, it did not affect the selection accuracy in the same way. While the genomic prediction only slightly decreased the selection accuracy for sires, it actually 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b/>
          <w:bCs/>
        </w:rPr>
        <w:t>We further increased the genetic gain with increasing the investment into genotyping</w:t>
      </w:r>
      <w:r>
        <w:rPr>
          <w:b w:val="false"/>
          <w:bCs/>
          <w:i w:val="false"/>
          <w:color w:val="000000"/>
        </w:rPr>
        <w:t xml:space="preserve">, mainly due to increased intensity of sire selection. </w:t>
      </w:r>
      <w:r>
        <w:rPr>
          <w:b w:val="false"/>
          <w:bCs/>
          <w:i w:val="false"/>
          <w:color w:val="000000"/>
          <w:position w:val="0"/>
          <w:sz w:val="24"/>
          <w:sz w:val="24"/>
          <w:vertAlign w:val="baseline"/>
        </w:rPr>
        <w:t>Investing more into gen</w:t>
      </w:r>
      <w:r>
        <w:rPr>
          <w:b w:val="false"/>
          <w:bCs/>
          <w:i w:val="false"/>
          <w:color w:val="000000"/>
        </w:rPr>
        <w:t>otyping resulted in more male candidates tested, but same number selected, which intensified selection and drove the genetic gain</w:t>
      </w:r>
      <w:r>
        <w:rPr>
          <w:b w:val="false"/>
          <w:bCs w:val="false"/>
        </w:rPr>
        <w:t xml:space="preserve">. </w:t>
      </w:r>
      <w:r>
        <w:rPr/>
        <w:t>This can be seen as increasing investment into genotyping did not further reduce generation interval nor increase the accuracy of sire selection candidates (discussed in the next section). A minor drive of increasing genetic gain was also 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It is also worth mentioning, that some of the high-genotyping scenarios achieved the observed genetic gain at a lower total cost, since they did not use all the resources for genotyping females. The saved resources could be invested back into phenotyping females for milk production or novelty traits, genotyping more male candidates, or some other breeding action.</w:t>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Results showed that when phenotyping and genotyping had equal cost,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2"/>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highlight w:val="lightGray"/>
        </w:rPr>
      </w:r>
      <w:commentRangeEnd w:id="2"/>
      <w:r>
        <w:commentReference w:id="2"/>
      </w:r>
      <w:r>
        <w:rPr/>
        <w:t xml:space="preserve"> And lastly</w:t>
      </w:r>
      <w:r>
        <w:rPr>
          <w:highlight w:val="white"/>
        </w:rPr>
        <w:t>, the top performing scenarios had a large percentage of training population updat</w:t>
      </w:r>
      <w:r>
        <w:rPr>
          <w:b w:val="false"/>
          <w:bCs w:val="false"/>
          <w:highlight w:val="white"/>
        </w:rPr>
        <w:t xml:space="preserve">e </w:t>
      </w:r>
      <w:r>
        <w:rPr>
          <w:b w:val="false"/>
          <w:bCs w:val="false"/>
          <w:highlight w:val="white"/>
        </w:rPr>
        <w:t>and a large training population</w:t>
      </w:r>
      <w:r>
        <w:rPr>
          <w:b w:val="false"/>
          <w:bCs w:val="false"/>
          <w:highlight w:val="white"/>
        </w:rPr>
        <w:t xml:space="preserve">. 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3"/>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w:t>
      </w:r>
      <w:r>
        <w:rPr>
          <w:highlight w:val="yellow"/>
        </w:rPr>
        <w:t xml:space="preserve">Van </w:t>
      </w:r>
      <w:r>
        <w:rPr>
          <w:highlight w:val="yellow"/>
        </w:rPr>
        <w:t>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In this study we additionally showed, that while genetic gain does increase with the number of females in training population (although with diminishing return), adding repeated phenotypes does not have the same effect. As the scenarios increased the number of females in the training population, they also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4"/>
      <w:r>
        <w:rPr/>
        <w:t xml:space="preserve"> we ran </w:t>
      </w:r>
      <w:r>
        <w:rPr>
          <w:highlight w:val="white"/>
        </w:rPr>
        <w:t>single-step genomic prediction</w:t>
      </w:r>
      <w:r>
        <w:rPr/>
        <w:t xml:space="preserve">, the phenotypes of the non-genotyped animals contributed to the estimation as well. </w:t>
      </w:r>
      <w:commentRangeEnd w:id="4"/>
      <w:r>
        <w:commentReference w:id="4"/>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genomic scenarios still increased the genetic gain between </w:t>
      </w:r>
      <w:r>
        <w:rPr>
          <w:b/>
          <w:bCs/>
          <w:lang w:val="en-US"/>
        </w:rPr>
        <w:t>31% and 134% compared to the conventional scenario</w:t>
      </w:r>
      <w:r>
        <w:rPr/>
        <w:t xml:space="preserve">. However, compared to the corresponding scenarios with an initial training population available, these scenarios achieved lower genetic gain. This was mainly due to smaller training population and delay in implementing genomic selection. Increasing the investment into genotyping compensated for starting without a training population due to two reasons. Firstly, investing more into genotyping shortened the delay in implementation of genomic selection </w:t>
      </w:r>
      <w:r>
        <w:rPr>
          <w:highlight w:val="lightGray"/>
        </w:rPr>
        <w:t>(down to one year in high</w:t>
        <w:noBreakHyphen/>
        <w:t>genotyping scenarios)</w:t>
      </w:r>
      <w:r>
        <w:rPr/>
        <w:t xml:space="preserve">. And secondly, a smaller initial training population </w:t>
      </w:r>
      <w:r>
        <w:rPr>
          <w:highlight w:val="lightGray"/>
        </w:rPr>
        <w:t>(until reaching 25K)</w:t>
      </w:r>
      <w:r>
        <w:rPr/>
        <w:t xml:space="preserve"> did not proportionally translate into smaller genetic gain, since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we also did not observe a decreased genetic gain compared to the conventional scenario prior to the implementation, despite reduced phenotyping. This suggests that breeding programmes can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b w:val="false"/>
          <w:b w:val="false"/>
          <w:bCs w:val="false"/>
        </w:rPr>
      </w:pPr>
      <w:r>
        <w:rPr>
          <w:rFonts w:eastAsia="AR PL SungtiL GB" w:cs="Lohit Devanagari"/>
          <w:b w:val="false"/>
          <w:bCs w:val="false"/>
          <w:color w:val="auto"/>
          <w:kern w:val="2"/>
          <w:sz w:val="24"/>
          <w:szCs w:val="24"/>
          <w:lang w:val="en-GB" w:eastAsia="zh-CN" w:bidi="hi-IN"/>
        </w:rPr>
        <w:t xml:space="preserve">However, in this study we did not implement genomic selection in the female path nor did we assume the use of female reproductive technologies, such as embryo transfer. This would further decrease the generation interval and increase genetic gain of genomic scenarios </w:t>
      </w:r>
      <w:r>
        <w:rPr>
          <w:rFonts w:eastAsia="AR PL SungtiL GB" w:cs="Lohit Devanagari"/>
          <w:b w:val="false"/>
          <w:bCs w:val="false"/>
          <w:color w:val="auto"/>
          <w:kern w:val="2"/>
          <w:sz w:val="24"/>
          <w:szCs w:val="24"/>
          <w:highlight w:val="yellow"/>
          <w:lang w:val="en-GB" w:eastAsia="zh-CN" w:bidi="hi-IN"/>
        </w:rPr>
        <w:t>(Pryce et al., 2010; Garcia-Ruiz et al., 2016)</w:t>
      </w:r>
      <w:r>
        <w:rPr>
          <w:rFonts w:eastAsia="AR PL SungtiL GB" w:cs="Lohit Devanagari"/>
          <w:b w:val="false"/>
          <w:bCs w:val="false"/>
          <w:color w:val="auto"/>
          <w:kern w:val="2"/>
          <w:sz w:val="24"/>
          <w:szCs w:val="24"/>
          <w:lang w:val="en-GB" w:eastAsia="zh-CN" w:bidi="hi-IN"/>
        </w:rPr>
        <w:t>. 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r>
        <w:rPr>
          <w:b/>
          <w:bCs/>
        </w:rPr>
      </w:r>
    </w:p>
    <w:p>
      <w:pPr>
        <w:pStyle w:val="TextBody"/>
        <w:spacing w:lineRule="auto" w:line="480"/>
        <w:jc w:val="both"/>
        <w:rPr/>
      </w:pPr>
      <w:r>
        <w:rPr/>
      </w:r>
    </w:p>
    <w:p>
      <w:pPr>
        <w:pStyle w:val="TextBody"/>
        <w:spacing w:lineRule="auto" w:line="480"/>
        <w:jc w:val="both"/>
        <w:rPr>
          <w:b/>
          <w:b/>
          <w:bCs/>
        </w:rPr>
      </w:pPr>
      <w:ins w:id="0" w:author="Unknown Author" w:date="2020-06-01T10:20:42Z">
        <w:r>
          <w:rPr>
            <w:b/>
            <w:bCs/>
          </w:rPr>
          <w:t>Accuracy</w:t>
        </w:r>
      </w:ins>
    </w:p>
    <w:p>
      <w:pPr>
        <w:pStyle w:val="TextBody"/>
        <w:spacing w:lineRule="auto" w:line="480"/>
        <w:jc w:val="both"/>
        <w:rPr/>
      </w:pPr>
      <w:r>
        <w:rPr/>
        <w:t>Accuracy trends follow the genetic gain trends (vice versa?)</w:t>
      </w:r>
    </w:p>
    <w:p>
      <w:pPr>
        <w:pStyle w:val="TextBody"/>
        <w:numPr>
          <w:ilvl w:val="0"/>
          <w:numId w:val="1"/>
        </w:numPr>
        <w:spacing w:lineRule="auto" w:line="480"/>
        <w:jc w:val="both"/>
        <w:rPr/>
      </w:pPr>
      <w:r>
        <w:rPr/>
        <w:t>Accuracy for male candidates high regardless amount of genotyping and phenotyping</w:t>
      </w:r>
    </w:p>
    <w:p>
      <w:pPr>
        <w:pStyle w:val="TextBody"/>
        <w:numPr>
          <w:ilvl w:val="0"/>
          <w:numId w:val="4"/>
        </w:numPr>
        <w:spacing w:lineRule="auto" w:line="480"/>
        <w:jc w:val="both"/>
        <w:rPr/>
      </w:pPr>
      <w:r>
        <w:rPr/>
        <w:t>offspring of elite matings, the accuracy of parent average is very high (fathers genotyped)</w:t>
      </w:r>
    </w:p>
    <w:p>
      <w:pPr>
        <w:pStyle w:val="TextBody"/>
        <w:numPr>
          <w:ilvl w:val="0"/>
          <w:numId w:val="1"/>
        </w:numPr>
        <w:spacing w:lineRule="auto" w:line="480"/>
        <w:jc w:val="both"/>
        <w:rPr/>
      </w:pPr>
      <w:r>
        <w:rPr/>
        <w:t>The accuracy for sires decreases with reduced phenotyping, despite increased genotyping</w:t>
      </w:r>
    </w:p>
    <w:p>
      <w:pPr>
        <w:pStyle w:val="Normal"/>
        <w:numPr>
          <w:ilvl w:val="0"/>
          <w:numId w:val="5"/>
        </w:numPr>
        <w:spacing w:lineRule="auto" w:line="480"/>
        <w:jc w:val="both"/>
        <w:rPr/>
      </w:pPr>
      <w:r>
        <w:rPr/>
        <w:t xml:space="preserve">small number of sires - </w:t>
      </w:r>
      <w:r>
        <w:rPr/>
        <w:t>their accuracy varied considerably</w:t>
      </w:r>
    </w:p>
    <w:p>
      <w:pPr>
        <w:pStyle w:val="Normal"/>
        <w:numPr>
          <w:ilvl w:val="0"/>
          <w:numId w:val="5"/>
        </w:numPr>
        <w:spacing w:lineRule="auto" w:line="480"/>
        <w:jc w:val="both"/>
        <w:rPr/>
      </w:pPr>
      <w:r>
        <w:rPr/>
        <w:t xml:space="preserve">The accuracy for sires decreased with reduced phenotyping - </w:t>
      </w:r>
      <w:r>
        <w:rPr/>
        <w:t>t</w:t>
      </w:r>
      <w:r>
        <w:rPr/>
        <w: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p>
    <w:p>
      <w:pPr>
        <w:pStyle w:val="TextBody"/>
        <w:numPr>
          <w:ilvl w:val="0"/>
          <w:numId w:val="1"/>
        </w:numPr>
        <w:spacing w:lineRule="auto" w:line="480"/>
        <w:jc w:val="both"/>
        <w:rPr/>
      </w:pPr>
      <w:r>
        <w:rPr/>
        <w:t>Accuracy for dams increases with increasing genotyping, despite reduced phenotyping and less own records</w:t>
      </w:r>
    </w:p>
    <w:p>
      <w:pPr>
        <w:pStyle w:val="TextBody"/>
        <w:numPr>
          <w:ilvl w:val="0"/>
          <w:numId w:val="2"/>
        </w:numPr>
        <w:spacing w:lineRule="auto" w:line="480"/>
        <w:jc w:val="both"/>
        <w:rPr/>
      </w:pPr>
      <w:r>
        <w:rPr/>
        <w:t xml:space="preserve">higher accuracy than with conventional prediction – </w:t>
      </w:r>
      <w:r>
        <w:rPr/>
        <w:t>genomic prediction better estimates Mendelian sampling; higher/better genetic connectedness</w:t>
      </w:r>
    </w:p>
    <w:p>
      <w:pPr>
        <w:pStyle w:val="TextBody"/>
        <w:numPr>
          <w:ilvl w:val="0"/>
          <w:numId w:val="2"/>
        </w:numPr>
        <w:spacing w:lineRule="auto" w:line="480"/>
        <w:jc w:val="both"/>
        <w:rPr/>
      </w:pPr>
      <w:r>
        <w:rPr/>
        <w:t>accuracy increasing with increasing investment in genotyping: growing training population, more females genotyped and estimated a genomic breeding value; and better genetic connectedness</w:t>
      </w:r>
    </w:p>
    <w:p>
      <w:pPr>
        <w:pStyle w:val="TextBody"/>
        <w:numPr>
          <w:ilvl w:val="0"/>
          <w:numId w:val="2"/>
        </w:numPr>
        <w:spacing w:lineRule="auto" w:line="480"/>
        <w:jc w:val="both"/>
        <w:rPr/>
      </w:pPr>
      <w:r>
        <w:rPr/>
        <w:t>but increases with diminishing returns</w:t>
      </w:r>
    </w:p>
    <w:p>
      <w:pPr>
        <w:pStyle w:val="TextBody"/>
        <w:numPr>
          <w:ilvl w:val="0"/>
          <w:numId w:val="1"/>
        </w:numPr>
        <w:spacing w:lineRule="auto" w:line="480"/>
        <w:jc w:val="both"/>
        <w:rPr/>
      </w:pPr>
      <w:r>
        <w:rPr/>
        <w:t>Accuracy for female candidates follows the dam’s trend and increases with increasing genotyping</w:t>
      </w:r>
    </w:p>
    <w:p>
      <w:pPr>
        <w:pStyle w:val="TextBody"/>
        <w:numPr>
          <w:ilvl w:val="0"/>
          <w:numId w:val="3"/>
        </w:numPr>
        <w:spacing w:lineRule="auto" w:line="480"/>
        <w:jc w:val="both"/>
        <w:rPr/>
      </w:pPr>
      <w:r>
        <w:rPr/>
        <w:t>female candidates are not genotyped – the accuracy increases due to increased accuracy of the dams and consequently increased parent average</w:t>
      </w:r>
    </w:p>
    <w:p>
      <w:pPr>
        <w:pStyle w:val="TextBody"/>
        <w:spacing w:lineRule="auto" w:line="480"/>
        <w:jc w:val="both"/>
        <w:rPr/>
      </w:pPr>
      <w:r>
        <w:rPr/>
        <w:t>5. Without an initial training population</w:t>
      </w:r>
    </w:p>
    <w:p>
      <w:pPr>
        <w:pStyle w:val="TextBody"/>
        <w:spacing w:lineRule="auto" w:line="480"/>
        <w:jc w:val="both"/>
        <w:rPr/>
      </w:pPr>
      <w:r>
        <w:rPr/>
        <w:t>6. Papers comparing test-day vs 305-yield models: high correlation of 0.97 (Shaeffer), minor changes in sire ranking (Swalve) and appropriate for Gir; MEUWISSEN PART_LACT correlations!!!!</w:t>
      </w:r>
    </w:p>
    <w:p>
      <w:pPr>
        <w:pStyle w:val="TextBody"/>
        <w:numPr>
          <w:ilvl w:val="0"/>
          <w:numId w:val="6"/>
        </w:numPr>
        <w:spacing w:lineRule="auto" w:line="480"/>
        <w:jc w:val="both"/>
        <w:rPr/>
      </w:pPr>
      <w:r>
        <w:rPr/>
        <w:t>Accuracy of predicting milk yield from alternative milk recording schemes: correlation between A4 and A8 milk yield!!!!</w:t>
      </w:r>
    </w:p>
    <w:p>
      <w:pPr>
        <w:pStyle w:val="TextBody"/>
        <w:numPr>
          <w:ilvl w:val="0"/>
          <w:numId w:val="6"/>
        </w:numPr>
        <w:spacing w:lineRule="auto" w:line="480"/>
        <w:jc w:val="both"/>
        <w:rPr/>
      </w:pPr>
      <w:r>
        <w:rPr/>
        <w:t>Prediction of lactation milk yield using various milk recording methods – non-significant sifferences between A4 and A6 methods!!!</w:t>
      </w:r>
    </w:p>
    <w:p>
      <w:pPr>
        <w:pStyle w:val="TextBody"/>
        <w:numPr>
          <w:ilvl w:val="0"/>
          <w:numId w:val="6"/>
        </w:numPr>
        <w:spacing w:lineRule="auto" w:line="480"/>
        <w:jc w:val="both"/>
        <w:rPr/>
      </w:pPr>
      <w:r>
        <w:rPr/>
        <w:t>Estimation of 305-day milk yield from test-day records of Chinese Holstein cattle</w:t>
      </w:r>
    </w:p>
    <w:p>
      <w:pPr>
        <w:pStyle w:val="TextBody"/>
        <w:numPr>
          <w:ilvl w:val="0"/>
          <w:numId w:val="6"/>
        </w:numPr>
        <w:spacing w:lineRule="auto" w:line="480"/>
        <w:jc w:val="both"/>
        <w:rPr/>
      </w:pPr>
      <w:r>
        <w:rPr/>
        <w:t>Comparison of test-day models for genetic evaluation of production traits in dairy cattle</w:t>
      </w:r>
    </w:p>
    <w:p>
      <w:pPr>
        <w:pStyle w:val="TextBody"/>
        <w:numPr>
          <w:ilvl w:val="0"/>
          <w:numId w:val="6"/>
        </w:numPr>
        <w:rPr/>
      </w:pPr>
      <w:r>
        <w:rPr/>
        <w:t xml:space="preserve">Prediction of Daily Milk Yields from a Limited Number of Test Days Using Test Day Models – </w:t>
      </w:r>
      <w:r>
        <w:rPr/>
        <w:t>we can improve the prediction!!!</w:t>
      </w:r>
    </w:p>
    <w:p>
      <w:pPr>
        <w:pStyle w:val="TextBody"/>
        <w:rPr/>
      </w:pPr>
      <w:r>
        <w:rPr/>
        <w:br/>
      </w:r>
      <w:r>
        <w:rPr/>
        <w:t>7</w:t>
      </w:r>
      <w:r>
        <w:rPr/>
        <w:t>. What would happen at different heritability?</w:t>
      </w:r>
    </w:p>
    <w:p>
      <w:pPr>
        <w:pStyle w:val="TextBody"/>
        <w:spacing w:lineRule="auto" w:line="480"/>
        <w:jc w:val="both"/>
        <w:rPr/>
      </w:pPr>
      <w:ins w:id="1" w:author="Unknown Author" w:date="2020-06-01T10:20:42Z">
        <w:r>
          <w:rPr/>
          <w:t xml:space="preserve">The </w:t>
        </w:r>
      </w:ins>
      <w:ins w:id="2" w:author="Unknown Author" w:date="2020-06-01T10:20:42Z">
        <w:commentRangeStart w:id="5"/>
        <w:r>
          <w:rPr/>
          <w:t>Gonzales</w:t>
        </w:r>
      </w:ins>
      <w:r>
        <w:rPr/>
      </w:r>
      <w:ins w:id="3" w:author="Unknown Author" w:date="2020-06-01T10:20:42Z">
        <w:commentRangeEnd w:id="5"/>
        <w:r>
          <w:commentReference w:id="5"/>
        </w:r>
        <w:r>
          <w:rPr/>
          <w:t>-Recio et al. paper also provides insight into what would happen at a different heritability of the phenotype. They showed that as the heritability increases, the contribution of an additional phenotype to the genetic gain decre</w:t>
        </w:r>
      </w:ins>
      <w:r>
        <w:rPr/>
        <w:commentReference w:id="6"/>
      </w:r>
      <w:ins w:id="4" w:author="Unknown Author" w:date="2020-06-01T10:20:42Z">
        <w:r>
          <w:rPr/>
          <w:t>ases. This means less phenotypes (unique phenotypes / females) are needed to achieve the maximum gain and we would need to invest less into genotyping to achieve the maximum genetic gain. In contrast, at lower heritabilities we would need the invest even more to genotype more phenotyped females.</w:t>
        </w:r>
      </w:ins>
    </w:p>
    <w:p>
      <w:pPr>
        <w:pStyle w:val="TextBody"/>
        <w:spacing w:lineRule="auto" w:line="480"/>
        <w:jc w:val="both"/>
        <w:rPr/>
      </w:pPr>
      <w:r>
        <w:rPr/>
        <w:t>8</w:t>
      </w:r>
      <w:r>
        <w:rPr/>
        <w:t>. Genotype the phenotyped individuals</w:t>
      </w:r>
    </w:p>
    <w:p>
      <w:pPr>
        <w:pStyle w:val="TextBody"/>
        <w:spacing w:lineRule="auto" w:line="480"/>
        <w:jc w:val="both"/>
        <w:rPr/>
      </w:pPr>
      <w:r>
        <w:rPr/>
        <w:t xml:space="preserve">Bijma; </w:t>
      </w:r>
      <w:r>
        <w:rPr/>
        <w:t>Although increasing the size of the progeny groups increases the accuracy of the sire’s EBV, the number of sires with which the GS reference population is constructed has a much larger impact on the accuracy of genomic EBV. Thus, when the number of phenotypic records is limiting, it is optimal to genotype the individuals that produce the phenotype, not their parents</w:t>
      </w:r>
    </w:p>
    <w:p>
      <w:pPr>
        <w:pStyle w:val="TextBody"/>
        <w:spacing w:lineRule="auto" w:line="480"/>
        <w:jc w:val="both"/>
        <w:rPr>
          <w:highlight w:val="lightGray"/>
        </w:rPr>
      </w:pPr>
      <w:r>
        <w:rPr/>
        <w:t>Figure 1 shows that the increase in the accuracy of genomic EBV with the number of phenotypic records is strongly non-linear, showing a diminishing-return relationship. As a consequence, increasing the total number of phenotypic records increases accuracy less than proportional. I</w:t>
      </w:r>
    </w:p>
    <w:p>
      <w:pPr>
        <w:pStyle w:val="TextBody"/>
        <w:spacing w:lineRule="auto" w:line="480"/>
        <w:jc w:val="both"/>
        <w:rPr/>
      </w:pPr>
      <w:r>
        <w:rPr/>
      </w:r>
    </w:p>
    <w:p>
      <w:pPr>
        <w:pStyle w:val="TextBody"/>
        <w:spacing w:lineRule="auto" w:line="480" w:before="0" w:after="140"/>
        <w:jc w:val="both"/>
        <w:rPr/>
      </w:pPr>
      <w:r>
        <w:rPr/>
        <w:t>- not so bad for milk yield, since a lot of historical data available</w:t>
      </w:r>
    </w:p>
    <w:p>
      <w:pPr>
        <w:pStyle w:val="TextBody"/>
        <w:spacing w:lineRule="auto" w:line="480" w:before="0" w:after="140"/>
        <w:jc w:val="both"/>
        <w:rPr/>
      </w:pPr>
      <w:r>
        <w:rPr/>
      </w:r>
    </w:p>
    <w:p>
      <w:pPr>
        <w:pStyle w:val="TextBody"/>
        <w:spacing w:lineRule="auto" w:line="480" w:before="0" w:after="140"/>
        <w:jc w:val="both"/>
        <w:rPr>
          <w:b/>
          <w:b/>
          <w:bCs/>
        </w:rPr>
      </w:pPr>
      <w:r>
        <w:rPr>
          <w:b/>
          <w:bCs/>
        </w:rPr>
        <w:t>Limitations of the study</w:t>
      </w:r>
    </w:p>
    <w:p>
      <w:pPr>
        <w:pStyle w:val="TextBody"/>
        <w:spacing w:lineRule="auto" w:line="480" w:before="0" w:after="140"/>
        <w:jc w:val="both"/>
        <w:rPr>
          <w:b/>
          <w:b/>
          <w:bCs/>
        </w:rPr>
      </w:pPr>
      <w:r>
        <w:rPr>
          <w:b/>
          <w:bCs/>
        </w:rPr>
        <w:t xml:space="preserve">1. </w:t>
      </w:r>
      <w:r>
        <w:rPr>
          <w:b w:val="false"/>
          <w:bCs w:val="false"/>
        </w:rPr>
        <w:t>25K limit for the training population – cite break-even sizes from Bijma and sizes from Gonzales-Recio; also the genetic gain plateaued</w:t>
      </w:r>
    </w:p>
    <w:p>
      <w:pPr>
        <w:pStyle w:val="TextBody"/>
        <w:spacing w:lineRule="auto" w:line="480" w:before="0" w:after="140"/>
        <w:jc w:val="both"/>
        <w:rPr>
          <w:b/>
          <w:b/>
          <w:bCs/>
        </w:rPr>
      </w:pPr>
      <w:r>
        <w:rPr>
          <w:b w:val="false"/>
          <w:bCs w:val="false"/>
        </w:rPr>
        <w:t>2. Only additive effects, single-trait for all lactations (cite correlation between lactation yields)</w:t>
      </w:r>
    </w:p>
    <w:p>
      <w:pPr>
        <w:pStyle w:val="TextBody"/>
        <w:spacing w:lineRule="auto" w:line="480" w:before="0" w:after="140"/>
        <w:jc w:val="both"/>
        <w:rPr>
          <w:b w:val="false"/>
          <w:b w:val="false"/>
          <w:bCs w:val="false"/>
        </w:rPr>
      </w:pPr>
      <w:r>
        <w:rPr>
          <w:b/>
          <w:bCs/>
        </w:rPr>
      </w:r>
    </w:p>
    <w:p>
      <w:pPr>
        <w:pStyle w:val="TextBody"/>
        <w:spacing w:lineRule="auto" w:line="480" w:before="0" w:after="140"/>
        <w:jc w:val="both"/>
        <w:rPr>
          <w:b/>
          <w:b/>
          <w:bCs/>
        </w:rPr>
      </w:pPr>
      <w:r>
        <w:rPr>
          <w:b/>
          <w:bCs/>
        </w:rPr>
        <w:t>Implications</w:t>
      </w:r>
    </w:p>
    <w:p>
      <w:pPr>
        <w:pStyle w:val="TextBody"/>
        <w:spacing w:lineRule="auto" w:line="480" w:before="0" w:after="140"/>
        <w:jc w:val="both"/>
        <w:rPr>
          <w:b/>
          <w:b/>
          <w:bCs/>
        </w:rPr>
      </w:pPr>
      <w:r>
        <w:rPr>
          <w:b w:val="false"/>
          <w:bCs w:val="false"/>
        </w:rPr>
        <w:t>1. Genotypes also for parentage testing</w:t>
      </w:r>
    </w:p>
    <w:p>
      <w:pPr>
        <w:pStyle w:val="TextBody"/>
        <w:spacing w:lineRule="auto" w:line="480" w:before="0" w:after="140"/>
        <w:jc w:val="both"/>
        <w:rPr>
          <w:b/>
          <w:b/>
          <w:bCs/>
        </w:rPr>
      </w:pPr>
      <w:r>
        <w:rPr>
          <w:b w:val="false"/>
          <w:bCs w:val="false"/>
        </w:rPr>
        <w:t>2. Phenotypes also for management – how many records do you need to manage a herd</w:t>
      </w:r>
    </w:p>
    <w:p>
      <w:pPr>
        <w:pStyle w:val="TextBody"/>
        <w:spacing w:lineRule="auto" w:line="480" w:before="0" w:after="140"/>
        <w:jc w:val="both"/>
        <w:rPr>
          <w:b/>
          <w:b/>
          <w:bCs/>
        </w:rPr>
      </w:pPr>
      <w:r>
        <w:rPr>
          <w:b w:val="false"/>
          <w:bCs w:val="false"/>
        </w:rPr>
        <w:t>3. Cheaper updates with genomic selection!!!</w:t>
      </w:r>
    </w:p>
    <w:p>
      <w:pPr>
        <w:pStyle w:val="TextBody"/>
        <w:spacing w:lineRule="auto" w:line="480" w:before="0" w:after="140"/>
        <w:jc w:val="both"/>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1T20:23:0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Is this a good place for this?</w:t>
      </w:r>
    </w:p>
  </w:comment>
  <w:comment w:id="1"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2"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3"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4" w:author="Unknown Author" w:date="2020-06-01T14:46:0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Tole mi ni všeč, moram dodelat – tukaj potem “pomagajo” tudi historical data in pa še vse negotipizirane current ženske (ki jih v high-genotyping scenarijih ni, ker so vse genotpizirane). Mogoče je to bolj za accuracy?</w:t>
      </w:r>
    </w:p>
  </w:comment>
  <w:comment w:id="5" w:author="GORJANC Gregor" w:date="2020-05-24T22:38:00Z" w:initials="GG">
    <w:p>
      <w:r>
        <w:rPr>
          <w:rFonts w:eastAsia="DejaVu Sans" w:cs="DejaVu Sans"/>
          <w:kern w:val="0"/>
          <w:lang w:val="en-US" w:eastAsia="en-US" w:bidi="en-US"/>
        </w:rPr>
        <w:t>mention paper in intro</w:t>
      </w:r>
    </w:p>
  </w:comment>
  <w:comment w:id="6" w:author="Unknown Author" w:date="2020-05-18T11:09:00Z" w:initials="">
    <w:p>
      <w:r>
        <w:rPr>
          <w:rFonts w:eastAsia="DejaVu Sans" w:cs="DejaVu Sans"/>
          <w:kern w:val="0"/>
          <w:sz w:val="20"/>
          <w:lang w:val="en-US" w:eastAsia="en-US" w:bidi="en-US"/>
        </w:rPr>
        <w:t>This is more for accuracy though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582"/>
        </w:tabs>
        <w:ind w:left="1582" w:hanging="360"/>
      </w:pPr>
      <w:rPr>
        <w:rFonts w:ascii="Symbol" w:hAnsi="Symbol" w:cs="Symbol" w:hint="default"/>
        <w:rFonts w:cs="OpenSymbol"/>
      </w:rPr>
    </w:lvl>
    <w:lvl w:ilvl="1">
      <w:start w:val="1"/>
      <w:numFmt w:val="bullet"/>
      <w:lvlText w:val="◦"/>
      <w:lvlJc w:val="left"/>
      <w:pPr>
        <w:tabs>
          <w:tab w:val="num" w:pos="1942"/>
        </w:tabs>
        <w:ind w:left="1942" w:hanging="360"/>
      </w:pPr>
      <w:rPr>
        <w:rFonts w:ascii="OpenSymbol" w:hAnsi="OpenSymbol" w:cs="OpenSymbol" w:hint="default"/>
        <w:rFonts w:cs="OpenSymbol"/>
      </w:rPr>
    </w:lvl>
    <w:lvl w:ilvl="2">
      <w:start w:val="1"/>
      <w:numFmt w:val="bullet"/>
      <w:lvlText w:val="▪"/>
      <w:lvlJc w:val="left"/>
      <w:pPr>
        <w:tabs>
          <w:tab w:val="num" w:pos="2302"/>
        </w:tabs>
        <w:ind w:left="2302" w:hanging="360"/>
      </w:pPr>
      <w:rPr>
        <w:rFonts w:ascii="OpenSymbol" w:hAnsi="OpenSymbol" w:cs="OpenSymbol" w:hint="default"/>
        <w:rFonts w:cs="OpenSymbol"/>
      </w:rPr>
    </w:lvl>
    <w:lvl w:ilvl="3">
      <w:start w:val="1"/>
      <w:numFmt w:val="bullet"/>
      <w:lvlText w:val=""/>
      <w:lvlJc w:val="left"/>
      <w:pPr>
        <w:tabs>
          <w:tab w:val="num" w:pos="2662"/>
        </w:tabs>
        <w:ind w:left="2662" w:hanging="360"/>
      </w:pPr>
      <w:rPr>
        <w:rFonts w:ascii="Symbol" w:hAnsi="Symbol" w:cs="Symbol" w:hint="default"/>
        <w:rFonts w:cs="OpenSymbol"/>
      </w:rPr>
    </w:lvl>
    <w:lvl w:ilvl="4">
      <w:start w:val="1"/>
      <w:numFmt w:val="bullet"/>
      <w:lvlText w:val="◦"/>
      <w:lvlJc w:val="left"/>
      <w:pPr>
        <w:tabs>
          <w:tab w:val="num" w:pos="3022"/>
        </w:tabs>
        <w:ind w:left="3022" w:hanging="360"/>
      </w:pPr>
      <w:rPr>
        <w:rFonts w:ascii="OpenSymbol" w:hAnsi="OpenSymbol" w:cs="OpenSymbol" w:hint="default"/>
        <w:rFonts w:cs="OpenSymbol"/>
      </w:rPr>
    </w:lvl>
    <w:lvl w:ilvl="5">
      <w:start w:val="1"/>
      <w:numFmt w:val="bullet"/>
      <w:lvlText w:val="▪"/>
      <w:lvlJc w:val="left"/>
      <w:pPr>
        <w:tabs>
          <w:tab w:val="num" w:pos="3382"/>
        </w:tabs>
        <w:ind w:left="3382" w:hanging="360"/>
      </w:pPr>
      <w:rPr>
        <w:rFonts w:ascii="OpenSymbol" w:hAnsi="OpenSymbol" w:cs="OpenSymbol" w:hint="default"/>
        <w:rFonts w:cs="OpenSymbol"/>
      </w:rPr>
    </w:lvl>
    <w:lvl w:ilvl="6">
      <w:start w:val="1"/>
      <w:numFmt w:val="bullet"/>
      <w:lvlText w:val=""/>
      <w:lvlJc w:val="left"/>
      <w:pPr>
        <w:tabs>
          <w:tab w:val="num" w:pos="3742"/>
        </w:tabs>
        <w:ind w:left="3742" w:hanging="360"/>
      </w:pPr>
      <w:rPr>
        <w:rFonts w:ascii="Symbol" w:hAnsi="Symbol" w:cs="Symbol" w:hint="default"/>
        <w:rFonts w:cs="OpenSymbol"/>
      </w:rPr>
    </w:lvl>
    <w:lvl w:ilvl="7">
      <w:start w:val="1"/>
      <w:numFmt w:val="bullet"/>
      <w:lvlText w:val="◦"/>
      <w:lvlJc w:val="left"/>
      <w:pPr>
        <w:tabs>
          <w:tab w:val="num" w:pos="4102"/>
        </w:tabs>
        <w:ind w:left="4102" w:hanging="360"/>
      </w:pPr>
      <w:rPr>
        <w:rFonts w:ascii="OpenSymbol" w:hAnsi="OpenSymbol" w:cs="OpenSymbol" w:hint="default"/>
        <w:rFonts w:cs="OpenSymbol"/>
      </w:rPr>
    </w:lvl>
    <w:lvl w:ilvl="8">
      <w:start w:val="1"/>
      <w:numFmt w:val="bullet"/>
      <w:lvlText w:val="▪"/>
      <w:lvlJc w:val="left"/>
      <w:pPr>
        <w:tabs>
          <w:tab w:val="num" w:pos="4462"/>
        </w:tabs>
        <w:ind w:left="4462" w:hanging="360"/>
      </w:pPr>
      <w:rPr>
        <w:rFonts w:ascii="OpenSymbol" w:hAnsi="OpenSymbol" w:cs="OpenSymbol" w:hint="default"/>
        <w:rFonts w:cs="OpenSymbol"/>
      </w:rPr>
    </w:lvl>
  </w:abstractNum>
  <w:abstractNum w:abstractNumId="7">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862"/>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Lohit Devanagari"/>
      <w:b/>
      <w:bCs/>
      <w:sz w:val="48"/>
      <w:szCs w:val="4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e6f46"/>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4b1005"/>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e6f46"/>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4b10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LibreOffice/6.2.8.2$Linux_X86_64 LibreOffice_project/20$Build-2</Application>
  <Pages>9</Pages>
  <Words>2188</Words>
  <Characters>12556</Characters>
  <CharactersWithSpaces>14694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2020-06-01T22:23:55Z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