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bCs/>
        </w:rPr>
      </w:pPr>
      <w:r>
        <w:rPr/>
        <w:t>Abstract</w:t>
      </w:r>
      <w:r>
        <w:rPr/>
        <w:commentReference w:id="0"/>
      </w:r>
    </w:p>
    <w:p>
      <w:pPr>
        <w:pStyle w:val="Normal"/>
        <w:rPr/>
      </w:pPr>
      <w:r>
        <w:rPr>
          <w:b/>
          <w:bCs/>
        </w:rPr>
        <w:t>Background</w:t>
      </w:r>
      <w:r>
        <w:rPr>
          <w:bCs/>
        </w:rPr>
        <w:t>:</w:t>
      </w:r>
      <w:r>
        <w:rPr/>
        <w:t xml:space="preserve"> </w:t>
      </w:r>
      <w:r>
        <w:rPr>
          <w:highlight w:val="green"/>
        </w:rPr>
        <w:t>This paper evaluates the potential of maximizing genetic gain in dairy cattle breeding programmes by optimizing investment into phenotyping and genotyping.</w:t>
      </w:r>
      <w:r>
        <w:rPr/>
        <w:t xml:space="preserve">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 xml:space="preserve">genotyping scenarios not even using the total available resources. Compared to the conventional scenario, genomic scenarios also increased </w:t>
      </w:r>
      <w:commentRangeStart w:id="1"/>
      <w:r>
        <w:rPr/>
        <w:t>accuracy for young</w:t>
      </w:r>
      <w:r>
        <w:rPr/>
      </w:r>
      <w:commentRangeEnd w:id="1"/>
      <w:r>
        <w:commentReference w:id="1"/>
      </w:r>
      <w:r>
        <w:rPr/>
        <w:t xml:space="preserve">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highlight w:val="green"/>
        </w:rPr>
        <w:t>This paper evaluates the potential of maximizing genetic gain in dairy cattle breeding programmes by optimizing investment into phenotyping and genotyping.</w:t>
      </w:r>
      <w:r>
        <w:rPr/>
        <w:t xml:space="preserve">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w:t>
      </w:r>
      <w:del w:id="0" w:author="Unknown Author" w:date="2020-05-06T13:43:00Z">
        <w:r>
          <w:rPr/>
          <w:delText xml:space="preserve"> </w:delText>
        </w:r>
      </w:del>
      <w:r>
        <w:rPr/>
        <w:t xml:space="preserve"> increases accuracy for bulls to 0.99 in all cases and respectively decreases accuracy for </w:t>
      </w:r>
      <w:del w:id="1" w:author="Unknown Author" w:date="2020-05-06T13:44:00Z">
        <w:r>
          <w:rPr/>
          <w:delText xml:space="preserve"> </w:delText>
        </w:r>
      </w:del>
      <w:commentRangeStart w:id="3"/>
      <w:commentRangeStart w:id="4"/>
      <w:r>
        <w:rPr/>
        <w:commentReference w:id="2"/>
      </w:r>
      <w:r>
        <w:rPr/>
      </w:r>
      <w:commentRangeEnd w:id="4"/>
      <w:r>
        <w:commentReference w:id="4"/>
      </w:r>
      <w:r>
        <w:rPr/>
      </w:r>
      <w:commentRangeEnd w:id="3"/>
      <w:r>
        <w:commentReference w:id="3"/>
      </w:r>
      <w:r>
        <w:rPr/>
        <w:commentReference w:id="5"/>
      </w:r>
      <w:r>
        <w:rPr/>
        <w:t>non-phenotyped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1"/>
      <w:bookmarkStart w:id="3" w:name="ZOTERO_BREF_KGzl4mCEcDo41"/>
      <w:bookmarkStart w:id="4" w:name="ZOTERO_BREF_ZHPw6lgZ82GC"/>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of phenotype for training population of 0.78 and genomic prediction accuracy of 0.6</w:t>
      </w:r>
      <w:ins w:id="2" w:author="Unknown Author" w:date="2020-06-06T13:07:21Z">
        <w:r>
          <w:rPr>
            <w:highlight w:val="white"/>
          </w:rPr>
          <w:t>8</w:t>
        </w:r>
      </w:ins>
      <w:del w:id="3" w:author="Unknown Author" w:date="2020-06-06T13:07:21Z">
        <w:r>
          <w:rPr>
            <w:highlight w:val="white"/>
          </w:rPr>
          <w:delText>6</w:delText>
        </w:r>
      </w:del>
      <w:r>
        <w:rPr>
          <w:highlight w:val="white"/>
        </w:rPr>
        <w:t xml:space="preserve"> for non-phenotyped </w:t>
      </w:r>
      <w:r>
        <w:rPr/>
        <w:t>progeny</w:t>
      </w:r>
      <w:r>
        <w:rPr>
          <w:highlight w:val="white"/>
        </w:rPr>
        <w:t xml:space="preserve"> (Daetwyler et al, 2008).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w:t>
      </w:r>
      <w:ins w:id="4" w:author="Unknown Author" w:date="2020-06-06T13:07:28Z">
        <w:r>
          <w:rPr/>
          <w:t>4</w:t>
        </w:r>
      </w:ins>
      <w:del w:id="5" w:author="Unknown Author" w:date="2020-06-06T13:07:28Z">
        <w:r>
          <w:rPr/>
          <w:delText>3</w:delText>
        </w:r>
      </w:del>
      <w:r>
        <w:rPr/>
        <w:t xml:space="preserve">, 0.58, or </w:t>
      </w:r>
      <w:commentRangeStart w:id="7"/>
      <w:r>
        <w:rPr/>
        <w:commentReference w:id="6"/>
      </w:r>
      <w:r>
        <w:rPr/>
      </w:r>
      <w:commentRangeEnd w:id="7"/>
      <w:r>
        <w:commentReference w:id="7"/>
      </w:r>
      <w:r>
        <w:rPr/>
        <w:t>0.5</w:t>
      </w:r>
      <w:ins w:id="6" w:author="Unknown Author" w:date="2020-06-06T13:07:32Z">
        <w:r>
          <w:rPr/>
          <w:t>3</w:t>
        </w:r>
      </w:ins>
      <w:del w:id="7" w:author="Unknown Author" w:date="2020-06-06T13:07:31Z">
        <w:r>
          <w:rPr/>
          <w:delText>4</w:delText>
        </w:r>
      </w:del>
      <w:r>
        <w:rPr/>
        <w:t>.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w:t>
      </w:r>
      <w:ins w:id="8" w:author="Unknown Author" w:date="2020-05-25T18:44:00Z">
        <w:r>
          <w:rPr/>
          <w:t>They concluded,</w:t>
        </w:r>
      </w:ins>
      <w:ins w:id="9" w:author="Unknown Author" w:date="2020-05-25T18:45:00Z">
        <w:r>
          <w:rPr/>
          <w:t xml:space="preserve"> </w:t>
        </w:r>
      </w:ins>
      <w:ins w:id="10" w:author="Unknown Author" w:date="2020-06-01T15:36:20Z">
        <w:r>
          <w:rPr/>
          <w:t>that accuracy is a function of the number of records in the training population with diminishing returns, hence</w:t>
        </w:r>
      </w:ins>
      <w:del w:id="11" w:author="Unknown Author" w:date="2020-06-01T15:36:51Z">
        <w:r>
          <w:rPr/>
          <w:delText>that</w:delText>
        </w:r>
      </w:del>
      <w:r>
        <w:rPr/>
        <w:t xml:space="preserve"> additional phenotype records are most valuable when the number of records is small</w:t>
      </w:r>
      <w:del w:id="12" w:author="Unknown Author" w:date="2020-06-01T15:36:32Z">
        <w:r>
          <w:rPr/>
          <w:delText xml:space="preserve"> and that accuracy is a function of with</w:delText>
        </w:r>
      </w:del>
      <w:del w:id="13" w:author="GORJANC Gregor" w:date="2020-05-25T21:37:00Z">
        <w:r>
          <w:rPr/>
          <w:delText xml:space="preserve"> relationship</w:delText>
        </w:r>
      </w:del>
      <w:del w:id="14" w:author="Unknown Author" w:date="2020-06-01T15:35:50Z">
        <w:r>
          <w:rPr/>
          <w:delText>s</w:delText>
        </w:r>
      </w:del>
      <w:r>
        <w:rPr/>
        <w:commentReference w:id="8"/>
      </w:r>
      <w:r>
        <w:rPr/>
        <w:commentReference w:id="9"/>
      </w:r>
      <w:del w:id="15" w:author="GORJANC Gregor" w:date="2020-05-25T21:39:00Z">
        <w:r>
          <w:rPr/>
          <w:delText>and genetic gain</w:delText>
        </w:r>
      </w:del>
      <w:ins w:id="16" w:author="Unknown Author" w:date="2020-05-25T18:46:00Z">
        <w:r>
          <w:rPr/>
          <w:t>.</w:t>
        </w:r>
      </w:ins>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w:t>
      </w:r>
      <w:ins w:id="17" w:author="Unknown Author" w:date="2020-06-06T13:07:41Z">
        <w:r>
          <w:rPr>
            <w:highlight w:val="white"/>
          </w:rPr>
          <w:t>7</w:t>
        </w:r>
      </w:ins>
      <w:del w:id="18" w:author="Unknown Author" w:date="2020-06-06T13:07:41Z">
        <w:r>
          <w:rPr>
            <w:highlight w:val="white"/>
          </w:rPr>
          <w:delText>6</w:delText>
        </w:r>
      </w:del>
      <w:r>
        <w:rPr>
          <w:highlight w:val="white"/>
        </w:rPr>
        <w:t>, 0.8</w:t>
      </w:r>
      <w:ins w:id="19" w:author="Unknown Author" w:date="2020-06-06T13:08:00Z">
        <w:r>
          <w:rPr>
            <w:highlight w:val="white"/>
          </w:rPr>
          <w:t>6</w:t>
        </w:r>
      </w:ins>
      <w:del w:id="20" w:author="Unknown Author" w:date="2020-06-06T13:07:46Z">
        <w:r>
          <w:rPr>
            <w:highlight w:val="white"/>
          </w:rPr>
          <w:delText>5</w:delText>
        </w:r>
      </w:del>
      <w:r>
        <w:rPr>
          <w:highlight w:val="white"/>
        </w:rPr>
        <w:t>, or 0.</w:t>
      </w:r>
      <w:del w:id="21" w:author="Unknown Author" w:date="2020-06-06T13:07:48Z">
        <w:r>
          <w:rPr>
            <w:highlight w:val="white"/>
          </w:rPr>
          <w:delText>89</w:delText>
        </w:r>
      </w:del>
      <w:ins w:id="22" w:author="Unknown Author" w:date="2020-06-06T13:07:56Z">
        <w:r>
          <w:rPr>
            <w:highlight w:val="white"/>
          </w:rPr>
          <w:t>91</w:t>
        </w:r>
      </w:ins>
      <w:r>
        <w:rPr>
          <w:highlight w:val="white"/>
        </w:rPr>
        <w:t>.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highlight w:val="white"/>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green"/>
        </w:rPr>
        <w:t>The aim of this study was to evaluate the potential of maximizing genetic gain by optimizing investment into phenotyping and genotyping in dairy breeding p</w:t>
      </w:r>
      <w:ins w:id="23" w:author="Janez Jenko" w:date="2020-05-23T18:52:00Z">
        <w:r>
          <w:rPr>
            <w:highlight w:val="green"/>
          </w:rPr>
          <w:t>r</w:t>
        </w:r>
      </w:ins>
      <w:r>
        <w:rPr>
          <w:highlight w:val="green"/>
        </w:rPr>
        <w:t>ogrammes.</w:t>
      </w:r>
      <w:r>
        <w:rPr/>
        <w:t xml:space="preserve">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highlight w:val="green"/>
        </w:rPr>
        <w:t>The study aimed to evaluate the effect of different investment into phenotyping and genotyping with a simulation of a case-study of a small dairy breeding programme</w:t>
      </w:r>
      <w:r>
        <w:rPr/>
        <w:t xml:space="preserv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(ICAR, 2017).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w:t>
      </w:r>
      <w:r>
        <w:rPr>
          <w:highlight w:val="white"/>
        </w:rPr>
        <w:t xml:space="preserve"> based on genomic </w:t>
      </w:r>
      <w:r>
        <w:rPr/>
        <w:t>prediction</w:t>
      </w:r>
      <w:r>
        <w:rPr>
          <w:highlight w:val="white"/>
        </w:rPr>
        <w:t>. We varied the number of genomically te</w:t>
      </w:r>
      <w:r>
        <w:rPr/>
        <w:t>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del w:id="24" w:author="Janez Jenko" w:date="2020-05-23T19:20:00Z">
        <w:r>
          <w:rPr>
            <w:highlight w:val="white"/>
          </w:rPr>
          <w:delText xml:space="preserve"> </w:delText>
        </w:r>
      </w:del>
      <w:r>
        <w:rPr>
          <w:highlight w:val="white"/>
        </w:rPr>
        <w:t>.</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rStyle w:val="Annotationreference"/>
          <w:rFonts w:cs="Mang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9552"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648"/>
        <w:gridCol w:w="1308"/>
        <w:gridCol w:w="1308"/>
        <w:gridCol w:w="1304"/>
        <w:gridCol w:w="1308"/>
        <w:gridCol w:w="1308"/>
        <w:gridCol w:w="1315"/>
        <w:gridCol w:w="1"/>
        <w:gridCol w:w="50"/>
      </w:tblGrid>
      <w:tr>
        <w:trPr>
          <w:cantSplit w:val="true"/>
        </w:trPr>
        <w:tc>
          <w:tcPr>
            <w:tcW w:w="1648"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1" w:type="dxa"/>
            <w:gridSpan w:val="6"/>
            <w:tcBorders>
              <w:top w:val="single" w:sz="8" w:space="0" w:color="000000"/>
              <w:bottom w:val="single" w:sz="2" w:space="0" w:color="000000"/>
              <w:insideH w:val="single" w:sz="2" w:space="0" w:color="000000"/>
            </w:tcBorders>
            <w:shd w:fill="auto" w:val="clear"/>
          </w:tcPr>
          <w:p>
            <w:pPr>
              <w:pStyle w:val="TableContents"/>
              <w:spacing w:lineRule="auto" w:line="276" w:before="86" w:after="58"/>
              <w:jc w:val="center"/>
              <w:rPr/>
            </w:pPr>
            <w:r>
              <w:rPr/>
              <w:t>Scenario</w:t>
            </w:r>
          </w:p>
        </w:tc>
        <w:tc>
          <w:tcPr>
            <w:tcW w:w="51" w:type="dxa"/>
            <w:gridSpan w:val="2"/>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8" w:type="dxa"/>
            <w:vMerge w:val="continue"/>
            <w:tcBorders>
              <w:top w:val="single" w:sz="8" w:space="0" w:color="000000"/>
            </w:tcBorders>
            <w:shd w:fill="auto" w:val="clear"/>
            <w:vAlign w:val="center"/>
          </w:tcPr>
          <w:p>
            <w:pPr>
              <w:pStyle w:val="Normal"/>
              <w:snapToGrid w:val="false"/>
              <w:spacing w:before="0" w:after="240"/>
              <w:rPr/>
            </w:pPr>
            <w:r>
              <w:rPr/>
            </w:r>
          </w:p>
        </w:tc>
        <w:tc>
          <w:tcPr>
            <w:tcW w:w="1308" w:type="dxa"/>
            <w:tcBorders>
              <w:top w:val="single" w:sz="2" w:space="0" w:color="000000"/>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G10</w:t>
            </w:r>
          </w:p>
        </w:tc>
        <w:tc>
          <w:tcPr>
            <w:tcW w:w="1308" w:type="dxa"/>
            <w:tcBorders>
              <w:top w:val="single" w:sz="2" w:space="0" w:color="000000"/>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G9</w:t>
            </w:r>
          </w:p>
        </w:tc>
        <w:tc>
          <w:tcPr>
            <w:tcW w:w="1304" w:type="dxa"/>
            <w:tcBorders>
              <w:top w:val="single" w:sz="2" w:space="0" w:color="000000"/>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G8</w:t>
            </w:r>
          </w:p>
        </w:tc>
        <w:tc>
          <w:tcPr>
            <w:tcW w:w="1308" w:type="dxa"/>
            <w:tcBorders>
              <w:top w:val="single" w:sz="2" w:space="0" w:color="000000"/>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G5</w:t>
            </w:r>
          </w:p>
        </w:tc>
        <w:tc>
          <w:tcPr>
            <w:tcW w:w="1308" w:type="dxa"/>
            <w:tcBorders>
              <w:top w:val="single" w:sz="2" w:space="0" w:color="000000"/>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G2</w:t>
            </w:r>
          </w:p>
        </w:tc>
        <w:tc>
          <w:tcPr>
            <w:tcW w:w="1366"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2" w:type="dxa"/>
              <w:bottom w:w="55" w:type="dxa"/>
              <w:right w:w="55" w:type="dxa"/>
            </w:tcMar>
          </w:tcPr>
          <w:p>
            <w:pPr>
              <w:pStyle w:val="TableContents"/>
              <w:spacing w:lineRule="auto" w:line="276" w:before="86" w:after="58"/>
              <w:jc w:val="center"/>
              <w:rPr/>
            </w:pPr>
            <w:r>
              <w:rPr/>
              <w:t>G1</w:t>
            </w:r>
          </w:p>
        </w:tc>
      </w:tr>
      <w:tr>
        <w:trPr>
          <w:trHeight w:val="727" w:hRule="atLeast"/>
          <w:cantSplit w:val="true"/>
        </w:trPr>
        <w:tc>
          <w:tcPr>
            <w:tcW w:w="1648" w:type="dxa"/>
            <w:tcBorders>
              <w:top w:val="single" w:sz="8" w:space="0" w:color="000000"/>
            </w:tcBorders>
            <w:shd w:color="auto" w:fill="FFFFFF" w:val="cle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4"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16" w:type="dxa"/>
            <w:gridSpan w:val="2"/>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0" w:type="dxa"/>
            <w:tcBorders/>
            <w:shd w:fill="auto" w:val="clear"/>
          </w:tcPr>
          <w:p>
            <w:pPr>
              <w:pStyle w:val="Normal"/>
              <w:snapToGrid w:val="false"/>
              <w:spacing w:lineRule="auto" w:line="276" w:before="86" w:after="58"/>
              <w:rPr/>
            </w:pPr>
            <w:r>
              <w:rPr/>
            </w:r>
          </w:p>
        </w:tc>
      </w:tr>
      <w:tr>
        <w:trPr>
          <w:trHeight w:val="727" w:hRule="atLeast"/>
          <w:cantSplit w:val="true"/>
        </w:trPr>
        <w:tc>
          <w:tcPr>
            <w:tcW w:w="1648" w:type="dxa"/>
            <w:tcBorders/>
            <w:shd w:color="auto" w:fill="FFFFFF" w:val="clear"/>
            <w:vAlign w:val="center"/>
          </w:tcPr>
          <w:p>
            <w:pPr>
              <w:pStyle w:val="TableContents"/>
              <w:spacing w:lineRule="auto" w:line="276" w:before="86" w:after="58"/>
              <w:rPr/>
            </w:pPr>
            <w:r>
              <w:rPr/>
              <w:t>$P:$G = 1:1</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4"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16" w:type="dxa"/>
            <w:gridSpan w:val="2"/>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0" w:type="dxa"/>
            <w:tcBorders/>
            <w:shd w:fill="auto" w:val="clear"/>
          </w:tcPr>
          <w:p>
            <w:pPr>
              <w:pStyle w:val="Normal"/>
              <w:snapToGrid w:val="false"/>
              <w:spacing w:lineRule="auto" w:line="276" w:before="86" w:after="58"/>
              <w:rPr/>
            </w:pPr>
            <w:r>
              <w:rPr/>
            </w:r>
          </w:p>
        </w:tc>
      </w:tr>
      <w:tr>
        <w:trPr>
          <w:trHeight w:val="727" w:hRule="atLeast"/>
          <w:cantSplit w:val="true"/>
        </w:trPr>
        <w:tc>
          <w:tcPr>
            <w:tcW w:w="1648" w:type="dxa"/>
            <w:tcBorders>
              <w:top w:val="single" w:sz="8" w:space="0" w:color="000000"/>
              <w:bottom w:val="single" w:sz="8" w:space="0" w:color="000000"/>
              <w:insideH w:val="single" w:sz="8" w:space="0" w:color="000000"/>
            </w:tcBorders>
            <w:shd w:color="auto" w:fill="FFFFFF" w:val="clear"/>
            <w:vAlign w:val="center"/>
          </w:tcPr>
          <w:p>
            <w:pPr>
              <w:pStyle w:val="TableContents"/>
              <w:spacing w:lineRule="auto" w:line="276" w:before="86" w:after="58"/>
              <w:rPr/>
            </w:pPr>
            <w:r>
              <w:rPr/>
              <w:t>$P:$G = 2:1</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4"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16" w:type="dxa"/>
            <w:gridSpan w:val="2"/>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0" w:type="dxa"/>
            <w:tcBorders/>
            <w:shd w:fill="auto" w:val="clear"/>
          </w:tcPr>
          <w:p>
            <w:pPr>
              <w:pStyle w:val="Normal"/>
              <w:snapToGrid w:val="false"/>
              <w:spacing w:lineRule="auto" w:line="276" w:before="86" w:after="58"/>
              <w:rPr/>
            </w:pPr>
            <w:r>
              <w:rPr/>
            </w:r>
          </w:p>
        </w:tc>
      </w:tr>
    </w:tbl>
    <w:p>
      <w:pPr>
        <w:pStyle w:val="Heading2"/>
        <w:numPr>
          <w:ilvl w:val="1"/>
          <w:numId w:val="2"/>
        </w:numPr>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w:t>
      </w:r>
      <w:r>
        <w:rPr/>
        <w:commentReference w:id="10"/>
      </w:r>
      <w:r>
        <w:rPr/>
        <w:commentReference w:id="11"/>
      </w:r>
      <w:r>
        <w:rPr>
          <w:highlight w:val="white"/>
        </w:rPr>
        <w:t>.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0" w:val="0000" w:noHBand="0" w:lastColumn="0" w:firstColumn="0" w:lastRow="0" w:firstRow="0"/>
      </w:tblPr>
      <w:tblGrid>
        <w:gridCol w:w="1704"/>
        <w:gridCol w:w="2640"/>
        <w:gridCol w:w="2647"/>
        <w:gridCol w:w="2641"/>
      </w:tblGrid>
      <w:tr>
        <w:trPr>
          <w:trHeight w:val="360" w:hRule="exact"/>
          <w:cantSplit w:val="true"/>
        </w:trPr>
        <w:tc>
          <w:tcPr>
            <w:tcW w:w="1704" w:type="dxa"/>
            <w:vMerge w:val="restart"/>
            <w:tcBorders>
              <w:top w:val="single" w:sz="8" w:space="0" w:color="000001"/>
              <w:bottom w:val="single" w:sz="8" w:space="0" w:color="000001"/>
              <w:insideH w:val="single" w:sz="8" w:space="0" w:color="000001"/>
            </w:tcBorders>
            <w:shd w:color="auto" w:fill="FFFFFF" w:val="clear"/>
            <w:vAlign w:val="center"/>
          </w:tcPr>
          <w:p>
            <w:pPr>
              <w:pStyle w:val="Standard"/>
              <w:spacing w:before="57" w:after="57"/>
              <w:ind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1"/>
              <w:bottom w:val="single" w:sz="2" w:space="0" w:color="000001"/>
              <w:insideH w:val="single" w:sz="2"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cantSplit w:val="true"/>
        </w:trPr>
        <w:tc>
          <w:tcPr>
            <w:tcW w:w="1704" w:type="dxa"/>
            <w:vMerge w:val="continue"/>
            <w:tcBorders>
              <w:top w:val="single" w:sz="8" w:space="0" w:color="000001"/>
              <w:bottom w:val="single" w:sz="8" w:space="0" w:color="000001"/>
              <w:insideH w:val="single" w:sz="8" w:space="0" w:color="000001"/>
            </w:tcBorders>
            <w:shd w:color="auto" w:fill="FFFFFF" w:val="clear"/>
            <w:vAlign w:val="center"/>
          </w:tcPr>
          <w:p>
            <w:pPr>
              <w:pStyle w:val="Normal"/>
              <w:snapToGrid w:val="false"/>
              <w:spacing w:before="0" w:after="240"/>
              <w:rPr/>
            </w:pPr>
            <w:r>
              <w:rPr/>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2:1</w:t>
            </w:r>
          </w:p>
        </w:tc>
      </w:tr>
      <w:tr>
        <w:trPr>
          <w:trHeight w:val="360" w:hRule="exact"/>
        </w:trPr>
        <w:tc>
          <w:tcPr>
            <w:tcW w:w="1704"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r>
      <w:tr>
        <w:trPr>
          <w:trHeight w:val="360" w:hRule="exact"/>
        </w:trPr>
        <w:tc>
          <w:tcPr>
            <w:tcW w:w="9632" w:type="dxa"/>
            <w:gridSpan w:val="4"/>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7.26</w:t>
            </w:r>
            <w:r>
              <w:rPr>
                <w:color w:val="000000"/>
                <w:szCs w:val="24"/>
                <w:vertAlign w:val="subscript"/>
                <w:lang w:val="en-GB"/>
              </w:rPr>
              <w:t>0.19</w:t>
            </w:r>
            <w:r>
              <w:rPr>
                <w:color w:val="000000"/>
                <w:szCs w:val="24"/>
                <w:vertAlign w:val="superscript"/>
                <w:lang w:val="en-GB"/>
              </w:rPr>
              <w:t>c,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7.33</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7.28</w:t>
            </w:r>
            <w:r>
              <w:rPr>
                <w:color w:val="000000"/>
                <w:szCs w:val="24"/>
                <w:vertAlign w:val="subscript"/>
                <w:lang w:val="en-GB"/>
              </w:rPr>
              <w:t>0.17</w:t>
            </w:r>
            <w:r>
              <w:rPr>
                <w:color w:val="000000"/>
                <w:szCs w:val="24"/>
                <w:vertAlign w:val="superscript"/>
                <w:lang w:val="en-GB"/>
              </w:rPr>
              <w:t>c,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hd w:val="clear" w:color="auto" w:fill="EEEEEE"/>
              <w:spacing w:lineRule="auto" w:line="360"/>
              <w:ind w:hanging="0"/>
              <w:jc w:val="both"/>
              <w:rPr/>
            </w:pPr>
            <w:r>
              <w:rPr>
                <w:lang w:val="en-GB"/>
              </w:rPr>
              <w:t>7.11</w:t>
            </w:r>
            <w:r>
              <w:rPr>
                <w:vertAlign w:val="subscript"/>
                <w:lang w:val="en-GB"/>
              </w:rPr>
              <w:t>0.16</w:t>
            </w:r>
            <w:r>
              <w:rPr>
                <w:vertAlign w:val="superscript"/>
                <w:lang w:val="en-GB"/>
              </w:rPr>
              <w:t>e,A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7.27</w:t>
            </w:r>
            <w:r>
              <w:rPr>
                <w:color w:val="000000"/>
                <w:szCs w:val="24"/>
                <w:vertAlign w:val="subscript"/>
                <w:lang w:val="en-GB"/>
              </w:rPr>
              <w:t>0.28</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7.24</w:t>
            </w:r>
            <w:r>
              <w:rPr>
                <w:vertAlign w:val="subscript"/>
                <w:lang w:val="en-GB"/>
              </w:rPr>
              <w:t>0.22</w:t>
            </w:r>
            <w:r>
              <w:rPr>
                <w:vertAlign w:val="superscript"/>
                <w:lang w:val="en-GB"/>
              </w:rPr>
              <w:t>c,A</w:t>
            </w:r>
          </w:p>
        </w:tc>
      </w:tr>
      <w:tr>
        <w:trPr>
          <w:trHeight w:val="360" w:hRule="exact"/>
        </w:trPr>
        <w:tc>
          <w:tcPr>
            <w:tcW w:w="9632" w:type="dxa"/>
            <w:gridSpan w:val="4"/>
            <w:tcBorders>
              <w:top w:val="single" w:sz="4" w:space="0" w:color="000001"/>
              <w:bottom w:val="single" w:sz="8" w:space="0" w:color="000000"/>
              <w:insideH w:val="single" w:sz="8" w:space="0" w:color="000000"/>
            </w:tcBorders>
            <w:shd w:color="auto" w:fill="FFFFFF" w:val="clear"/>
            <w:vAlign w:val="center"/>
          </w:tcPr>
          <w:p>
            <w:pPr>
              <w:pStyle w:val="Standard"/>
              <w:spacing w:lineRule="auto" w:line="360"/>
              <w:ind w:hanging="0"/>
              <w:jc w:val="center"/>
              <w:rPr/>
            </w:pPr>
            <w:r>
              <w:rPr>
                <w:b/>
                <w:bCs/>
                <w:color w:val="000000"/>
                <w:szCs w:val="24"/>
                <w:highlight w:val="white"/>
                <w:lang w:val="en-GB"/>
              </w:rPr>
              <w:t>Without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7.05</w:t>
            </w:r>
            <w:r>
              <w:rPr>
                <w:color w:val="000000"/>
                <w:szCs w:val="24"/>
                <w:vertAlign w:val="subscript"/>
                <w:lang w:val="en-GB"/>
              </w:rPr>
              <w:t>0.27</w:t>
            </w:r>
            <w:r>
              <w:rPr>
                <w:color w:val="000000"/>
                <w:szCs w:val="24"/>
                <w:vertAlign w:val="superscript"/>
                <w:lang w:val="en-GB"/>
              </w:rPr>
              <w:t>de,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6.96</w:t>
            </w:r>
            <w:r>
              <w:rPr>
                <w:color w:val="000000"/>
                <w:szCs w:val="24"/>
                <w:vertAlign w:val="subscript"/>
                <w:lang w:val="en-GB"/>
              </w:rPr>
              <w:t>0.17</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7.00</w:t>
            </w:r>
            <w:r>
              <w:rPr>
                <w:color w:val="000000"/>
                <w:szCs w:val="24"/>
                <w:vertAlign w:val="subscript"/>
                <w:lang w:val="en-GB"/>
              </w:rPr>
              <w:t>0.30</w:t>
            </w:r>
            <w:r>
              <w:rPr>
                <w:color w:val="000000"/>
                <w:szCs w:val="24"/>
                <w:vertAlign w:val="superscript"/>
                <w:lang w:val="en-GB"/>
              </w:rPr>
              <w:t>de,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lang w:val="en-GB"/>
              </w:rPr>
              <w:t>6.78</w:t>
            </w:r>
            <w:r>
              <w:rPr>
                <w:vertAlign w:val="subscript"/>
                <w:lang w:val="en-GB"/>
              </w:rPr>
              <w:t>0.29</w:t>
            </w:r>
            <w:r>
              <w:rPr>
                <w:vertAlign w:val="superscript"/>
                <w:lang w:val="en-GB"/>
              </w:rPr>
              <w:t>f,A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6.92</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7.01</w:t>
            </w:r>
            <w:r>
              <w:rPr>
                <w:vertAlign w:val="subscript"/>
                <w:lang w:val="en-GB"/>
              </w:rPr>
              <w:t>0.23</w:t>
            </w:r>
            <w:r>
              <w:rPr>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grey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pPr>
      <w:r>
        <w:rPr>
          <w:rFonts w:eastAsia="Wingdings"/>
          <w:b/>
          <w:bCs/>
          <w:color w:val="000000"/>
          <w:highlight w:val="white"/>
        </w:rPr>
        <w:t>Table S2. Intensity of sire selection by scenario and relative cost of phenotyping to genotyping.</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2410"/>
        <w:gridCol w:w="2409"/>
        <w:gridCol w:w="2409"/>
        <w:gridCol w:w="2409"/>
      </w:tblGrid>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1:2</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1:1</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ind w:hanging="0"/>
              <w:jc w:val="center"/>
              <w:rPr/>
            </w:pPr>
            <w:r>
              <w:rPr>
                <w:b/>
                <w:bCs/>
                <w:color w:val="000000"/>
                <w:szCs w:val="24"/>
                <w:lang w:val="en-GB"/>
              </w:rPr>
              <w:t>$P:$G = 2:1</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C11</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r>
              <w:rPr/>
              <w:commentReference w:id="12"/>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0.80</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G10</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1.32</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1.71</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2.02</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G9</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1.76</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2.06</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2.48</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G8</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1.99</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2.27</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2.52</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G5</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2.40</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2.85</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G2</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2.86</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3.11</w:t>
            </w:r>
          </w:p>
        </w:tc>
      </w:tr>
      <w:tr>
        <w:trPr>
          <w:trHeight w:val="363" w:hRule="exact"/>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b/>
                <w:b/>
                <w:bCs/>
                <w:color w:val="000000"/>
                <w:szCs w:val="24"/>
                <w:highlight w:val="white"/>
                <w:lang w:val="en-GB"/>
              </w:rPr>
            </w:pPr>
            <w:r>
              <w:rPr>
                <w:b/>
                <w:bCs/>
                <w:color w:val="000000"/>
                <w:szCs w:val="24"/>
                <w:highlight w:val="white"/>
                <w:lang w:val="en-GB"/>
              </w:rPr>
              <w:t>G1</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2.70</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2.93</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3.14</w:t>
            </w:r>
          </w:p>
        </w:tc>
      </w:tr>
    </w:tbl>
    <w:p>
      <w:pPr>
        <w:pStyle w:val="Normal"/>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grey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w:t>
      </w:r>
      <w:r>
        <w:rPr/>
        <w:commentReference w:id="13"/>
      </w:r>
      <w:r>
        <w:rPr/>
        <w:commentReference w:id="14"/>
      </w:r>
      <w:r>
        <w:rPr/>
        <w:t xml:space="preserve">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r>
        <w:rPr/>
        <w:commentReference w:id="15"/>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130"/>
        <w:gridCol w:w="1401"/>
        <w:gridCol w:w="1401"/>
        <w:gridCol w:w="1401"/>
        <w:gridCol w:w="1"/>
        <w:gridCol w:w="1400"/>
        <w:gridCol w:w="1401"/>
        <w:gridCol w:w="1402"/>
        <w:gridCol w:w="2"/>
        <w:gridCol w:w="68"/>
      </w:tblGrid>
      <w:tr>
        <w:trPr>
          <w:trHeight w:val="360" w:hRule="exact"/>
        </w:trPr>
        <w:tc>
          <w:tcPr>
            <w:tcW w:w="1130" w:type="dxa"/>
            <w:tcBorders>
              <w:top w:val="single" w:sz="8" w:space="0" w:color="000000"/>
            </w:tcBorders>
            <w:shd w:color="auto" w:fill="FFFFFF" w:val="clear"/>
            <w:vAlign w:val="center"/>
          </w:tcPr>
          <w:p>
            <w:pPr>
              <w:pStyle w:val="Standard"/>
              <w:snapToGrid w:val="false"/>
              <w:spacing w:lineRule="auto" w:line="360"/>
              <w:ind w:hanging="0"/>
              <w:jc w:val="both"/>
              <w:rPr>
                <w:color w:val="000000"/>
                <w:szCs w:val="24"/>
                <w:highlight w:val="white"/>
                <w:lang w:val="en-GB"/>
              </w:rPr>
            </w:pPr>
            <w:r>
              <w:rPr>
                <w:color w:val="000000"/>
                <w:szCs w:val="24"/>
                <w:highlight w:val="white"/>
                <w:lang w:val="en-GB"/>
              </w:rPr>
            </w:r>
          </w:p>
        </w:tc>
        <w:tc>
          <w:tcPr>
            <w:tcW w:w="8409" w:type="dxa"/>
            <w:gridSpan w:val="8"/>
            <w:tcBorders>
              <w:top w:val="single" w:sz="8" w:space="0" w:color="000000"/>
              <w:bottom w:val="single" w:sz="2" w:space="0" w:color="000000"/>
              <w:insideH w:val="single" w:sz="2" w:space="0" w:color="000000"/>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c>
          <w:tcPr>
            <w:tcW w:w="68" w:type="dxa"/>
            <w:tcBorders>
              <w:top w:val="single" w:sz="8" w:space="0" w:color="000000"/>
            </w:tcBorders>
            <w:shd w:fill="auto" w:val="clear"/>
          </w:tcPr>
          <w:p>
            <w:pPr>
              <w:pStyle w:val="Normal"/>
              <w:snapToGrid w:val="false"/>
              <w:spacing w:before="0" w:after="240"/>
              <w:rPr/>
            </w:pPr>
            <w:r>
              <w:rPr/>
            </w:r>
          </w:p>
        </w:tc>
      </w:tr>
      <w:tr>
        <w:trPr>
          <w:trHeight w:val="786" w:hRule="exact"/>
          <w:cantSplit w:val="true"/>
        </w:trPr>
        <w:tc>
          <w:tcPr>
            <w:tcW w:w="1130" w:type="dxa"/>
            <w:tcBorders/>
            <w:shd w:color="auto" w:fill="FFFFFF" w:val="clear"/>
            <w:vAlign w:val="center"/>
          </w:tcPr>
          <w:p>
            <w:pPr>
              <w:pStyle w:val="Normal"/>
              <w:snapToGrid w:val="false"/>
              <w:spacing w:before="0" w:after="240"/>
              <w:rPr/>
            </w:pPr>
            <w:r>
              <w:rPr/>
            </w:r>
          </w:p>
        </w:tc>
        <w:tc>
          <w:tcPr>
            <w:tcW w:w="4204" w:type="dxa"/>
            <w:gridSpan w:val="4"/>
            <w:tcBorders>
              <w:top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 initial TP</w:t>
            </w:r>
          </w:p>
        </w:tc>
        <w:tc>
          <w:tcPr>
            <w:tcW w:w="4205" w:type="dxa"/>
            <w:gridSpan w:val="4"/>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Without initial TP</w:t>
            </w:r>
          </w:p>
        </w:tc>
        <w:tc>
          <w:tcPr>
            <w:tcW w:w="68" w:type="dxa"/>
            <w:tcBorders/>
            <w:shd w:fill="auto" w:val="clear"/>
          </w:tcPr>
          <w:p>
            <w:pPr>
              <w:pStyle w:val="Normal"/>
              <w:snapToGrid w:val="false"/>
              <w:spacing w:before="0" w:after="240"/>
              <w:rPr/>
            </w:pPr>
            <w:r>
              <w:rPr/>
            </w:r>
          </w:p>
        </w:tc>
      </w:tr>
      <w:tr>
        <w:trPr>
          <w:trHeight w:val="786" w:hRule="exact"/>
          <w:cantSplit w:val="true"/>
        </w:trPr>
        <w:tc>
          <w:tcPr>
            <w:tcW w:w="1130"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Normal"/>
              <w:snapToGrid w:val="false"/>
              <w:spacing w:before="0" w:after="240"/>
              <w:rPr/>
            </w:pPr>
            <w:r>
              <w:rPr/>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1401" w:type="dxa"/>
            <w:gridSpan w:val="2"/>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2" w:type="dxa"/>
            <w:tcBorders>
              <w:top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70" w:type="dxa"/>
            <w:gridSpan w:val="2"/>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10"/>
            <w:tcBorders>
              <w:top w:val="single" w:sz="4" w:space="0" w:color="000000"/>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rStyle w:val="CommentReference6"/>
                <w:rFonts w:eastAsia="Noto Sans CJK SC Regular" w:cs="Mangal"/>
                <w:color w:val="000000"/>
                <w:lang w:val="en-GB" w:bidi="hi-IN"/>
              </w:rPr>
            </w:pPr>
            <w:commentRangeStart w:id="16"/>
            <w:r>
              <w:rPr>
                <w:b/>
                <w:bCs/>
                <w:highlight w:val="white"/>
                <w:lang w:val="en-GB"/>
              </w:rPr>
              <w:t>Male candidates</w:t>
            </w:r>
            <w:commentRangeEnd w:id="16"/>
            <w:r>
              <w:commentReference w:id="16"/>
            </w:r>
            <w:r>
              <w:rPr>
                <w:b/>
                <w:bCs/>
                <w:highlight w:val="white"/>
                <w:lang w:val="en-GB"/>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 ,A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S2</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0.03</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0.02</w:t>
            </w:r>
            <w:r>
              <w:rPr>
                <w:vertAlign w:val="superscript"/>
                <w:lang w:val="en-GB"/>
              </w:rPr>
              <w:t>bc,AB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bc,B</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0.03</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0.02</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bc,C *</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c,B *</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bc,B</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bc,A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10"/>
            <w:tcBorders>
              <w:top w:val="single" w:sz="4" w:space="0" w:color="000000"/>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Sires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0.04</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0.03</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0.05</w:t>
            </w:r>
            <w:r>
              <w:rPr>
                <w:vertAlign w:val="superscript"/>
                <w:lang w:val="en-GB"/>
              </w:rPr>
              <w:t>b,A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bc,A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0.06</w:t>
            </w:r>
            <w:r>
              <w:rPr>
                <w:vertAlign w:val="superscript"/>
                <w:lang w:val="en-GB"/>
              </w:rPr>
              <w:t>b,A *</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0.04</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0.06</w:t>
            </w:r>
            <w:r>
              <w:rPr>
                <w:vertAlign w:val="superscript"/>
                <w:lang w:val="en-GB"/>
              </w:rPr>
              <w:t>bc,AB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0.05</w:t>
            </w:r>
            <w:r>
              <w:rPr>
                <w:vertAlign w:val="superscript"/>
                <w:lang w:val="en-GB"/>
              </w:rPr>
              <w:t>bc,A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0.03</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0.06</w:t>
            </w:r>
            <w:r>
              <w:rPr>
                <w:vertAlign w:val="superscript"/>
                <w:lang w:val="en-GB"/>
              </w:rPr>
              <w:t>c,B</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0.05</w:t>
            </w:r>
            <w:r>
              <w:rPr>
                <w:vertAlign w:val="superscript"/>
                <w:lang w:val="en-GB"/>
              </w:rPr>
              <w:t>b,A *</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0.07</w:t>
            </w:r>
            <w:r>
              <w:rPr>
                <w:vertAlign w:val="superscript"/>
                <w:lang w:val="en-GB"/>
              </w:rPr>
              <w:t>b,A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0.07</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de,A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0.04</w:t>
            </w:r>
            <w:r>
              <w:rPr>
                <w:vertAlign w:val="superscript"/>
                <w:lang w:val="en-GB"/>
              </w:rPr>
              <w:t>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bc,A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0.03</w:t>
            </w:r>
            <w:r>
              <w:rPr>
                <w:vertAlign w:val="superscript"/>
                <w:lang w:val="en-GB"/>
              </w:rPr>
              <w:t>b,A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de,A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0.65</w:t>
            </w:r>
            <w:r>
              <w:rPr>
                <w:vertAlign w:val="subscript"/>
                <w:lang w:val="en-GB"/>
              </w:rPr>
              <w:t>0.06</w:t>
            </w:r>
            <w:r>
              <w:rPr>
                <w:vertAlign w:val="superscript"/>
                <w:lang w:val="en-GB"/>
              </w:rPr>
              <w:t>c</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0.64</w:t>
            </w:r>
            <w:r>
              <w:rPr>
                <w:vertAlign w:val="subscript"/>
                <w:lang w:val="en-GB"/>
              </w:rPr>
              <w:t>0.07</w:t>
            </w:r>
            <w:r>
              <w:rPr>
                <w:vertAlign w:val="superscript"/>
                <w:lang w:val="en-GB"/>
              </w:rPr>
              <w:t>e,A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0.06</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0.05</w:t>
            </w:r>
            <w:r>
              <w:rPr>
                <w:vertAlign w:val="superscript"/>
                <w:lang w:val="en-GB"/>
              </w:rPr>
              <w:t>e,A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bc</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0.03</w:t>
            </w:r>
            <w:r>
              <w:rPr>
                <w:vertAlign w:val="superscript"/>
                <w:lang w:val="en-GB"/>
              </w:rPr>
              <w:t>de,A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0" w:type="dxa"/>
            <w:gridSpan w:val="2"/>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10"/>
            <w:tcBorders>
              <w:top w:val="single" w:sz="4" w:space="0" w:color="000000"/>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pPr>
            <w:r>
              <w:rPr>
                <w:b/>
                <w:bCs/>
                <w:color w:val="000000"/>
                <w:szCs w:val="24"/>
                <w:highlight w:val="white"/>
                <w:lang w:val="en-GB"/>
              </w:rPr>
              <w:t>Female candidates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b,B</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0.46</w:t>
            </w:r>
            <w:r>
              <w:rPr>
                <w:vertAlign w:val="subscript"/>
                <w:lang w:val="en-GB"/>
              </w:rPr>
              <w:t>0.02</w:t>
            </w:r>
            <w:r>
              <w:rPr>
                <w:vertAlign w:val="superscript"/>
                <w:lang w:val="en-GB"/>
              </w:rPr>
              <w:t>ab,A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0.50</w:t>
            </w:r>
            <w:r>
              <w:rPr>
                <w:vertAlign w:val="subscript"/>
                <w:lang w:val="en-GB"/>
              </w:rPr>
              <w:t>0.01</w:t>
            </w:r>
            <w:r>
              <w:rPr>
                <w:vertAlign w:val="superscript"/>
                <w:lang w:val="en-GB"/>
              </w:rPr>
              <w:t>b,B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bc,B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bc,C</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0.54</w:t>
            </w:r>
            <w:r>
              <w:rPr>
                <w:vertAlign w:val="subscript"/>
                <w:lang w:val="en-GB"/>
              </w:rPr>
              <w:t>0.01</w:t>
            </w:r>
            <w:r>
              <w:rPr>
                <w:vertAlign w:val="superscript"/>
                <w:lang w:val="en-GB"/>
              </w:rPr>
              <w:t>bc,B</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cd,C</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c,C</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de,B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d,C</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cd,A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e,AB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d,B</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e,A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70" w:type="dxa"/>
            <w:gridSpan w:val="2"/>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10"/>
            <w:tcBorders>
              <w:top w:val="single" w:sz="4" w:space="0" w:color="000000"/>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Dams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b,A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0.02</w:t>
            </w:r>
            <w:r>
              <w:rPr>
                <w:vertAlign w:val="superscript"/>
                <w:lang w:val="en-GB"/>
              </w:rPr>
              <w:t>b,B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0.01</w:t>
            </w:r>
            <w:r>
              <w:rPr>
                <w:vertAlign w:val="superscript"/>
                <w:lang w:val="en-GB"/>
              </w:rPr>
              <w:t>b,C</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b,A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0.03</w:t>
            </w:r>
            <w:r>
              <w:rPr>
                <w:vertAlign w:val="superscript"/>
                <w:lang w:val="en-GB"/>
              </w:rPr>
              <w:t>bc,A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0.02</w:t>
            </w:r>
            <w:r>
              <w:rPr>
                <w:vertAlign w:val="superscript"/>
                <w:lang w:val="en-GB"/>
              </w:rPr>
              <w:t>c,B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0.01</w:t>
            </w:r>
            <w:r>
              <w:rPr>
                <w:vertAlign w:val="superscript"/>
                <w:lang w:val="en-GB"/>
              </w:rPr>
              <w:t>c,C</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0.02</w:t>
            </w:r>
            <w:r>
              <w:rPr>
                <w:vertAlign w:val="superscript"/>
                <w:lang w:val="en-GB"/>
              </w:rPr>
              <w:t>bc,A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0.02</w:t>
            </w:r>
            <w:r>
              <w:rPr>
                <w:vertAlign w:val="superscript"/>
                <w:lang w:val="en-GB"/>
              </w:rPr>
              <w:t>c,B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0.02</w:t>
            </w:r>
            <w:r>
              <w:rPr>
                <w:vertAlign w:val="superscript"/>
                <w:lang w:val="en-GB"/>
              </w:rPr>
              <w:t>d,C</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0.60</w:t>
            </w:r>
            <w:r>
              <w:rPr>
                <w:vertAlign w:val="subscript"/>
                <w:lang w:val="en-GB"/>
              </w:rPr>
              <w:t>0.02</w:t>
            </w:r>
            <w:r>
              <w:rPr>
                <w:vertAlign w:val="superscript"/>
                <w:lang w:val="en-GB"/>
              </w:rPr>
              <w:t>c,A *</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0.01</w:t>
            </w:r>
            <w:r>
              <w:rPr>
                <w:vertAlign w:val="superscript"/>
                <w:lang w:val="en-GB"/>
              </w:rPr>
              <w:t>d,B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0.02</w:t>
            </w:r>
            <w:r>
              <w:rPr>
                <w:vertAlign w:val="superscript"/>
                <w:lang w:val="en-GB"/>
              </w:rPr>
              <w:t>d,C</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0.02</w:t>
            </w:r>
            <w:r>
              <w:rPr>
                <w:vertAlign w:val="superscript"/>
                <w:lang w:val="en-GB"/>
              </w:rPr>
              <w:t>d,A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e,C</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0.02</w:t>
            </w:r>
            <w:r>
              <w:rPr>
                <w:vertAlign w:val="superscript"/>
                <w:lang w:val="en-GB"/>
              </w:rPr>
              <w:t>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e,B</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0.02</w:t>
            </w:r>
            <w:r>
              <w:rPr>
                <w:vertAlign w:val="superscript"/>
                <w:lang w:val="en-GB"/>
              </w:rPr>
              <w:t>e,B</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top w:val="single" w:sz="4" w:space="0" w:color="000000"/>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d,B</w:t>
            </w:r>
          </w:p>
        </w:tc>
        <w:tc>
          <w:tcPr>
            <w:tcW w:w="1401" w:type="dxa"/>
            <w:tcBorders>
              <w:top w:val="single" w:sz="4"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0.01</w:t>
            </w:r>
            <w:r>
              <w:rPr>
                <w:vertAlign w:val="superscript"/>
                <w:lang w:val="en-GB"/>
              </w:rPr>
              <w:t>e,AB</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e,A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d,A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de,A</w:t>
            </w:r>
          </w:p>
        </w:tc>
        <w:tc>
          <w:tcPr>
            <w:tcW w:w="70" w:type="dxa"/>
            <w:gridSpan w:val="2"/>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 xml:space="preserve">Compared to the conventional scenario, genomic scenarios increased </w:t>
      </w:r>
      <w:commentRangeStart w:id="17"/>
      <w:r>
        <w:rPr/>
        <w:t>accuracy for young</w:t>
      </w:r>
      <w:r>
        <w:rPr/>
      </w:r>
      <w:commentRangeEnd w:id="17"/>
      <w:r>
        <w:commentReference w:id="17"/>
      </w:r>
      <w:r>
        <w:rPr/>
        <w:t xml:space="preserve"> non</w:t>
        <w:noBreakHyphen/>
        <w:t>phenotyped male and female candidates</w:t>
      </w:r>
      <w:r>
        <w:rPr/>
        <w:commentReference w:id="18"/>
      </w:r>
      <w:r>
        <w:rPr/>
        <w:t>,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Normal"/>
        <w:rPr>
          <w:b/>
          <w:b/>
          <w:bCs/>
        </w:rPr>
      </w:pPr>
      <w:r>
        <w:rPr>
          <w:b/>
          <w:bCs/>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rStyle w:val="CommentReference2"/>
          <w:sz w:val="24"/>
          <w:szCs w:val="24"/>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Normal"/>
        <w:rPr>
          <w:b/>
          <w:b/>
          <w:bCs/>
        </w:rPr>
      </w:pPr>
      <w:r>
        <w:rPr>
          <w:b/>
          <w:bCs/>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25"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26"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9"/>
      </w:r>
      <w:ins w:id="27"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28"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hanging="0"/>
        <w:rPr/>
      </w:pPr>
      <w:r>
        <w:rPr/>
      </w:r>
    </w:p>
    <w:p>
      <w:pPr>
        <w:pStyle w:val="Heading2"/>
        <w:numPr>
          <w:ilvl w:val="1"/>
          <w:numId w:val="2"/>
        </w:numPr>
        <w:ind w:left="720" w:hanging="0"/>
        <w:rPr/>
      </w:pPr>
      <w:r>
        <w:rPr/>
      </w:r>
    </w:p>
    <w:p>
      <w:pPr>
        <w:pStyle w:val="Normal"/>
        <w:numPr>
          <w:ilvl w:val="1"/>
          <w:numId w:val="4"/>
        </w:numPr>
        <w:ind w:left="720" w:hanging="0"/>
        <w:rPr/>
      </w:pPr>
      <w:del w:id="29"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hanging="0"/>
        <w:rPr/>
      </w:pPr>
      <w:r>
        <w:rPr/>
      </w:r>
    </w:p>
    <w:p>
      <w:pPr>
        <w:pStyle w:val="Heading2"/>
        <w:numPr>
          <w:ilvl w:val="1"/>
          <w:numId w:val="2"/>
        </w:numPr>
        <w:ind w:left="720" w:hanging="0"/>
        <w:rPr/>
      </w:pPr>
      <w:ins w:id="30" w:author="Unknown Author" w:date="2020-05-06T14:42:00Z">
        <w:r>
          <w:rPr/>
          <w:t>3</w:t>
        </w:r>
      </w:ins>
      <w:del w:id="31"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32" w:author="Unknown Author" w:date="2020-03-26T13:28:00Z">
        <w:r>
          <w:rPr/>
          <w:delText xml:space="preserve">  </w:delText>
        </w:r>
      </w:del>
      <w:ins w:id="33"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34" w:author="Unknown Author" w:date="2020-03-26T12:01:00Z">
        <w:r>
          <w:rPr>
            <w:rStyle w:val="CommentReference3"/>
            <w:rFonts w:eastAsia="Times New Roman"/>
            <w:sz w:val="24"/>
            <w:szCs w:val="24"/>
            <w:highlight w:val="yellow"/>
          </w:rPr>
          <w:t xml:space="preserve"> </w:t>
        </w:r>
      </w:ins>
      <w:ins w:id="35"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36" w:author="GORJANC Gregor" w:date="2020-03-23T18:01:00Z">
        <w:r>
          <w:rPr/>
          <w:t xml:space="preserve">Mention developments in </w:t>
        </w:r>
      </w:ins>
      <w:ins w:id="37" w:author="GORJANC Gregor" w:date="2020-03-23T18:02:00Z">
        <w:r>
          <w:rPr/>
          <w:t>the developing world (</w:t>
        </w:r>
      </w:ins>
      <w:ins w:id="38" w:author="GORJANC Gregor" w:date="2020-03-23T18:01:00Z">
        <w:r>
          <w:rPr/>
          <w:t>Africa</w:t>
        </w:r>
      </w:ins>
      <w:ins w:id="39" w:author="GORJANC Gregor" w:date="2020-03-23T18:02:00Z">
        <w:r>
          <w:rPr/>
          <w:t>) and cite Owen’s paper, maybe also Maria’s spatial paper and Ante’s EAAP abstract.</w:t>
        </w:r>
      </w:ins>
    </w:p>
    <w:p>
      <w:pPr>
        <w:pStyle w:val="Normal"/>
        <w:rPr/>
      </w:pPr>
      <w:ins w:id="40" w:author="GORJANC Gregor" w:date="2020-05-06T00:24:00Z">
        <w:r>
          <w:rPr/>
          <w:t>Milkin</w:t>
        </w:r>
      </w:ins>
      <w:ins w:id="41" w:author="GORJANC Gregor" w:date="2020-05-06T00:25:00Z">
        <w:r>
          <w:rPr/>
          <w:t>g</w:t>
        </w:r>
      </w:ins>
      <w:ins w:id="42" w:author="GORJANC Gregor" w:date="2020-05-06T00:24:00Z">
        <w:r>
          <w:rPr/>
          <w:t xml:space="preserve"> Robot</w:t>
        </w:r>
      </w:ins>
      <w:ins w:id="43" w:author="GORJANC Gregor" w:date="2020-05-06T00:25:00Z">
        <w:r>
          <w:rPr/>
          <w:t xml:space="preserve"> could change all of this!!</w:t>
        </w:r>
      </w:ins>
      <w:ins w:id="44" w:author="GORJANC Gregor" w:date="2020-05-06T00:24:00Z">
        <w:r>
          <w:rPr/>
          <w:t>!</w:t>
        </w:r>
      </w:ins>
    </w:p>
    <w:p>
      <w:pPr>
        <w:pStyle w:val="Heading2"/>
        <w:numPr>
          <w:ilvl w:val="1"/>
          <w:numId w:val="2"/>
        </w:numPr>
        <w:rPr/>
      </w:pPr>
      <w:ins w:id="45" w:author="GORJANC Gregor" w:date="2020-03-01T13:48:00Z">
        <w:r>
          <w:rPr/>
          <w:t xml:space="preserve">5 </w:t>
        </w:r>
      </w:ins>
      <w:ins w:id="46" w:author="GORJANC Gregor" w:date="2020-03-01T13:49:00Z">
        <w:r>
          <w:rPr/>
          <w:t>Implications</w:t>
        </w:r>
      </w:ins>
    </w:p>
    <w:p>
      <w:pPr>
        <w:pStyle w:val="Normal"/>
        <w:rPr/>
      </w:pPr>
      <w:ins w:id="47"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0"/>
      </w:r>
      <w:r>
        <w:rPr/>
        <w:commentReference w:id="21"/>
      </w:r>
      <w:ins w:id="48"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49" w:author="Unknown Author" w:date="2020-03-24T12:08:00Z">
        <w:r>
          <w:rPr>
            <w:rStyle w:val="CommentReference2"/>
            <w:sz w:val="24"/>
            <w:szCs w:val="24"/>
            <w:highlight w:val="lightGray"/>
          </w:rPr>
          <w:t>ncreasing the number of phenotypic records increases the accuracy in a diminishing manner</w:t>
        </w:r>
      </w:ins>
      <w:ins w:id="50"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51"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52" w:author="GORJANC Gregor" w:date="2020-03-01T13:49:00Z">
        <w:r>
          <w:rPr>
            <w:lang w:val="en-US"/>
          </w:rPr>
          <w:t>All phenotyped animals should be genotyped to increase the value of phenotype investments</w:t>
        </w:r>
      </w:ins>
      <w:ins w:id="53" w:author="GORJANC Gregor" w:date="2020-03-01T13:51:00Z">
        <w:r>
          <w:rPr>
            <w:lang w:val="en-US"/>
          </w:rPr>
          <w:t xml:space="preserve"> (a phenotype itself is useful for 1-3 generations with the pedigree model, but many more generations with the marke</w:t>
        </w:r>
      </w:ins>
      <w:ins w:id="54" w:author="GORJANC Gregor" w:date="2020-03-01T13:52:00Z">
        <w:r>
          <w:rPr>
            <w:lang w:val="en-US"/>
          </w:rPr>
          <w:t>r model</w:t>
        </w:r>
      </w:ins>
      <w:ins w:id="55" w:author="GORJANC Gregor" w:date="2020-03-01T13:49:00Z">
        <w:r>
          <w:rPr>
            <w:lang w:val="en-US"/>
          </w:rPr>
          <w:t xml:space="preserve"> – can we make some simple calculations to show this – based on Daetwyler formulas? Also, can we show the value for a farmer if he is </w:t>
        </w:r>
      </w:ins>
      <w:ins w:id="56"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57"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highlight w:val="yellow"/>
          <w:del w:id="59" w:author="GORJANC Gregor" w:date="2020-02-28T14:03:00Z"/>
        </w:rPr>
      </w:pPr>
      <w:del w:id="58" w:author="GORJANC Gregor" w:date="2020-02-28T14:03:00Z">
        <w:r>
          <w:rPr>
            <w:highlight w:val="yellow"/>
          </w:rPr>
        </w:r>
      </w:del>
    </w:p>
    <w:p>
      <w:pPr>
        <w:pStyle w:val="Normal"/>
        <w:rPr/>
      </w:pPr>
      <w:ins w:id="60" w:author="GORJANC Gregor" w:date="2020-02-28T14:03:00Z">
        <w:r>
          <w:rPr>
            <w:highlight w:val="yellow"/>
          </w:rPr>
          <w:t>TODO</w:t>
        </w:r>
      </w:ins>
      <w:del w:id="61" w:author="GORJANC Gregor" w:date="2020-02-28T14:03:00Z">
        <w:r>
          <w:rPr>
            <w:highlight w:val="yellow"/>
          </w:rPr>
          <w:delText>List of abbreviations</w:delText>
        </w:r>
      </w:del>
    </w:p>
    <w:p>
      <w:pPr>
        <w:pStyle w:val="Normal"/>
        <w:rPr/>
      </w:pPr>
      <w:r>
        <w:rPr/>
      </w:r>
    </w:p>
    <w:p>
      <w:pPr>
        <w:pStyle w:val="Heading1"/>
        <w:numPr>
          <w:ilvl w:val="0"/>
          <w:numId w:val="2"/>
        </w:numPr>
        <w:rPr/>
      </w:pPr>
      <w:del w:id="62" w:author="GORJANC Gregor" w:date="2020-02-28T14:00:00Z">
        <w:r>
          <w:rPr/>
          <w:delText xml:space="preserve">Declarations </w:delText>
        </w:r>
      </w:del>
      <w:ins w:id="63" w:author="GORJANC Gregor" w:date="2020-02-28T14:00:00Z">
        <w:r>
          <w:rPr/>
          <w:t>Acknoweldgement</w:t>
        </w:r>
      </w:ins>
    </w:p>
    <w:p>
      <w:pPr>
        <w:pStyle w:val="Normal"/>
        <w:rPr/>
      </w:pPr>
      <w:ins w:id="64" w:author="GORJANC Gregor" w:date="2020-02-28T14:01:00Z">
        <w:r>
          <w:rPr/>
          <w:t>The authors acknowledge support from the BBSRC to The Roslin Institute (BBS/E/D/30002275) and The University of Edinburgh’s Data-Driven Innovation Chancellor’s fellowship.</w:t>
        </w:r>
      </w:ins>
      <w:del w:id="65" w:author="GORJANC Gregor" w:date="2020-02-28T14:00:00Z">
        <w:r>
          <w:rPr/>
          <w:delText xml:space="preserve">Ethics approval and consent to participate </w:delText>
        </w:r>
      </w:del>
    </w:p>
    <w:p>
      <w:pPr>
        <w:pStyle w:val="Normal"/>
        <w:rPr/>
      </w:pPr>
      <w:del w:id="66" w:author="GORJANC Gregor" w:date="2020-02-28T14:00:00Z">
        <w:r>
          <w:rPr/>
          <w:delText>Consent for publication</w:delText>
        </w:r>
      </w:del>
    </w:p>
    <w:p>
      <w:pPr>
        <w:pStyle w:val="Normal"/>
        <w:rPr/>
      </w:pPr>
      <w:del w:id="67" w:author="GORJANC Gregor" w:date="2020-02-28T14:00:00Z">
        <w:r>
          <w:rPr/>
          <w:delText xml:space="preserve">Availability of data and materials </w:delText>
        </w:r>
      </w:del>
    </w:p>
    <w:p>
      <w:pPr>
        <w:pStyle w:val="Heading1"/>
        <w:numPr>
          <w:ilvl w:val="0"/>
          <w:numId w:val="2"/>
        </w:numPr>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hanging="360"/>
        <w:rPr/>
      </w:pPr>
      <w:r>
        <w:rPr/>
      </w:r>
    </w:p>
    <w:p>
      <w:pPr>
        <w:pStyle w:val="ListParagraph"/>
        <w:numPr>
          <w:ilvl w:val="0"/>
          <w:numId w:val="8"/>
        </w:numPr>
        <w:ind w:left="1505"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r>
    </w:p>
    <w:p>
      <w:pPr>
        <w:pStyle w:val="Heading1"/>
        <w:numPr>
          <w:ilvl w:val="0"/>
          <w:numId w:val="2"/>
        </w:numPr>
        <w:rPr/>
      </w:pPr>
      <w:r>
        <w:rPr/>
        <w:t>Figures</w:t>
      </w:r>
      <w:del w:id="68"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noVBand="0" w:val="0000" w:noHBand="0" w:lastColumn="0" w:firstColumn="0" w:lastRow="0" w:firstRow="0"/>
      </w:tblPr>
      <w:tblGrid>
        <w:gridCol w:w="1842"/>
        <w:gridCol w:w="1840"/>
        <w:gridCol w:w="1847"/>
        <w:gridCol w:w="1842"/>
        <w:gridCol w:w="1841"/>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40"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1"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4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1"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4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1"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0"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noVBand="0" w:val="0000" w:noHBand="0" w:lastColumn="0" w:firstColumn="0" w:lastRow="0" w:firstRow="0"/>
      </w:tblPr>
      <w:tblGrid>
        <w:gridCol w:w="1036"/>
        <w:gridCol w:w="1180"/>
        <w:gridCol w:w="1588"/>
        <w:gridCol w:w="1643"/>
        <w:gridCol w:w="1634"/>
        <w:gridCol w:w="1002"/>
        <w:gridCol w:w="1561"/>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#records</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#daughters / sire</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Accuracy_sires</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Accuracy_non-phenotyped</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#cows</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2" w:author="Unknown Author" w:date="2020-05-06T13:44:00Z" w:initials="">
    <w:p>
      <w:r>
        <w:rPr>
          <w:rFonts w:ascii="Liberation Serif" w:hAnsi="Liberation Serif" w:eastAsia="AR PL SungtiL GB" w:cs="Lohit Devanagari"/>
          <w:kern w:val="0"/>
          <w:sz w:val="20"/>
          <w:lang w:val="en-US" w:eastAsia="en-US" w:bidi="en-US"/>
        </w:rPr>
        <w:t>I would not put cows here since it basically does not change compared to the above (they have the same number of phenotype records, just the number of sisters changes)</w:t>
      </w:r>
    </w:p>
  </w:comment>
  <w:comment w:id="4" w:author="Janez Jenko" w:date="2020-05-23T18:39:00Z" w:initials="JJ">
    <w:p>
      <w:r>
        <w:rPr>
          <w:rFonts w:ascii="Liberation Serif" w:hAnsi="Liberation Serif" w:eastAsia="DejaVu Sans" w:cs="DejaVu Sans"/>
          <w:kern w:val="0"/>
          <w:lang w:val="en-US" w:eastAsia="en-US" w:bidi="en-US"/>
        </w:rPr>
        <w:t>Maybe just mention that the decrease in accuracy of non-phenotyped progeny is due to the decrease accuracy of cows.</w:t>
      </w:r>
    </w:p>
  </w:comment>
  <w:comment w:id="3" w:author="GORJANC Gregor" w:date="2020-05-25T21:35:00Z" w:initials="GG">
    <w:p>
      <w:r>
        <w:rPr>
          <w:rFonts w:ascii="Liberation Serif" w:hAnsi="Liberation Serif" w:eastAsia="DejaVu Sans" w:cs="DejaVu Sans"/>
          <w:kern w:val="0"/>
          <w:lang w:val="en-US" w:eastAsia="en-US" w:bidi="en-US"/>
        </w:rPr>
        <w:t>Maybe mention this then?</w:t>
      </w:r>
    </w:p>
  </w:comment>
  <w:comment w:id="5" w:author="Unknown Author" w:date="2020-05-25T12:26:00Z" w:initials="">
    <w:p>
      <w:r>
        <w:rPr>
          <w:rFonts w:ascii="Liberation Serif" w:hAnsi="Liberation Serif" w:eastAsia="AR PL SungtiL GB" w:cs="Lohit Devanagari"/>
          <w:i/>
          <w:kern w:val="0"/>
          <w:sz w:val="16"/>
          <w:lang w:val="en-US" w:eastAsia="en-US" w:bidi="en-US"/>
        </w:rPr>
        <w:t>Reply to Janez Jenko (23/05/2020, 18:39): "..."</w:t>
      </w:r>
    </w:p>
    <w:p>
      <w:r>
        <w:rPr>
          <w:rFonts w:ascii="Liberation Serif" w:hAnsi="Liberation Serif" w:eastAsia="DejaVu Sans" w:cs="DejaVu Sans"/>
          <w:kern w:val="0"/>
          <w:sz w:val="20"/>
          <w:lang w:val="en-US" w:eastAsia="en-US" w:bidi="en-US"/>
        </w:rPr>
        <w:t>Not quite sure what you mean. Compared to above, the accuracies for non-phenotyped progeny increased.</w:t>
      </w:r>
    </w:p>
  </w:comment>
  <w:comment w:id="6" w:author="Unknown Author" w:date="2020-05-25T12:23:00Z" w:initials="">
    <w:p>
      <w:r>
        <w:rPr>
          <w:rFonts w:ascii="Liberation Serif" w:hAnsi="Liberation Serif" w:eastAsia="AR PL SungtiL GB" w:cs="Lohit Devanagari"/>
          <w:kern w:val="0"/>
          <w:sz w:val="20"/>
          <w:lang w:val="en-US" w:eastAsia="en-US" w:bidi="en-US"/>
        </w:rPr>
        <w:t>Should we use the formula with correction?</w:t>
      </w:r>
    </w:p>
    <w:p>
      <w:r>
        <w:rPr>
          <w:rFonts w:ascii="Liberation Serif" w:hAnsi="Liberation Serif" w:eastAsia="DejaVu Sans" w:cs="DejaVu Sans"/>
          <w:kern w:val="0"/>
          <w:lang w:val="en-US" w:eastAsia="en-US" w:bidi="en-US"/>
        </w:rPr>
      </w:r>
    </w:p>
    <w:p>
      <w:r>
        <w:rPr>
          <w:rFonts w:ascii="Liberation Serif" w:hAnsi="Liberation Serif" w:eastAsia="AR PL SungtiL GB" w:cs="Lohit Devanagari"/>
          <w:kern w:val="0"/>
          <w:sz w:val="20"/>
          <w:lang w:val="en-US" w:eastAsia="en-US" w:bidi="en-US"/>
        </w:rPr>
        <w:t>Oscar’s paper says: “Daetwyler et al. (2008) have a final correction of the prediction of the reliability which is to add (Rel + Rel</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lang w:val="en-US" w:eastAsia="en-US" w:bidi="en-US"/>
        </w:rPr>
        <w:t>q)/2N.”Original paper: “A second order correction to relax the assumption  is given in Appendix S1, where it is shown to result in an upward correction to rgĝ of fractional magnitude ½ * r</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vertAlign w:val="subscript"/>
          <w:lang w:val="en-US" w:eastAsia="en-US" w:bidi="en-US"/>
        </w:rPr>
        <w:t>gg</w:t>
      </w:r>
      <w:r>
        <w:rPr>
          <w:rFonts w:ascii="Liberation Serif" w:hAnsi="Liberation Serif" w:eastAsia="AR PL SungtiL GB" w:cs="Lohit Devanagari"/>
          <w:kern w:val="0"/>
          <w:sz w:val="20"/>
          <w:lang w:val="en-US" w:eastAsia="en-US" w:bidi="en-US"/>
        </w:rPr>
        <w:t>λ</w:t>
      </w:r>
      <w:r>
        <w:rPr>
          <w:rFonts w:ascii="Liberation Serif" w:hAnsi="Liberation Serif" w:eastAsia="AR PL SungtiL GB" w:cs="Lohit Devanagari"/>
          <w:kern w:val="0"/>
          <w:sz w:val="20"/>
          <w:vertAlign w:val="superscript"/>
          <w:lang w:val="en-US" w:eastAsia="en-US" w:bidi="en-US"/>
        </w:rPr>
        <w:t>-1</w:t>
      </w:r>
      <w:r>
        <w:rPr>
          <w:rFonts w:ascii="Liberation Serif" w:hAnsi="Liberation Serif" w:eastAsia="AR PL SungtiL GB" w:cs="Lohit Devanagari"/>
          <w:kern w:val="0"/>
          <w:sz w:val="20"/>
          <w:lang w:val="en-US" w:eastAsia="en-US" w:bidi="en-US"/>
        </w:rPr>
        <w:t>.”</w:t>
      </w:r>
    </w:p>
  </w:comment>
  <w:comment w:id="7" w:author="GORJANC Gregor" w:date="2020-05-25T21:35:00Z" w:initials="GG">
    <w:p>
      <w:r>
        <w:rPr>
          <w:rFonts w:ascii="Liberation Serif" w:hAnsi="Liberation Serif" w:eastAsia="DejaVu Sans" w:cs="DejaVu Sans"/>
          <w:kern w:val="0"/>
          <w:lang w:val="en-US" w:eastAsia="en-US" w:bidi="en-US"/>
        </w:rPr>
        <w:t>Check what you get</w:t>
      </w:r>
    </w:p>
  </w:comment>
  <w:comment w:id="8" w:author="GORJANC Gregor" w:date="2020-05-25T21:37:00Z" w:initials="GG">
    <w:p>
      <w:r>
        <w:rPr>
          <w:rFonts w:ascii="Liberation Serif" w:hAnsi="Liberation Serif" w:eastAsia="DejaVu Sans" w:cs="DejaVu Sans"/>
          <w:kern w:val="0"/>
          <w:lang w:val="en-US" w:eastAsia="en-US" w:bidi="en-US"/>
        </w:rPr>
        <w:t>Obrni accuracy is a function of records in tako ima accuarcy dim… returns</w:t>
      </w:r>
    </w:p>
  </w:comment>
  <w:comment w:id="9" w:author="GORJANC Gregor" w:date="2020-05-25T21:39:00Z" w:initials="GG">
    <w:p>
      <w:r>
        <w:rPr>
          <w:rFonts w:ascii="Liberation Serif" w:hAnsi="Liberation Serif" w:eastAsia="DejaVu Sans" w:cs="DejaVu Sans"/>
          <w:kern w:val="0"/>
          <w:lang w:val="en-US" w:eastAsia="en-US" w:bidi="en-US"/>
        </w:rPr>
        <w:t>Sem umaknil gain ker se fokusiras na accuracy</w:t>
      </w:r>
    </w:p>
  </w:comment>
  <w:comment w:id="10" w:author="GORJANC Gregor" w:date="2020-05-06T00:46:00Z" w:initials="GG">
    <w:p>
      <w:r>
        <w:rPr>
          <w:rFonts w:ascii="Liberation Serif" w:hAnsi="Liberation Serif" w:eastAsia="DejaVu Sans" w:cs="Mangal"/>
          <w:kern w:val="0"/>
          <w:sz w:val="20"/>
          <w:szCs w:val="18"/>
          <w:lang w:val="en-US" w:eastAsia="en-US" w:bidi="en-US"/>
        </w:rPr>
        <w:t>By year?</w:t>
      </w:r>
    </w:p>
  </w:comment>
  <w:comment w:id="11" w:author="Unknown Author" w:date="2020-05-06T14:04:00Z" w:initials="">
    <w:p>
      <w:r>
        <w:rPr>
          <w:rFonts w:ascii="Liberation Serif" w:hAnsi="Liberation Serif" w:eastAsia="AR PL SungtiL GB" w:cs="Lohit Devanagari"/>
          <w:i/>
          <w:kern w:val="0"/>
          <w:sz w:val="16"/>
          <w:lang w:val="en-US" w:eastAsia="en-US" w:bidi="en-US"/>
        </w:rPr>
        <w:t>Reply to GORJANC Gregor (06/05/2020, 00:46): "..."</w:t>
      </w:r>
    </w:p>
    <w:p>
      <w:r>
        <w:rPr>
          <w:rFonts w:ascii="Liberation Serif" w:hAnsi="Liberation Serif" w:eastAsia="DejaVu Sans" w:cs="DejaVu Sans"/>
          <w:kern w:val="0"/>
          <w:sz w:val="20"/>
          <w:lang w:val="en-US" w:eastAsia="en-US" w:bidi="en-US"/>
        </w:rPr>
        <w:t>In each of the evaluation years I computed the accuracies and then computed the average. Should I state this in another way?</w:t>
      </w:r>
    </w:p>
  </w:comment>
  <w:comment w:id="12" w:author="Unknown Author" w:date="2020-05-25T14:27:00Z" w:initials="">
    <w:p>
      <w:r>
        <w:rPr>
          <w:rFonts w:ascii="Liberation Serif" w:hAnsi="Liberation Serif" w:eastAsia="AR PL SungtiL GB" w:cs="Lohit Devanagari"/>
          <w:kern w:val="0"/>
          <w:sz w:val="20"/>
          <w:lang w:val="en-US" w:eastAsia="en-US" w:bidi="en-US"/>
        </w:rPr>
        <w:t>For C11, this would be 0.73 in the table for “small samples”. ( 4 selected out of 8 progeny tested)</w:t>
      </w:r>
    </w:p>
  </w:comment>
  <w:comment w:id="13" w:author="Unknown Author" w:date="2020-05-25T18:35:00Z" w:initials="">
    <w:p>
      <w:r>
        <w:rPr>
          <w:rFonts w:ascii="Liberation Serif" w:hAnsi="Liberation Serif" w:eastAsia="AR PL SungtiL GB" w:cs="Lohit Devanagari"/>
          <w:kern w:val="0"/>
          <w:sz w:val="20"/>
          <w:lang w:val="en-US" w:eastAsia="en-US" w:bidi="en-US"/>
        </w:rPr>
        <w:t>This feels out of place – but I am not really sure, where better to place it. Maybe it should be in the methods?</w:t>
      </w:r>
    </w:p>
  </w:comment>
  <w:comment w:id="14" w:author="GORJANC Gregor" w:date="2020-05-25T21:44:00Z" w:initials="GG">
    <w:p>
      <w:r>
        <w:rPr>
          <w:rFonts w:ascii="Liberation Serif" w:hAnsi="Liberation Serif" w:eastAsia="DejaVu Sans" w:cs="DejaVu Sans"/>
          <w:kern w:val="0"/>
          <w:lang w:val="en-US" w:eastAsia="en-US" w:bidi="en-US"/>
        </w:rPr>
        <w:t>Keep it, its ok</w:t>
      </w:r>
    </w:p>
  </w:comment>
  <w:comment w:id="15" w:author="Janez Jenko" w:date="2020-05-24T10:59:00Z" w:initials="JJ">
    <w:p>
      <w:r>
        <w:rPr>
          <w:rFonts w:ascii="Liberation Serif" w:hAnsi="Liberation Serif" w:eastAsia="DejaVu Sans" w:cs="DejaVu Sans"/>
          <w:kern w:val="0"/>
          <w:lang w:val="en-US" w:eastAsia="en-US" w:bidi="en-US"/>
        </w:rPr>
        <w:t>Is there any good explanation why there is a drop in the increase in size of the TP size just before it reaches maximum? For G10 there is actually a drop in size of TP in the last few generations.</w:t>
      </w:r>
    </w:p>
  </w:comment>
  <w:comment w:id="16" w:author="Janez Jenko" w:date="2020-05-24T12:58:00Z" w:initials="JJ">
    <w:p>
      <w:r>
        <w:rPr>
          <w:rFonts w:ascii="Liberation Serif" w:hAnsi="Liberation Serif" w:eastAsia="DejaVu Sans" w:cs="DejaVu Sans"/>
          <w:kern w:val="0"/>
          <w:lang w:val="en-US" w:eastAsia="en-US" w:bidi="en-US"/>
        </w:rPr>
        <w:t>The difference in accuracies between the male candidates and female candidates are huge. I guess this is because male candidates are genotyped while female candidates are not. So only parental average was used for female candidates.</w:t>
      </w:r>
    </w:p>
    <w:p>
      <w:r>
        <w:rPr>
          <w:rFonts w:ascii="Liberation Serif" w:hAnsi="Liberation Serif" w:eastAsia="DejaVu Sans" w:cs="DejaVu Sans"/>
          <w:kern w:val="0"/>
          <w:lang w:val="en-US" w:eastAsia="en-US" w:bidi="en-US"/>
        </w:rPr>
        <w:t>What is really interesting here is that not more phenotypes on the dam of a female candidate, but the genotype of a female candidate dam then actually helps to increase the accuracy of progeny prediction.</w:t>
      </w:r>
    </w:p>
    <w:p>
      <w:r>
        <w:rPr>
          <w:rFonts w:ascii="Liberation Serif" w:hAnsi="Liberation Serif" w:eastAsia="DejaVu Sans" w:cs="DejaVu Sans"/>
          <w:kern w:val="0"/>
          <w:lang w:val="en-US" w:eastAsia="en-US" w:bidi="en-US"/>
        </w:rPr>
        <w:t>I think this should be mentioned in discussion.</w:t>
      </w:r>
    </w:p>
  </w:comment>
  <w:comment w:id="17"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18" w:author="Janez Jenko" w:date="2020-05-24T13:09:00Z" w:initials="JJ">
    <w:p>
      <w:r>
        <w:rPr>
          <w:rFonts w:ascii="Liberation Serif" w:hAnsi="Liberation Serif" w:eastAsia="DejaVu Sans" w:cs="DejaVu Sans"/>
          <w:kern w:val="0"/>
          <w:lang w:val="en-US" w:eastAsia="en-US" w:bidi="en-US"/>
        </w:rPr>
        <w:t>We need to be careful here as young males are genotyped and young females are not. The reason for higher accuracy for young females is in genotyping their dams while for young sires it is in their own genotype.</w:t>
      </w:r>
    </w:p>
  </w:comment>
  <w:comment w:id="19" w:author="Unknown Author" w:date="2020-02-06T12:25:00Z" w:initials="">
    <w:p>
      <w:r>
        <w:rPr>
          <w:rFonts w:ascii="Liberation Serif" w:hAnsi="Liberation Serif" w:eastAsia="DejaVu Sans" w:cs="DejaVu Sans"/>
          <w:kern w:val="0"/>
          <w:lang w:val="en-US" w:eastAsia="en-US" w:bidi="en-US"/>
        </w:rPr>
        <w:t>Diskusija</w:t>
      </w:r>
    </w:p>
  </w:comment>
  <w:comment w:id="20"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21"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trackRevisions/>
  <w:defaultTabStop w:val="864"/>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pageBreakBefore/>
      <w:numPr>
        <w:ilvl w:val="0"/>
        <w:numId w:val="1"/>
      </w:numPr>
      <w:outlineLvl w:val="0"/>
    </w:pPr>
    <w:rPr>
      <w:b/>
      <w:sz w:val="36"/>
      <w:szCs w:val="36"/>
    </w:rPr>
  </w:style>
  <w:style w:type="paragraph" w:styleId="Heading2">
    <w:name w:val="Heading 2"/>
    <w:basedOn w:val="Normal"/>
    <w:next w:val="Normal"/>
    <w:uiPriority w:val="9"/>
    <w:unhideWhenUsed/>
    <w:qFormat/>
    <w:pPr>
      <w:numPr>
        <w:ilvl w:val="1"/>
        <w:numId w:val="1"/>
      </w:numPr>
      <w:outlineLvl w:val="1"/>
    </w:pPr>
    <w:rPr>
      <w:b/>
      <w:bCs/>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uiPriority w:val="99"/>
    <w:semiHidden/>
    <w:unhideWhenUsed/>
    <w:qFormat/>
    <w:rsid w:val="007875c8"/>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240" w:before="0" w:after="0"/>
      <w:ind w:left="72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Application>LibreOffice/6.0.7.3$Linux_X86_64 LibreOffice_project/00m0$Build-3</Application>
  <Pages>44</Pages>
  <Words>7977</Words>
  <Characters>45447</Characters>
  <CharactersWithSpaces>52741</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2020-06-06T13:12:00Z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