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3"/>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3"/>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3"/>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w:t>
      </w:r>
      <w:bookmarkStart w:id="0" w:name="__UnoMark__22910_862860911"/>
      <w:bookmarkStart w:id="1" w:name="__UnoMark__22570_862860911"/>
      <w:bookmarkStart w:id="2" w:name="__UnoMark__21597_862860911"/>
      <w:bookmarkStart w:id="3" w:name="__UnoMark__22250_862860911"/>
      <w:bookmarkStart w:id="4" w:name="__UnoMark__21925_862860911"/>
      <w:bookmarkStart w:id="5" w:name="ZOTERO_BREF_HjmbdZEtQZmX"/>
      <w:r>
        <w:rPr/>
        <w:t>[1, 2]</w:t>
      </w:r>
      <w:bookmarkEnd w:id="0"/>
      <w:bookmarkEnd w:id="1"/>
      <w:bookmarkEnd w:id="2"/>
      <w:bookmarkEnd w:id="3"/>
      <w:bookmarkEnd w:id="4"/>
      <w:bookmarkEnd w:id="5"/>
      <w:r>
        <w:rPr/>
        <w:t xml:space="preserve"> </w:t>
      </w:r>
      <w:r>
        <w:rPr>
          <w:highlight w:val="yellow"/>
        </w:rPr>
        <w:t>(Meuwissen et al., 2001; Schaeffer, 2006)</w:t>
      </w:r>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6" w:name="__UnoMark__22911_862860911"/>
      <w:bookmarkStart w:id="7" w:name="__UnoMark__22571_862860911"/>
      <w:bookmarkStart w:id="8" w:name="__UnoMark__22251_862860911"/>
      <w:bookmarkStart w:id="9" w:name="__UnoMark__21926_862860911"/>
      <w:bookmarkStart w:id="10" w:name="__UnoMark__21598_862860911"/>
      <w:bookmarkStart w:id="11" w:name="ZOTERO_BREF_2ManwXjQ9SDN"/>
      <w:r>
        <w:rPr>
          <w:highlight w:val="white"/>
        </w:rPr>
        <w:t>[2, 3]</w:t>
      </w:r>
      <w:bookmarkEnd w:id="6"/>
      <w:bookmarkEnd w:id="7"/>
      <w:bookmarkEnd w:id="8"/>
      <w:bookmarkEnd w:id="9"/>
      <w:bookmarkEnd w:id="10"/>
      <w:bookmarkEnd w:id="11"/>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2" w:name="__UnoMark__22913_862860911"/>
      <w:bookmarkStart w:id="13" w:name="__UnoMark__22912_862860911"/>
      <w:bookmarkStart w:id="14" w:name="__UnoMark__21600_862860911"/>
      <w:bookmarkStart w:id="15" w:name="__UnoMark__22573_862860911"/>
      <w:bookmarkStart w:id="16" w:name="__UnoMark__22572_862860911"/>
      <w:bookmarkStart w:id="17" w:name="ZOTERO_BREF_IyLofzg5TxrX"/>
      <w:bookmarkStart w:id="18" w:name="__UnoMark__22253_862860911"/>
      <w:bookmarkStart w:id="19" w:name="__UnoMark__21927_862860911"/>
      <w:bookmarkStart w:id="20" w:name="__UnoMark__21599_862860911"/>
      <w:bookmarkStart w:id="21" w:name="ZOTERO_BREF_OUhSVBOxhWw5"/>
      <w:bookmarkStart w:id="22" w:name="__UnoMark__21928_862860911"/>
      <w:bookmarkStart w:id="23" w:name="__UnoMark__22252_862860911"/>
      <w:r>
        <w:rPr>
          <w:highlight w:val="white"/>
        </w:rPr>
        <w:t>[4]</w:t>
      </w:r>
      <w:bookmarkEnd w:id="12"/>
      <w:bookmarkEnd w:id="13"/>
      <w:bookmarkEnd w:id="14"/>
      <w:bookmarkEnd w:id="15"/>
      <w:bookmarkEnd w:id="16"/>
      <w:bookmarkEnd w:id="17"/>
      <w:bookmarkEnd w:id="18"/>
      <w:bookmarkEnd w:id="19"/>
      <w:bookmarkEnd w:id="20"/>
      <w:bookmarkEnd w:id="21"/>
      <w:bookmarkEnd w:id="22"/>
      <w:bookmarkEnd w:id="23"/>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24" w:name="__UnoMark__22915_862860911"/>
      <w:bookmarkStart w:id="25" w:name="__UnoMark__22914_862860911"/>
      <w:bookmarkStart w:id="26" w:name="__UnoMark__22574_862860911"/>
      <w:bookmarkStart w:id="27" w:name="__UnoMark__22254_862860911"/>
      <w:bookmarkStart w:id="28" w:name="__UnoMark__22575_862860911"/>
      <w:bookmarkStart w:id="29" w:name="__UnoMark__22255_862860911"/>
      <w:bookmarkStart w:id="30" w:name="__UnoMark__21930_862860911"/>
      <w:bookmarkStart w:id="31" w:name="__UnoMark__21929_862860911"/>
      <w:bookmarkStart w:id="32" w:name="ZOTERO_BREF_vBzquWBEDhaT"/>
      <w:bookmarkStart w:id="33" w:name="ZOTERO_BREF_eDZY5kQF7gXa"/>
      <w:bookmarkStart w:id="34" w:name="__UnoMark__21601_862860911"/>
      <w:bookmarkStart w:id="35" w:name="__UnoMark__21602_862860911"/>
      <w:r>
        <w:rPr/>
        <w:t>[5]</w:t>
      </w:r>
      <w:bookmarkEnd w:id="24"/>
      <w:bookmarkEnd w:id="25"/>
      <w:bookmarkEnd w:id="26"/>
      <w:bookmarkEnd w:id="27"/>
      <w:bookmarkEnd w:id="28"/>
      <w:bookmarkEnd w:id="29"/>
      <w:bookmarkEnd w:id="30"/>
      <w:bookmarkEnd w:id="31"/>
      <w:bookmarkEnd w:id="32"/>
      <w:bookmarkEnd w:id="33"/>
      <w:bookmarkEnd w:id="34"/>
      <w:bookmarkEnd w:id="35"/>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bookmarkStart w:id="36" w:name="__UnoMark__22916_862860911"/>
      <w:bookmarkStart w:id="37" w:name="__UnoMark__22576_862860911"/>
      <w:bookmarkStart w:id="38" w:name="__UnoMark__22256_862860911"/>
      <w:bookmarkStart w:id="39" w:name="__UnoMark__21931_862860911"/>
      <w:bookmarkStart w:id="40" w:name="__UnoMark__21603_862860911"/>
      <w:bookmarkStart w:id="41" w:name="ZOTERO_BREF_R5xZPQH1Kto5"/>
      <w:r>
        <w:rPr>
          <w:b w:val="false"/>
          <w:i w:val="false"/>
          <w:caps w:val="false"/>
          <w:smallCaps w:val="false"/>
          <w:color w:val="000000"/>
          <w:position w:val="0"/>
          <w:sz w:val="24"/>
          <w:u w:val="none"/>
          <w:vertAlign w:val="baseline"/>
        </w:rPr>
        <w:t>[6</w:t>
      </w:r>
      <w:r>
        <w:rPr>
          <w:b w:val="false"/>
          <w:i w:val="false"/>
          <w:caps w:val="false"/>
          <w:smallCaps w:val="false"/>
          <w:position w:val="0"/>
          <w:sz w:val="24"/>
          <w:u w:val="none"/>
          <w:vertAlign w:val="baseline"/>
        </w:rPr>
        <w:t>–10]</w:t>
      </w:r>
      <w:bookmarkEnd w:id="36"/>
      <w:bookmarkEnd w:id="37"/>
      <w:bookmarkEnd w:id="38"/>
      <w:bookmarkEnd w:id="39"/>
      <w:bookmarkEnd w:id="40"/>
      <w:bookmarkEnd w:id="41"/>
      <w:r>
        <w:rPr>
          <w:color w:val="000000"/>
        </w:rPr>
        <w:t>(</w:t>
      </w:r>
      <w:r>
        <w:rPr>
          <w:color w:val="000000"/>
          <w:highlight w:val="yellow"/>
        </w:rPr>
        <w:t xml:space="preserve">Daetwyler et al. 2008; Goddard, 2009; Habier et al., 2010; Clark et al, 2011; </w:t>
      </w:r>
      <w:r>
        <w:rPr>
          <w:highlight w:val="yellow"/>
        </w:rPr>
        <w:t>Goddard et al., 2011</w:t>
      </w:r>
      <w:r>
        <w:rPr>
          <w:color w:val="000000"/>
        </w:rPr>
        <w:t>)</w:t>
      </w:r>
      <w:r>
        <w:rPr/>
        <w:t xml:space="preserve">.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bookmarkStart w:id="42" w:name="__UnoMark__22917_862860911"/>
      <w:bookmarkStart w:id="43" w:name="__UnoMark__22257_862860911"/>
      <w:bookmarkStart w:id="44" w:name="__UnoMark__22577_862860911"/>
      <w:bookmarkStart w:id="45" w:name="ZOTERO_BREF_CBIgIDAUpR7W"/>
      <w:bookmarkStart w:id="46" w:name="__UnoMark__21932_862860911"/>
      <w:bookmarkStart w:id="47" w:name="__UnoMark__21604_862860911"/>
      <w:r>
        <w:rPr/>
        <w:t>[1, 8, 11, 12]</w:t>
      </w:r>
      <w:bookmarkEnd w:id="42"/>
      <w:bookmarkEnd w:id="43"/>
      <w:bookmarkEnd w:id="44"/>
      <w:bookmarkEnd w:id="45"/>
      <w:bookmarkEnd w:id="46"/>
      <w:bookmarkEnd w:id="47"/>
      <w:r>
        <w:rPr/>
        <w:t xml:space="preserve">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bookmarkStart w:id="48" w:name="__UnoMark__22918_862860911"/>
      <w:bookmarkStart w:id="49" w:name="__UnoMark__22578_862860911"/>
      <w:bookmarkStart w:id="50" w:name="__UnoMark__22258_862860911"/>
      <w:bookmarkStart w:id="51" w:name="__UnoMark__21933_862860911"/>
      <w:bookmarkStart w:id="52" w:name="__UnoMark__21605_862860911"/>
      <w:bookmarkStart w:id="53" w:name="ZOTERO_BREF_JfoTRDnycDTP"/>
      <w:r>
        <w:rPr>
          <w:highlight w:val="white"/>
        </w:rPr>
        <w:t>[6]</w:t>
      </w:r>
      <w:bookmarkEnd w:id="48"/>
      <w:bookmarkEnd w:id="49"/>
      <w:bookmarkEnd w:id="50"/>
      <w:bookmarkEnd w:id="51"/>
      <w:bookmarkEnd w:id="52"/>
      <w:bookmarkEnd w:id="53"/>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bookmarkStart w:id="54" w:name="__UnoMark__22919_862860911"/>
      <w:bookmarkStart w:id="55" w:name="__UnoMark__22579_862860911"/>
      <w:bookmarkStart w:id="56" w:name="__UnoMark__22259_862860911"/>
      <w:bookmarkStart w:id="57" w:name="__UnoMark__21934_862860911"/>
      <w:bookmarkStart w:id="58" w:name="__UnoMark__21606_862860911"/>
      <w:bookmarkStart w:id="59" w:name="ZOTERO_BREF_cZfNMHfOhnsL"/>
      <w:r>
        <w:rPr/>
        <w:t>[13, 14]</w:t>
      </w:r>
      <w:bookmarkEnd w:id="54"/>
      <w:bookmarkEnd w:id="55"/>
      <w:bookmarkEnd w:id="56"/>
      <w:bookmarkEnd w:id="57"/>
      <w:bookmarkEnd w:id="58"/>
      <w:bookmarkEnd w:id="59"/>
      <w:r>
        <w:rPr/>
        <w:t xml:space="preserve"> </w:t>
      </w:r>
      <w:r>
        <w:rPr>
          <w:highlight w:val="yellow"/>
        </w:rPr>
        <w:t>(Bijma, 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60" w:name="__UnoMark__22920_862860911"/>
      <w:bookmarkStart w:id="61" w:name="__UnoMark__21935_862860911"/>
      <w:bookmarkStart w:id="62" w:name="__UnoMark__22580_862860911"/>
      <w:bookmarkStart w:id="63" w:name="ZOTERO_BREF_Ux4LadCJuUNv"/>
      <w:bookmarkStart w:id="64" w:name="__UnoMark__21607_862860911"/>
      <w:bookmarkStart w:id="65" w:name="__UnoMark__22260_862860911"/>
      <w:r>
        <w:rPr>
          <w:highlight w:val="white"/>
        </w:rPr>
        <w:t>[2]</w:t>
      </w:r>
      <w:bookmarkEnd w:id="60"/>
      <w:bookmarkEnd w:id="61"/>
      <w:bookmarkEnd w:id="62"/>
      <w:bookmarkEnd w:id="63"/>
      <w:bookmarkEnd w:id="64"/>
      <w:bookmarkEnd w:id="65"/>
      <w:r>
        <w:rPr>
          <w:highlight w:val="yellow"/>
        </w:rPr>
        <w:t>(Schaeffer, 2006)</w:t>
      </w:r>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66" w:name="__UnoMark__22921_862860911"/>
      <w:bookmarkStart w:id="67" w:name="__UnoMark__22581_862860911"/>
      <w:bookmarkStart w:id="68" w:name="__UnoMark__21608_862860911"/>
      <w:bookmarkStart w:id="69" w:name="ZOTERO_BREF_g8dqmzCRUbWx"/>
      <w:bookmarkStart w:id="70" w:name="__UnoMark__22261_862860911"/>
      <w:bookmarkStart w:id="71" w:name="__UnoMark__21936_862860911"/>
      <w:r>
        <w:rPr>
          <w:b w:val="false"/>
          <w:i w:val="false"/>
          <w:caps w:val="false"/>
          <w:smallCaps w:val="false"/>
          <w:position w:val="0"/>
          <w:sz w:val="24"/>
          <w:highlight w:val="white"/>
          <w:u w:val="none"/>
          <w:vertAlign w:val="baseline"/>
        </w:rPr>
        <w:t>[15</w:t>
      </w:r>
      <w:r>
        <w:rPr>
          <w:b w:val="false"/>
          <w:i w:val="false"/>
          <w:caps w:val="false"/>
          <w:smallCaps w:val="false"/>
          <w:position w:val="0"/>
          <w:sz w:val="24"/>
          <w:u w:val="none"/>
          <w:vertAlign w:val="baseline"/>
        </w:rPr>
        <w:t>–17]</w:t>
      </w:r>
      <w:bookmarkEnd w:id="66"/>
      <w:bookmarkEnd w:id="67"/>
      <w:bookmarkEnd w:id="68"/>
      <w:bookmarkEnd w:id="69"/>
      <w:bookmarkEnd w:id="70"/>
      <w:bookmarkEnd w:id="71"/>
      <w:r>
        <w:rPr>
          <w:highlight w:val="white"/>
        </w:rPr>
        <w:t>(</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72" w:name="__UnoMark__22922_862860911"/>
      <w:bookmarkStart w:id="73" w:name="__UnoMark__22582_862860911"/>
      <w:bookmarkStart w:id="74" w:name="__UnoMark__22262_862860911"/>
      <w:bookmarkStart w:id="75" w:name="__UnoMark__21937_862860911"/>
      <w:bookmarkStart w:id="76" w:name="__UnoMark__21609_862860911"/>
      <w:bookmarkStart w:id="77" w:name="ZOTERO_BREF_Bplby7z9636a"/>
      <w:r>
        <w:rPr>
          <w:highlight w:val="white"/>
        </w:rPr>
        <w:t>[18]</w:t>
      </w:r>
      <w:bookmarkEnd w:id="72"/>
      <w:bookmarkEnd w:id="73"/>
      <w:bookmarkEnd w:id="74"/>
      <w:bookmarkEnd w:id="75"/>
      <w:bookmarkEnd w:id="76"/>
      <w:bookmarkEnd w:id="77"/>
      <w:r>
        <w:rPr>
          <w:highlight w:val="white"/>
        </w:rPr>
        <w:t>(</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3"/>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78" w:name="__UnoMark__22923_862860911"/>
      <w:bookmarkStart w:id="79" w:name="ZOTERO_BREF_TdDVvpj0nc3q"/>
      <w:bookmarkStart w:id="80" w:name="__UnoMark__22583_862860911"/>
      <w:bookmarkStart w:id="81" w:name="__UnoMark__22263_862860911"/>
      <w:bookmarkStart w:id="82" w:name="__UnoMark__21938_862860911"/>
      <w:bookmarkStart w:id="83" w:name="__UnoMark__21656_862860911"/>
      <w:bookmarkStart w:id="84" w:name="__UnoMark__21596_862860911"/>
      <w:bookmarkEnd w:id="83"/>
      <w:r>
        <w:rPr>
          <w:highlight w:val="white"/>
        </w:rPr>
        <w:t>[3]</w:t>
      </w:r>
      <w:bookmarkStart w:id="85" w:name="__UnoMark__21660_862860911"/>
      <w:bookmarkEnd w:id="78"/>
      <w:bookmarkEnd w:id="79"/>
      <w:bookmarkEnd w:id="80"/>
      <w:bookmarkEnd w:id="81"/>
      <w:bookmarkEnd w:id="82"/>
      <w:bookmarkEnd w:id="84"/>
      <w:bookmarkEnd w:id="85"/>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3"/>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 xml:space="preserve">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w:t>
      </w:r>
      <w:bookmarkStart w:id="86" w:name="__UnoMark__22924_862860911"/>
      <w:bookmarkStart w:id="87" w:name="__UnoMark__22584_862860911"/>
      <w:bookmarkStart w:id="88" w:name="__UnoMark__22264_862860911"/>
      <w:bookmarkStart w:id="89" w:name="__UnoMark__21924_862860911"/>
      <w:bookmarkStart w:id="90" w:name="ZOTERO_BREF_Z8dXe69WUCtw"/>
      <w:bookmarkStart w:id="91" w:name="__UnoMark__21982_862860911"/>
      <w:bookmarkStart w:id="92" w:name="__UnoMark__21610_862860911"/>
      <w:bookmarkEnd w:id="91"/>
      <w:r>
        <w:rPr>
          <w:highlight w:val="white"/>
        </w:rPr>
        <w:t>[3]</w:t>
      </w:r>
      <w:bookmarkEnd w:id="86"/>
      <w:bookmarkEnd w:id="87"/>
      <w:bookmarkEnd w:id="88"/>
      <w:bookmarkEnd w:id="89"/>
      <w:bookmarkEnd w:id="90"/>
      <w:bookmarkEnd w:id="92"/>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3"/>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bookmarkStart w:id="93" w:name="__UnoMark__22925_862860911"/>
      <w:bookmarkStart w:id="94" w:name="__UnoMark__22265_862860911"/>
      <w:bookmarkStart w:id="95" w:name="__UnoMark__21939_862860911"/>
      <w:bookmarkStart w:id="96" w:name="__UnoMark__22585_862860911"/>
      <w:bookmarkStart w:id="97" w:name="__UnoMark__21611_862860911"/>
      <w:bookmarkStart w:id="98" w:name="ZOTERO_BREF_smwC5dfpA8d9"/>
      <w:r>
        <w:rPr/>
        <w:t>[18]</w:t>
      </w:r>
      <w:bookmarkEnd w:id="93"/>
      <w:bookmarkEnd w:id="94"/>
      <w:bookmarkEnd w:id="95"/>
      <w:bookmarkEnd w:id="96"/>
      <w:bookmarkEnd w:id="97"/>
      <w:bookmarkEnd w:id="98"/>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99" w:name="__UnoMark__22926_862860911"/>
      <w:bookmarkStart w:id="100" w:name="__UnoMark__22586_862860911"/>
      <w:bookmarkStart w:id="101" w:name="ZOTERO_BREF_HYIk7dEFsNtF"/>
      <w:bookmarkStart w:id="102" w:name="__UnoMark__22249_862860911"/>
      <w:bookmarkStart w:id="103" w:name="__UnoMark__21940_862860911"/>
      <w:bookmarkStart w:id="104" w:name="__UnoMark__21612_862860911"/>
      <w:bookmarkStart w:id="105" w:name="__UnoMark__22309_862860911"/>
      <w:bookmarkEnd w:id="105"/>
      <w:r>
        <w:rPr/>
        <w:t>[3]</w:t>
      </w:r>
      <w:bookmarkStart w:id="106" w:name="__UnoMark__22313_862860911"/>
      <w:bookmarkEnd w:id="99"/>
      <w:bookmarkEnd w:id="100"/>
      <w:bookmarkEnd w:id="101"/>
      <w:bookmarkEnd w:id="102"/>
      <w:bookmarkEnd w:id="103"/>
      <w:bookmarkEnd w:id="104"/>
      <w:bookmarkEnd w:id="106"/>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3"/>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107" w:name="__UnoMark__22927_862860911"/>
      <w:bookmarkStart w:id="108" w:name="__UnoMark__22266_862860911"/>
      <w:bookmarkStart w:id="109" w:name="__UnoMark__22587_862860911"/>
      <w:bookmarkStart w:id="110" w:name="ZOTERO_BREF_Nle8vQQizG1V"/>
      <w:bookmarkStart w:id="111" w:name="__UnoMark__22317_862860911"/>
      <w:bookmarkStart w:id="112" w:name="__UnoMark__21613_862860911"/>
      <w:bookmarkStart w:id="113" w:name="__UnoMark__21941_862860911"/>
      <w:bookmarkEnd w:id="111"/>
      <w:r>
        <w:rPr>
          <w:highlight w:val="white"/>
        </w:rPr>
        <w:t>[19]</w:t>
      </w:r>
      <w:bookmarkEnd w:id="107"/>
      <w:bookmarkEnd w:id="108"/>
      <w:bookmarkEnd w:id="109"/>
      <w:bookmarkEnd w:id="110"/>
      <w:bookmarkEnd w:id="112"/>
      <w:bookmarkEnd w:id="113"/>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9552" w:type="dxa"/>
        <w:jc w:val="left"/>
        <w:tblInd w:w="0" w:type="dxa"/>
        <w:tblBorders>
          <w:bottom w:val="single" w:sz="2" w:space="0" w:color="000000"/>
          <w:insideH w:val="single" w:sz="2" w:space="0" w:color="000000"/>
        </w:tblBorders>
        <w:tblCellMar>
          <w:top w:w="0" w:type="dxa"/>
          <w:left w:w="0" w:type="dxa"/>
          <w:bottom w:w="0" w:type="dxa"/>
          <w:right w:w="0" w:type="dxa"/>
        </w:tblCellMar>
      </w:tblPr>
      <w:tblGrid>
        <w:gridCol w:w="1641"/>
        <w:gridCol w:w="1309"/>
        <w:gridCol w:w="1309"/>
        <w:gridCol w:w="1303"/>
        <w:gridCol w:w="1305"/>
        <w:gridCol w:w="1309"/>
        <w:gridCol w:w="1322"/>
        <w:gridCol w:w="5"/>
        <w:gridCol w:w="47"/>
      </w:tblGrid>
      <w:tr>
        <w:trPr>
          <w:trHeight w:val="225" w:hRule="atLeast"/>
          <w:cantSplit w:val="true"/>
        </w:trPr>
        <w:tc>
          <w:tcPr>
            <w:tcW w:w="1641" w:type="dxa"/>
            <w:vMerge w:val="restart"/>
            <w:tcBorders>
              <w:bottom w:val="single" w:sz="2" w:space="0" w:color="000000"/>
              <w:insideH w:val="single" w:sz="2" w:space="0" w:color="000000"/>
            </w:tcBorders>
            <w:shd w:fill="auto" w:val="clear"/>
            <w:vAlign w:val="bottom"/>
          </w:tcPr>
          <w:p>
            <w:pPr>
              <w:pStyle w:val="TableContents"/>
              <w:spacing w:lineRule="auto" w:line="240" w:before="0" w:after="0"/>
              <w:rPr/>
            </w:pPr>
            <w:r>
              <w:rPr/>
              <w:t>Relative cost</w:t>
            </w:r>
          </w:p>
        </w:tc>
        <w:tc>
          <w:tcPr>
            <w:tcW w:w="7862" w:type="dxa"/>
            <w:gridSpan w:val="7"/>
            <w:tcBorders/>
            <w:shd w:fill="auto" w:val="clear"/>
          </w:tcPr>
          <w:p>
            <w:pPr>
              <w:pStyle w:val="TableContents"/>
              <w:spacing w:lineRule="auto" w:line="240" w:before="0" w:after="0"/>
              <w:jc w:val="center"/>
              <w:rPr/>
            </w:pPr>
            <w:r>
              <w:rPr/>
              <w:t>Scenario</w:t>
            </w:r>
          </w:p>
        </w:tc>
        <w:tc>
          <w:tcPr>
            <w:tcW w:w="47" w:type="dxa"/>
            <w:tcBorders/>
            <w:shd w:fill="auto" w:val="clear"/>
          </w:tcPr>
          <w:p>
            <w:pPr>
              <w:pStyle w:val="Normal"/>
              <w:snapToGrid w:val="false"/>
              <w:spacing w:lineRule="auto" w:line="276" w:before="0" w:after="0"/>
              <w:jc w:val="center"/>
              <w:rPr/>
            </w:pPr>
            <w:r>
              <w:rPr/>
            </w:r>
          </w:p>
        </w:tc>
      </w:tr>
      <w:tr>
        <w:trPr>
          <w:cantSplit w:val="true"/>
        </w:trPr>
        <w:tc>
          <w:tcPr>
            <w:tcW w:w="1641" w:type="dxa"/>
            <w:vMerge w:val="continue"/>
            <w:tcBorders>
              <w:bottom w:val="single" w:sz="2" w:space="0" w:color="000000"/>
              <w:insideH w:val="single" w:sz="2" w:space="0" w:color="000000"/>
            </w:tcBorders>
            <w:shd w:fill="auto" w:val="clear"/>
            <w:vAlign w:val="center"/>
          </w:tcPr>
          <w:p>
            <w:pPr>
              <w:pStyle w:val="Normal"/>
              <w:widowControl/>
              <w:suppressAutoHyphens w:val="true"/>
              <w:bidi w:val="0"/>
              <w:spacing w:lineRule="auto" w:line="240" w:before="0" w:after="0"/>
              <w:jc w:val="both"/>
              <w:rPr/>
            </w:pPr>
            <w:r>
              <w:rPr/>
            </w:r>
          </w:p>
        </w:tc>
        <w:tc>
          <w:tcPr>
            <w:tcW w:w="1309" w:type="dxa"/>
            <w:tcBorders>
              <w:bottom w:val="single" w:sz="2" w:space="0" w:color="000000"/>
              <w:insideH w:val="single" w:sz="2" w:space="0" w:color="000000"/>
            </w:tcBorders>
            <w:shd w:fill="auto" w:val="clear"/>
          </w:tcPr>
          <w:p>
            <w:pPr>
              <w:pStyle w:val="TableContents"/>
              <w:spacing w:lineRule="auto" w:line="240" w:before="0" w:after="0"/>
              <w:jc w:val="right"/>
              <w:rPr/>
            </w:pPr>
            <w:r>
              <w:rPr/>
              <w:t>G10</w:t>
            </w:r>
          </w:p>
        </w:tc>
        <w:tc>
          <w:tcPr>
            <w:tcW w:w="1309" w:type="dxa"/>
            <w:tcBorders>
              <w:bottom w:val="single" w:sz="2" w:space="0" w:color="000000"/>
              <w:insideH w:val="single" w:sz="2" w:space="0" w:color="000000"/>
            </w:tcBorders>
            <w:shd w:fill="auto" w:val="clear"/>
          </w:tcPr>
          <w:p>
            <w:pPr>
              <w:pStyle w:val="TableContents"/>
              <w:spacing w:lineRule="auto" w:line="240" w:before="0" w:after="0"/>
              <w:jc w:val="right"/>
              <w:rPr/>
            </w:pPr>
            <w:r>
              <w:rPr/>
              <w:t>G9</w:t>
            </w:r>
          </w:p>
        </w:tc>
        <w:tc>
          <w:tcPr>
            <w:tcW w:w="1303" w:type="dxa"/>
            <w:tcBorders>
              <w:bottom w:val="single" w:sz="2" w:space="0" w:color="000000"/>
              <w:insideH w:val="single" w:sz="2" w:space="0" w:color="000000"/>
            </w:tcBorders>
            <w:shd w:fill="auto" w:val="clear"/>
          </w:tcPr>
          <w:p>
            <w:pPr>
              <w:pStyle w:val="TableContents"/>
              <w:spacing w:lineRule="auto" w:line="240" w:before="0" w:after="0"/>
              <w:jc w:val="right"/>
              <w:rPr/>
            </w:pPr>
            <w:r>
              <w:rPr/>
              <w:t>G8</w:t>
            </w:r>
          </w:p>
        </w:tc>
        <w:tc>
          <w:tcPr>
            <w:tcW w:w="1305" w:type="dxa"/>
            <w:tcBorders>
              <w:bottom w:val="single" w:sz="2" w:space="0" w:color="000000"/>
              <w:insideH w:val="single" w:sz="2" w:space="0" w:color="000000"/>
            </w:tcBorders>
            <w:shd w:fill="auto" w:val="clear"/>
          </w:tcPr>
          <w:p>
            <w:pPr>
              <w:pStyle w:val="TableContents"/>
              <w:spacing w:lineRule="auto" w:line="240" w:before="0" w:after="0"/>
              <w:jc w:val="right"/>
              <w:rPr/>
            </w:pPr>
            <w:r>
              <w:rPr/>
              <w:t>G5</w:t>
            </w:r>
          </w:p>
        </w:tc>
        <w:tc>
          <w:tcPr>
            <w:tcW w:w="1309" w:type="dxa"/>
            <w:tcBorders>
              <w:bottom w:val="single" w:sz="2" w:space="0" w:color="000000"/>
              <w:insideH w:val="single" w:sz="2" w:space="0" w:color="000000"/>
            </w:tcBorders>
            <w:shd w:fill="auto" w:val="clear"/>
          </w:tcPr>
          <w:p>
            <w:pPr>
              <w:pStyle w:val="TableContents"/>
              <w:spacing w:lineRule="auto" w:line="240" w:before="0" w:after="0"/>
              <w:jc w:val="right"/>
              <w:rPr/>
            </w:pPr>
            <w:r>
              <w:rPr/>
              <w:t>G2</w:t>
            </w:r>
          </w:p>
        </w:tc>
        <w:tc>
          <w:tcPr>
            <w:tcW w:w="1374" w:type="dxa"/>
            <w:gridSpan w:val="3"/>
            <w:tcBorders>
              <w:bottom w:val="single" w:sz="2" w:space="0" w:color="000000"/>
              <w:insideH w:val="single" w:sz="2" w:space="0" w:color="000000"/>
            </w:tcBorders>
            <w:shd w:fill="auto" w:val="clear"/>
          </w:tcPr>
          <w:p>
            <w:pPr>
              <w:pStyle w:val="TableContents"/>
              <w:spacing w:lineRule="auto" w:line="240" w:before="0" w:after="0"/>
              <w:jc w:val="right"/>
              <w:rPr/>
            </w:pPr>
            <w:r>
              <w:rPr/>
              <w:t>G1</w:t>
            </w:r>
          </w:p>
        </w:tc>
      </w:tr>
      <w:tr>
        <w:trPr>
          <w:trHeight w:val="727" w:hRule="atLeast"/>
          <w:cantSplit w:val="true"/>
        </w:trPr>
        <w:tc>
          <w:tcPr>
            <w:tcW w:w="1641" w:type="dxa"/>
            <w:tcBorders/>
            <w:shd w:fill="FFFFFF" w:val="clear"/>
          </w:tcPr>
          <w:p>
            <w:pPr>
              <w:pStyle w:val="TextBody"/>
              <w:snapToGrid w:val="false"/>
              <w:spacing w:lineRule="auto" w:line="240" w:before="0" w:after="0"/>
              <w:jc w:val="left"/>
              <w:textAlignment w:val="baseline"/>
              <w:rPr/>
            </w:pPr>
            <w:r>
              <w:rPr/>
              <w:t>$P:$G = 1:2</w:t>
            </w:r>
          </w:p>
        </w:tc>
        <w:tc>
          <w:tcPr>
            <w:tcW w:w="1309" w:type="dxa"/>
            <w:tcBorders/>
            <w:shd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309" w:type="dxa"/>
            <w:tcBorders/>
            <w:shd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303" w:type="dxa"/>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305" w:type="dxa"/>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309"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322"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c>
          <w:tcPr>
            <w:tcW w:w="52" w:type="dxa"/>
            <w:gridSpan w:val="2"/>
            <w:tcBorders/>
            <w:shd w:fill="auto" w:val="clear"/>
          </w:tcPr>
          <w:p>
            <w:pPr>
              <w:pStyle w:val="Normal"/>
              <w:snapToGrid w:val="false"/>
              <w:spacing w:lineRule="auto" w:line="276" w:before="0" w:after="0"/>
              <w:rPr/>
            </w:pPr>
            <w:r>
              <w:rPr/>
            </w:r>
          </w:p>
        </w:tc>
      </w:tr>
      <w:tr>
        <w:trPr>
          <w:trHeight w:val="727" w:hRule="atLeast"/>
          <w:cantSplit w:val="true"/>
        </w:trPr>
        <w:tc>
          <w:tcPr>
            <w:tcW w:w="1641" w:type="dxa"/>
            <w:tcBorders/>
            <w:shd w:fill="FFFFFF" w:val="clear"/>
          </w:tcPr>
          <w:p>
            <w:pPr>
              <w:pStyle w:val="TextBody"/>
              <w:snapToGrid w:val="false"/>
              <w:spacing w:lineRule="auto" w:line="240" w:before="0" w:after="0"/>
              <w:jc w:val="left"/>
              <w:textAlignment w:val="baseline"/>
              <w:rPr/>
            </w:pPr>
            <w:r>
              <w:rPr/>
              <w:t>$P:$G = 1:1</w:t>
            </w:r>
          </w:p>
        </w:tc>
        <w:tc>
          <w:tcPr>
            <w:tcW w:w="1309" w:type="dxa"/>
            <w:tcBorders/>
            <w:shd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309" w:type="dxa"/>
            <w:tcBorders/>
            <w:shd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303"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305"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30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322"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c>
          <w:tcPr>
            <w:tcW w:w="52" w:type="dxa"/>
            <w:gridSpan w:val="2"/>
            <w:tcBorders/>
            <w:shd w:fill="auto" w:val="clear"/>
          </w:tcPr>
          <w:p>
            <w:pPr>
              <w:pStyle w:val="Normal"/>
              <w:snapToGrid w:val="false"/>
              <w:spacing w:lineRule="auto" w:line="276" w:before="0" w:after="0"/>
              <w:rPr/>
            </w:pPr>
            <w:r>
              <w:rPr/>
            </w:r>
          </w:p>
        </w:tc>
      </w:tr>
      <w:tr>
        <w:trPr>
          <w:trHeight w:val="727" w:hRule="atLeast"/>
          <w:cantSplit w:val="true"/>
        </w:trPr>
        <w:tc>
          <w:tcPr>
            <w:tcW w:w="1641" w:type="dxa"/>
            <w:tcBorders/>
            <w:shd w:fill="FFFFFF" w:val="clear"/>
          </w:tcPr>
          <w:p>
            <w:pPr>
              <w:pStyle w:val="TextBody"/>
              <w:snapToGrid w:val="false"/>
              <w:spacing w:lineRule="auto" w:line="240" w:before="0" w:after="0"/>
              <w:jc w:val="left"/>
              <w:textAlignment w:val="baseline"/>
              <w:rPr/>
            </w:pPr>
            <w:r>
              <w:rPr/>
              <w:t>$P:$G = 2:1</w:t>
            </w:r>
          </w:p>
        </w:tc>
        <w:tc>
          <w:tcPr>
            <w:tcW w:w="1309" w:type="dxa"/>
            <w:tcBorders/>
            <w:shd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309" w:type="dxa"/>
            <w:tcBorders/>
            <w:shd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303" w:type="dxa"/>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305" w:type="dxa"/>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309" w:type="dxa"/>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322"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c>
          <w:tcPr>
            <w:tcW w:w="52" w:type="dxa"/>
            <w:gridSpan w:val="2"/>
            <w:tcBorders/>
            <w:shd w:fill="auto" w:val="clear"/>
          </w:tcPr>
          <w:p>
            <w:pPr>
              <w:pStyle w:val="Normal"/>
              <w:snapToGrid w:val="false"/>
              <w:spacing w:lineRule="auto" w:line="276" w:before="0" w:after="0"/>
              <w:rPr/>
            </w:pPr>
            <w:r>
              <w:rPr/>
            </w:r>
          </w:p>
        </w:tc>
      </w:tr>
    </w:tbl>
    <w:p>
      <w:pPr>
        <w:pStyle w:val="Heading2"/>
        <w:numPr>
          <w:ilvl w:val="1"/>
          <w:numId w:val="3"/>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3"/>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3"/>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461" w:type="dxa"/>
        <w:jc w:val="left"/>
        <w:tblInd w:w="66" w:type="dxa"/>
        <w:tblBorders>
          <w:bottom w:val="single" w:sz="2" w:space="0" w:color="000000"/>
          <w:insideH w:val="single" w:sz="2" w:space="0" w:color="000000"/>
        </w:tblBorders>
        <w:tblCellMar>
          <w:top w:w="0" w:type="dxa"/>
          <w:left w:w="108" w:type="dxa"/>
          <w:bottom w:w="0" w:type="dxa"/>
          <w:right w:w="108" w:type="dxa"/>
        </w:tblCellMar>
      </w:tblPr>
      <w:tblGrid>
        <w:gridCol w:w="2263"/>
        <w:gridCol w:w="1312"/>
        <w:gridCol w:w="1962"/>
        <w:gridCol w:w="1962"/>
        <w:gridCol w:w="1962"/>
      </w:tblGrid>
      <w:tr>
        <w:trPr>
          <w:trHeight w:val="369" w:hRule="exact"/>
          <w:cantSplit w:val="true"/>
        </w:trPr>
        <w:tc>
          <w:tcPr>
            <w:tcW w:w="2263"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Scenario</w:t>
            </w:r>
            <w:r>
              <w:rPr>
                <w:b w:val="false"/>
                <w:bCs w:val="false"/>
                <w:color w:val="000000"/>
                <w:szCs w:val="24"/>
                <w:vertAlign w:val="superscript"/>
                <w:lang w:val="en-GB"/>
              </w:rPr>
              <w:t>*</w:t>
            </w:r>
          </w:p>
        </w:tc>
        <w:tc>
          <w:tcPr>
            <w:tcW w:w="5886" w:type="dxa"/>
            <w:gridSpan w:val="3"/>
            <w:tcBorders/>
            <w:shd w:fill="FFFFFF" w:val="clear"/>
            <w:vAlign w:val="bottom"/>
          </w:tcPr>
          <w:p>
            <w:pPr>
              <w:pStyle w:val="Standard"/>
              <w:spacing w:lineRule="auto" w:line="240" w:before="0" w:after="0"/>
              <w:ind w:left="0" w:right="0" w:hanging="0"/>
              <w:jc w:val="center"/>
              <w:rPr>
                <w:b w:val="false"/>
                <w:b w:val="false"/>
                <w:bCs w:val="false"/>
              </w:rPr>
            </w:pPr>
            <w:r>
              <w:rPr>
                <w:b w:val="false"/>
                <w:bCs w:val="false"/>
                <w:color w:val="000000"/>
                <w:szCs w:val="24"/>
                <w:lang w:val="en-GB"/>
              </w:rPr>
              <w:t>Relative cost of phenotyping ($P) to genotyping ($G)</w:t>
            </w:r>
          </w:p>
        </w:tc>
      </w:tr>
      <w:tr>
        <w:trPr>
          <w:trHeight w:val="369" w:hRule="exact"/>
          <w:cantSplit w:val="true"/>
        </w:trPr>
        <w:tc>
          <w:tcPr>
            <w:tcW w:w="2263" w:type="dxa"/>
            <w:vMerge w:val="continue"/>
            <w:tcBorders>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312" w:type="dxa"/>
            <w:vMerge w:val="continue"/>
            <w:tcBorders>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962" w:type="dxa"/>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1:2</w:t>
            </w:r>
          </w:p>
        </w:tc>
        <w:tc>
          <w:tcPr>
            <w:tcW w:w="1962" w:type="dxa"/>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1:1</w:t>
            </w:r>
          </w:p>
        </w:tc>
        <w:tc>
          <w:tcPr>
            <w:tcW w:w="1962" w:type="dxa"/>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C11</w:t>
            </w:r>
          </w:p>
        </w:tc>
        <w:tc>
          <w:tcPr>
            <w:tcW w:w="1962" w:type="dxa"/>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962" w:type="dxa"/>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962" w:type="dxa"/>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r>
      <w:tr>
        <w:trPr>
          <w:trHeight w:val="624" w:hRule="exact"/>
        </w:trPr>
        <w:tc>
          <w:tcPr>
            <w:tcW w:w="2263" w:type="dxa"/>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 xml:space="preserve">With initial </w:t>
            </w:r>
            <w:r>
              <w:rPr>
                <w:b w:val="false"/>
                <w:bCs w:val="false"/>
                <w:color w:val="000000"/>
                <w:szCs w:val="24"/>
                <w:lang w:val="en-GB"/>
              </w:rPr>
              <w:t>TP</w:t>
            </w:r>
          </w:p>
        </w:tc>
        <w:tc>
          <w:tcPr>
            <w:tcW w:w="1312" w:type="dxa"/>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962" w:type="dxa"/>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962" w:type="dxa"/>
            <w:tcBorders/>
            <w:shd w:fill="FFFFFF" w:val="clear"/>
            <w:vAlign w:val="bottom"/>
          </w:tcPr>
          <w:p>
            <w:pPr>
              <w:pStyle w:val="Standard"/>
              <w:spacing w:lineRule="auto" w:line="240" w:before="0" w:after="0"/>
              <w:ind w:left="0" w:right="0"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962" w:type="dxa"/>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962" w:type="dxa"/>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263" w:type="dxa"/>
            <w:tcBorders/>
            <w:shd w:fill="auto"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auto"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G1</w:t>
            </w:r>
          </w:p>
        </w:tc>
        <w:tc>
          <w:tcPr>
            <w:tcW w:w="1962" w:type="dxa"/>
            <w:tcBorders/>
            <w:shd w:fill="auto" w:val="clear"/>
            <w:vAlign w:val="bottom"/>
          </w:tcPr>
          <w:p>
            <w:pPr>
              <w:pStyle w:val="Standard"/>
              <w:shd w:val="clear" w:fill="FFFFFF"/>
              <w:spacing w:lineRule="auto" w:line="240" w:before="0" w:after="0"/>
              <w:ind w:left="0" w:right="0" w:hanging="0"/>
              <w:jc w:val="right"/>
              <w:rPr>
                <w:b/>
                <w:b/>
                <w:bCs/>
              </w:rPr>
            </w:pPr>
            <w:r>
              <w:rPr>
                <w:b/>
                <w:bCs/>
                <w:lang w:val="en-GB"/>
              </w:rPr>
              <w:t>7.11</w:t>
            </w:r>
            <w:r>
              <w:rPr>
                <w:b/>
                <w:bCs/>
                <w:vertAlign w:val="subscript"/>
                <w:lang w:val="en-GB"/>
              </w:rPr>
              <w:t>0.16</w:t>
            </w:r>
            <w:r>
              <w:rPr>
                <w:b/>
                <w:bCs/>
                <w:vertAlign w:val="superscript"/>
                <w:lang w:val="en-GB"/>
              </w:rPr>
              <w:t>e,A</w:t>
            </w:r>
          </w:p>
        </w:tc>
        <w:tc>
          <w:tcPr>
            <w:tcW w:w="1962" w:type="dxa"/>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962" w:type="dxa"/>
            <w:tcBorders/>
            <w:shd w:fill="FFFFFF" w:val="clear"/>
            <w:vAlign w:val="bottom"/>
          </w:tcPr>
          <w:p>
            <w:pPr>
              <w:pStyle w:val="Standard"/>
              <w:spacing w:lineRule="auto" w:line="240" w:before="0" w:after="0"/>
              <w:ind w:left="0" w:right="0" w:hanging="0"/>
              <w:jc w:val="right"/>
              <w:rPr>
                <w:b/>
                <w:b/>
                <w:bCs/>
              </w:rPr>
            </w:pPr>
            <w:r>
              <w:rPr>
                <w:b/>
                <w:bCs/>
                <w:lang w:val="en-GB"/>
              </w:rPr>
              <w:t>7.24</w:t>
            </w:r>
            <w:r>
              <w:rPr>
                <w:b/>
                <w:bCs/>
                <w:vertAlign w:val="subscript"/>
                <w:lang w:val="en-GB"/>
              </w:rPr>
              <w:t>0.22</w:t>
            </w:r>
            <w:r>
              <w:rPr>
                <w:b/>
                <w:bCs/>
                <w:vertAlign w:val="superscript"/>
                <w:lang w:val="en-GB"/>
              </w:rPr>
              <w:t>c,A</w:t>
            </w:r>
          </w:p>
        </w:tc>
      </w:tr>
      <w:tr>
        <w:trPr>
          <w:trHeight w:val="624" w:hRule="exact"/>
        </w:trPr>
        <w:tc>
          <w:tcPr>
            <w:tcW w:w="2263" w:type="dxa"/>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 xml:space="preserve">Without initial </w:t>
            </w:r>
            <w:r>
              <w:rPr>
                <w:b w:val="false"/>
                <w:bCs w:val="false"/>
                <w:color w:val="000000"/>
                <w:szCs w:val="24"/>
                <w:lang w:val="en-GB"/>
              </w:rPr>
              <w:t>TP</w:t>
            </w:r>
          </w:p>
        </w:tc>
        <w:tc>
          <w:tcPr>
            <w:tcW w:w="1312" w:type="dxa"/>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962" w:type="dxa"/>
            <w:tcBorders/>
            <w:shd w:fill="FFFFFF" w:val="clear"/>
            <w:vAlign w:val="bottom"/>
          </w:tcPr>
          <w:p>
            <w:pPr>
              <w:pStyle w:val="Standard"/>
              <w:spacing w:lineRule="auto" w:line="240" w:before="227" w:after="0"/>
              <w:ind w:left="0" w:right="0"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962" w:type="dxa"/>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962" w:type="dxa"/>
            <w:tcBorders/>
            <w:shd w:fill="auto" w:val="clear"/>
            <w:vAlign w:val="bottom"/>
          </w:tcPr>
          <w:p>
            <w:pPr>
              <w:pStyle w:val="Standard"/>
              <w:spacing w:lineRule="auto" w:line="240" w:before="0" w:after="0"/>
              <w:ind w:left="0" w:right="0"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962" w:type="dxa"/>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962" w:type="dxa"/>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263"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312" w:type="dxa"/>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G1</w:t>
            </w:r>
          </w:p>
        </w:tc>
        <w:tc>
          <w:tcPr>
            <w:tcW w:w="1962" w:type="dxa"/>
            <w:tcBorders/>
            <w:shd w:fill="auto" w:val="clear"/>
            <w:vAlign w:val="bottom"/>
          </w:tcPr>
          <w:p>
            <w:pPr>
              <w:pStyle w:val="Standard"/>
              <w:spacing w:lineRule="auto" w:line="240" w:before="0" w:after="0"/>
              <w:ind w:left="0" w:right="0" w:hanging="0"/>
              <w:jc w:val="right"/>
              <w:rPr>
                <w:b/>
                <w:b/>
                <w:bCs/>
              </w:rPr>
            </w:pPr>
            <w:r>
              <w:rPr>
                <w:b/>
                <w:bCs/>
                <w:lang w:val="en-GB"/>
              </w:rPr>
              <w:t>6.78</w:t>
            </w:r>
            <w:r>
              <w:rPr>
                <w:b/>
                <w:bCs/>
                <w:vertAlign w:val="subscript"/>
                <w:lang w:val="en-GB"/>
              </w:rPr>
              <w:t>0.29</w:t>
            </w:r>
            <w:r>
              <w:rPr>
                <w:b/>
                <w:bCs/>
                <w:vertAlign w:val="superscript"/>
                <w:lang w:val="en-GB"/>
              </w:rPr>
              <w:t>f,A</w:t>
            </w:r>
          </w:p>
        </w:tc>
        <w:tc>
          <w:tcPr>
            <w:tcW w:w="1962" w:type="dxa"/>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962" w:type="dxa"/>
            <w:tcBorders/>
            <w:shd w:fill="auto" w:val="clear"/>
            <w:vAlign w:val="bottom"/>
          </w:tcPr>
          <w:p>
            <w:pPr>
              <w:pStyle w:val="Standard"/>
              <w:spacing w:lineRule="auto" w:line="240" w:before="0" w:after="0"/>
              <w:ind w:left="0" w:right="0"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w:t>
      </w:r>
      <w:r>
        <w:rPr>
          <w:rFonts w:eastAsia="Wingdings"/>
          <w:color w:val="000000"/>
          <w:highlight w:val="white"/>
        </w:rPr>
        <w:t>(TP)</w:t>
      </w:r>
      <w:r>
        <w:rPr>
          <w:rFonts w:eastAsia="Wingdings"/>
          <w:color w:val="000000"/>
          <w:highlight w:val="white"/>
        </w:rPr>
        <w:t>.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9638" w:type="dxa"/>
        <w:jc w:val="left"/>
        <w:tblInd w:w="5" w:type="dxa"/>
        <w:tblBorders>
          <w:bottom w:val="single" w:sz="2" w:space="0" w:color="000000"/>
          <w:insideH w:val="single" w:sz="2" w:space="0" w:color="000000"/>
        </w:tblBorders>
        <w:tblCellMar>
          <w:top w:w="55" w:type="dxa"/>
          <w:left w:w="50" w:type="dxa"/>
          <w:bottom w:w="55" w:type="dxa"/>
          <w:right w:w="55" w:type="dxa"/>
        </w:tblCellMar>
      </w:tblPr>
      <w:tblGrid>
        <w:gridCol w:w="2409"/>
        <w:gridCol w:w="2410"/>
        <w:gridCol w:w="2400"/>
        <w:gridCol w:w="2418"/>
      </w:tblGrid>
      <w:tr>
        <w:trPr>
          <w:trHeight w:val="369" w:hRule="exact"/>
        </w:trPr>
        <w:tc>
          <w:tcPr>
            <w:tcW w:w="2409" w:type="dxa"/>
            <w:vMerge w:val="restart"/>
            <w:tcBorders>
              <w:bottom w:val="single" w:sz="2" w:space="0" w:color="000000"/>
              <w:insideH w:val="single" w:sz="2" w:space="0" w:color="000000"/>
            </w:tcBorders>
            <w:shd w:fill="auto" w:val="clear"/>
            <w:vAlign w:val="bottom"/>
          </w:tcPr>
          <w:p>
            <w:pPr>
              <w:pStyle w:val="Standard"/>
              <w:ind w:left="0" w:right="0" w:hanging="0"/>
              <w:jc w:val="left"/>
              <w:rPr>
                <w:b w:val="false"/>
                <w:b w:val="false"/>
                <w:bCs w:val="false"/>
              </w:rPr>
            </w:pPr>
            <w:r>
              <w:rPr>
                <w:b w:val="false"/>
                <w:bCs w:val="false"/>
              </w:rPr>
              <w:t>Scenario</w:t>
            </w:r>
          </w:p>
        </w:tc>
        <w:tc>
          <w:tcPr>
            <w:tcW w:w="7228" w:type="dxa"/>
            <w:gridSpan w:val="3"/>
            <w:tcBorders/>
            <w:shd w:fill="auto" w:val="clear"/>
            <w:vAlign w:val="bottom"/>
          </w:tcPr>
          <w:p>
            <w:pPr>
              <w:pStyle w:val="Standard"/>
              <w:spacing w:lineRule="auto" w:line="360"/>
              <w:ind w:left="0" w:right="0" w:hanging="0"/>
              <w:jc w:val="center"/>
              <w:rPr>
                <w:b/>
                <w:b/>
                <w:bCs/>
                <w:color w:val="000000"/>
                <w:szCs w:val="24"/>
                <w:highlight w:val="white"/>
                <w:lang w:val="en-GB"/>
              </w:rPr>
            </w:pPr>
            <w:r>
              <w:rPr>
                <w:b w:val="false"/>
                <w:bCs w:val="false"/>
                <w:color w:val="000000"/>
                <w:szCs w:val="24"/>
                <w:highlight w:val="white"/>
                <w:lang w:val="en-GB"/>
              </w:rPr>
              <w:t>Relative cost of phenotyping ($P) to genotyping ($G)</w:t>
            </w:r>
          </w:p>
        </w:tc>
      </w:tr>
      <w:tr>
        <w:trPr>
          <w:trHeight w:val="369" w:hRule="exact"/>
        </w:trPr>
        <w:tc>
          <w:tcPr>
            <w:tcW w:w="2409" w:type="dxa"/>
            <w:vMerge w:val="continue"/>
            <w:tcBorders>
              <w:bottom w:val="single" w:sz="2" w:space="0" w:color="000000"/>
              <w:insideH w:val="single" w:sz="2" w:space="0" w:color="000000"/>
            </w:tcBorders>
            <w:shd w:fill="auto" w:val="clear"/>
            <w:vAlign w:val="bottom"/>
          </w:tcPr>
          <w:p>
            <w:pPr>
              <w:pStyle w:val="Standard"/>
              <w:ind w:left="0" w:right="0" w:hanging="0"/>
              <w:jc w:val="center"/>
              <w:rPr>
                <w:b w:val="false"/>
                <w:b w:val="false"/>
                <w:bCs w:val="false"/>
              </w:rPr>
            </w:pPr>
            <w:r>
              <w:rPr>
                <w:b w:val="false"/>
                <w:bCs w:val="false"/>
              </w:rPr>
            </w:r>
          </w:p>
        </w:tc>
        <w:tc>
          <w:tcPr>
            <w:tcW w:w="2410"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1:2</w:t>
            </w:r>
          </w:p>
        </w:tc>
        <w:tc>
          <w:tcPr>
            <w:tcW w:w="2400"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1:1</w:t>
            </w:r>
          </w:p>
        </w:tc>
        <w:tc>
          <w:tcPr>
            <w:tcW w:w="2418"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C11</w:t>
            </w:r>
          </w:p>
        </w:tc>
        <w:tc>
          <w:tcPr>
            <w:tcW w:w="2410" w:type="dxa"/>
            <w:tcBorders/>
            <w:shd w:fill="auto" w:val="clear"/>
            <w:vAlign w:val="bottom"/>
          </w:tcPr>
          <w:p>
            <w:pPr>
              <w:pStyle w:val="TableContents"/>
              <w:spacing w:lineRule="auto" w:line="240" w:before="0" w:after="240"/>
              <w:jc w:val="right"/>
              <w:rPr/>
            </w:pPr>
            <w:r>
              <w:rPr/>
              <w:t>0.80</w:t>
            </w:r>
          </w:p>
        </w:tc>
        <w:tc>
          <w:tcPr>
            <w:tcW w:w="2400" w:type="dxa"/>
            <w:tcBorders/>
            <w:shd w:fill="auto" w:val="clear"/>
            <w:vAlign w:val="bottom"/>
          </w:tcPr>
          <w:p>
            <w:pPr>
              <w:pStyle w:val="TableContents"/>
              <w:spacing w:lineRule="auto" w:line="240" w:before="0" w:after="240"/>
              <w:jc w:val="right"/>
              <w:rPr/>
            </w:pPr>
            <w:r>
              <w:rPr/>
              <w:t>0.80</w:t>
            </w:r>
          </w:p>
        </w:tc>
        <w:tc>
          <w:tcPr>
            <w:tcW w:w="2418" w:type="dxa"/>
            <w:tcBorders/>
            <w:shd w:fill="auto" w:val="clear"/>
            <w:vAlign w:val="bottom"/>
          </w:tcPr>
          <w:p>
            <w:pPr>
              <w:pStyle w:val="TableContents"/>
              <w:spacing w:lineRule="auto" w:line="240" w:before="0" w:after="240"/>
              <w:jc w:val="right"/>
              <w:rPr/>
            </w:pPr>
            <w:r>
              <w:rPr/>
              <w:t>0.80</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G10</w:t>
            </w:r>
          </w:p>
        </w:tc>
        <w:tc>
          <w:tcPr>
            <w:tcW w:w="2410" w:type="dxa"/>
            <w:tcBorders/>
            <w:shd w:fill="auto" w:val="clear"/>
            <w:vAlign w:val="bottom"/>
          </w:tcPr>
          <w:p>
            <w:pPr>
              <w:pStyle w:val="TableContents"/>
              <w:spacing w:lineRule="auto" w:line="240" w:before="0" w:after="240"/>
              <w:jc w:val="right"/>
              <w:rPr/>
            </w:pPr>
            <w:r>
              <w:rPr/>
              <w:t>1.32</w:t>
            </w:r>
          </w:p>
        </w:tc>
        <w:tc>
          <w:tcPr>
            <w:tcW w:w="2400" w:type="dxa"/>
            <w:tcBorders/>
            <w:shd w:fill="auto" w:val="clear"/>
            <w:vAlign w:val="bottom"/>
          </w:tcPr>
          <w:p>
            <w:pPr>
              <w:pStyle w:val="TableContents"/>
              <w:spacing w:lineRule="auto" w:line="240" w:before="0" w:after="240"/>
              <w:jc w:val="right"/>
              <w:rPr/>
            </w:pPr>
            <w:r>
              <w:rPr/>
              <w:t>1.71</w:t>
            </w:r>
          </w:p>
        </w:tc>
        <w:tc>
          <w:tcPr>
            <w:tcW w:w="2418" w:type="dxa"/>
            <w:tcBorders/>
            <w:shd w:fill="auto" w:val="clear"/>
            <w:vAlign w:val="bottom"/>
          </w:tcPr>
          <w:p>
            <w:pPr>
              <w:pStyle w:val="TableContents"/>
              <w:spacing w:lineRule="auto" w:line="240" w:before="0" w:after="240"/>
              <w:jc w:val="right"/>
              <w:rPr/>
            </w:pPr>
            <w:r>
              <w:rPr/>
              <w:t>2.02</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G9</w:t>
            </w:r>
          </w:p>
        </w:tc>
        <w:tc>
          <w:tcPr>
            <w:tcW w:w="2410" w:type="dxa"/>
            <w:tcBorders/>
            <w:shd w:fill="auto" w:val="clear"/>
            <w:vAlign w:val="bottom"/>
          </w:tcPr>
          <w:p>
            <w:pPr>
              <w:pStyle w:val="TableContents"/>
              <w:spacing w:lineRule="auto" w:line="240" w:before="0" w:after="240"/>
              <w:jc w:val="right"/>
              <w:rPr/>
            </w:pPr>
            <w:r>
              <w:rPr/>
              <w:t>1.76</w:t>
            </w:r>
          </w:p>
        </w:tc>
        <w:tc>
          <w:tcPr>
            <w:tcW w:w="2400" w:type="dxa"/>
            <w:tcBorders/>
            <w:shd w:fill="auto" w:val="clear"/>
            <w:vAlign w:val="bottom"/>
          </w:tcPr>
          <w:p>
            <w:pPr>
              <w:pStyle w:val="TableContents"/>
              <w:spacing w:lineRule="auto" w:line="240" w:before="0" w:after="240"/>
              <w:jc w:val="right"/>
              <w:rPr/>
            </w:pPr>
            <w:r>
              <w:rPr/>
              <w:t>2.06</w:t>
            </w:r>
          </w:p>
        </w:tc>
        <w:tc>
          <w:tcPr>
            <w:tcW w:w="2418" w:type="dxa"/>
            <w:tcBorders/>
            <w:shd w:fill="auto" w:val="clear"/>
            <w:vAlign w:val="bottom"/>
          </w:tcPr>
          <w:p>
            <w:pPr>
              <w:pStyle w:val="TableContents"/>
              <w:spacing w:lineRule="auto" w:line="240" w:before="0" w:after="240"/>
              <w:jc w:val="right"/>
              <w:rPr/>
            </w:pPr>
            <w:r>
              <w:rPr/>
              <w:t>2.48</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G8</w:t>
            </w:r>
          </w:p>
        </w:tc>
        <w:tc>
          <w:tcPr>
            <w:tcW w:w="2410" w:type="dxa"/>
            <w:tcBorders/>
            <w:shd w:fill="auto" w:val="clear"/>
            <w:vAlign w:val="bottom"/>
          </w:tcPr>
          <w:p>
            <w:pPr>
              <w:pStyle w:val="TableContents"/>
              <w:spacing w:lineRule="auto" w:line="240" w:before="0" w:after="240"/>
              <w:jc w:val="right"/>
              <w:rPr/>
            </w:pPr>
            <w:r>
              <w:rPr/>
              <w:t>1.99</w:t>
            </w:r>
          </w:p>
        </w:tc>
        <w:tc>
          <w:tcPr>
            <w:tcW w:w="2400" w:type="dxa"/>
            <w:tcBorders/>
            <w:shd w:fill="auto" w:val="clear"/>
            <w:vAlign w:val="bottom"/>
          </w:tcPr>
          <w:p>
            <w:pPr>
              <w:pStyle w:val="TableContents"/>
              <w:spacing w:lineRule="auto" w:line="240" w:before="0" w:after="240"/>
              <w:jc w:val="right"/>
              <w:rPr/>
            </w:pPr>
            <w:r>
              <w:rPr/>
              <w:t>2.27</w:t>
            </w:r>
          </w:p>
        </w:tc>
        <w:tc>
          <w:tcPr>
            <w:tcW w:w="2418" w:type="dxa"/>
            <w:tcBorders/>
            <w:shd w:fill="auto" w:val="clear"/>
            <w:vAlign w:val="bottom"/>
          </w:tcPr>
          <w:p>
            <w:pPr>
              <w:pStyle w:val="TableContents"/>
              <w:spacing w:lineRule="auto" w:line="240" w:before="0" w:after="240"/>
              <w:jc w:val="right"/>
              <w:rPr/>
            </w:pPr>
            <w:r>
              <w:rPr/>
              <w:t>2.52</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G5</w:t>
            </w:r>
          </w:p>
        </w:tc>
        <w:tc>
          <w:tcPr>
            <w:tcW w:w="2410" w:type="dxa"/>
            <w:tcBorders/>
            <w:shd w:fill="auto" w:val="clear"/>
            <w:vAlign w:val="bottom"/>
          </w:tcPr>
          <w:p>
            <w:pPr>
              <w:pStyle w:val="TableContents"/>
              <w:spacing w:lineRule="auto" w:line="240" w:before="0" w:after="240"/>
              <w:jc w:val="right"/>
              <w:rPr/>
            </w:pPr>
            <w:r>
              <w:rPr/>
              <w:t>2.40</w:t>
            </w:r>
          </w:p>
        </w:tc>
        <w:tc>
          <w:tcPr>
            <w:tcW w:w="2400" w:type="dxa"/>
            <w:tcBorders/>
            <w:shd w:fill="auto" w:val="clear"/>
            <w:vAlign w:val="bottom"/>
          </w:tcPr>
          <w:p>
            <w:pPr>
              <w:pStyle w:val="TableContents"/>
              <w:spacing w:lineRule="auto" w:line="240" w:before="0" w:after="240"/>
              <w:jc w:val="right"/>
              <w:rPr/>
            </w:pPr>
            <w:r>
              <w:rPr/>
              <w:t>2.63</w:t>
            </w:r>
          </w:p>
        </w:tc>
        <w:tc>
          <w:tcPr>
            <w:tcW w:w="2418" w:type="dxa"/>
            <w:tcBorders/>
            <w:shd w:fill="auto" w:val="clear"/>
            <w:vAlign w:val="bottom"/>
          </w:tcPr>
          <w:p>
            <w:pPr>
              <w:pStyle w:val="TableContents"/>
              <w:spacing w:lineRule="auto" w:line="240" w:before="0" w:after="240"/>
              <w:jc w:val="right"/>
              <w:rPr/>
            </w:pPr>
            <w:r>
              <w:rPr/>
              <w:t>2.85</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G2</w:t>
            </w:r>
          </w:p>
        </w:tc>
        <w:tc>
          <w:tcPr>
            <w:tcW w:w="2410" w:type="dxa"/>
            <w:tcBorders/>
            <w:shd w:fill="auto" w:val="clear"/>
            <w:vAlign w:val="bottom"/>
          </w:tcPr>
          <w:p>
            <w:pPr>
              <w:pStyle w:val="TableContents"/>
              <w:spacing w:lineRule="auto" w:line="240" w:before="0" w:after="240"/>
              <w:jc w:val="right"/>
              <w:rPr/>
            </w:pPr>
            <w:r>
              <w:rPr/>
              <w:t>2.63</w:t>
            </w:r>
          </w:p>
        </w:tc>
        <w:tc>
          <w:tcPr>
            <w:tcW w:w="2400" w:type="dxa"/>
            <w:tcBorders/>
            <w:shd w:fill="auto" w:val="clear"/>
            <w:vAlign w:val="bottom"/>
          </w:tcPr>
          <w:p>
            <w:pPr>
              <w:pStyle w:val="TableContents"/>
              <w:spacing w:lineRule="auto" w:line="240" w:before="0" w:after="240"/>
              <w:jc w:val="right"/>
              <w:rPr/>
            </w:pPr>
            <w:r>
              <w:rPr/>
              <w:t>2.86</w:t>
            </w:r>
          </w:p>
        </w:tc>
        <w:tc>
          <w:tcPr>
            <w:tcW w:w="2418" w:type="dxa"/>
            <w:tcBorders/>
            <w:shd w:fill="auto" w:val="clear"/>
            <w:vAlign w:val="bottom"/>
          </w:tcPr>
          <w:p>
            <w:pPr>
              <w:pStyle w:val="TableContents"/>
              <w:spacing w:lineRule="auto" w:line="240" w:before="0" w:after="240"/>
              <w:jc w:val="right"/>
              <w:rPr/>
            </w:pPr>
            <w:r>
              <w:rPr/>
              <w:t>3.11</w:t>
            </w:r>
          </w:p>
        </w:tc>
      </w:tr>
      <w:tr>
        <w:trPr>
          <w:trHeight w:val="369" w:hRule="exact"/>
        </w:trPr>
        <w:tc>
          <w:tcPr>
            <w:tcW w:w="2409"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w:t>
            </w:r>
          </w:p>
        </w:tc>
        <w:tc>
          <w:tcPr>
            <w:tcW w:w="2410" w:type="dxa"/>
            <w:tcBorders/>
            <w:shd w:fill="auto" w:val="clear"/>
            <w:vAlign w:val="bottom"/>
          </w:tcPr>
          <w:p>
            <w:pPr>
              <w:pStyle w:val="TableContents"/>
              <w:spacing w:lineRule="auto" w:line="240" w:before="0" w:after="240"/>
              <w:jc w:val="right"/>
              <w:rPr/>
            </w:pPr>
            <w:r>
              <w:rPr/>
              <w:t>2.70</w:t>
            </w:r>
          </w:p>
        </w:tc>
        <w:tc>
          <w:tcPr>
            <w:tcW w:w="2400" w:type="dxa"/>
            <w:tcBorders/>
            <w:shd w:fill="auto" w:val="clear"/>
            <w:vAlign w:val="bottom"/>
          </w:tcPr>
          <w:p>
            <w:pPr>
              <w:pStyle w:val="TableContents"/>
              <w:spacing w:lineRule="auto" w:line="240" w:before="0" w:after="240"/>
              <w:jc w:val="right"/>
              <w:rPr/>
            </w:pPr>
            <w:r>
              <w:rPr/>
              <w:t>2.93</w:t>
            </w:r>
          </w:p>
        </w:tc>
        <w:tc>
          <w:tcPr>
            <w:tcW w:w="2418" w:type="dxa"/>
            <w:tcBorders/>
            <w:shd w:fill="auto" w:val="clear"/>
            <w:vAlign w:val="bottom"/>
          </w:tcPr>
          <w:p>
            <w:pPr>
              <w:pStyle w:val="TableContents"/>
              <w:spacing w:lineRule="auto" w:line="240" w:before="0" w:after="240"/>
              <w:jc w:val="right"/>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3"/>
        </w:numPr>
        <w:rPr/>
      </w:pPr>
      <w:r>
        <w:rPr/>
        <w:t>Accuracy with an initial training population</w:t>
      </w:r>
    </w:p>
    <w:p>
      <w:pPr>
        <w:pStyle w:val="Normal"/>
        <w:rPr>
          <w:b/>
          <w:b/>
          <w:bCs/>
          <w:color w:val="000000"/>
          <w:highlight w:val="white"/>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blCellMar>
          <w:top w:w="28" w:type="dxa"/>
          <w:left w:w="28" w:type="dxa"/>
          <w:bottom w:w="28" w:type="dxa"/>
          <w:right w:w="28" w:type="dxa"/>
        </w:tblCellMar>
      </w:tblPr>
      <w:tblGrid>
        <w:gridCol w:w="1130"/>
        <w:gridCol w:w="1401"/>
        <w:gridCol w:w="1401"/>
        <w:gridCol w:w="1400"/>
        <w:gridCol w:w="1401"/>
        <w:gridCol w:w="1401"/>
        <w:gridCol w:w="1441"/>
        <w:gridCol w:w="32"/>
      </w:tblGrid>
      <w:tr>
        <w:trPr>
          <w:trHeight w:val="369" w:hRule="exact"/>
          <w:cantSplit w:val="true"/>
        </w:trPr>
        <w:tc>
          <w:tcPr>
            <w:tcW w:w="1130" w:type="dxa"/>
            <w:vMerge w:val="restart"/>
            <w:tcBorders/>
            <w:shd w:fill="FFFFFF" w:val="clear"/>
            <w:vAlign w:val="bottom"/>
          </w:tcPr>
          <w:p>
            <w:pPr>
              <w:pStyle w:val="Normal"/>
              <w:snapToGrid w:val="false"/>
              <w:spacing w:before="0" w:after="240"/>
              <w:rPr>
                <w:b/>
                <w:b/>
                <w:bCs/>
              </w:rPr>
            </w:pPr>
            <w:r>
              <w:rPr>
                <w:b w:val="false"/>
                <w:bCs w:val="false"/>
              </w:rPr>
              <w:t>Scenario</w:t>
            </w:r>
          </w:p>
        </w:tc>
        <w:tc>
          <w:tcPr>
            <w:tcW w:w="4202" w:type="dxa"/>
            <w:gridSpan w:val="3"/>
            <w:tcBorders/>
            <w:shd w:fill="FFFFFF" w:val="clear"/>
            <w:vAlign w:val="bottom"/>
          </w:tcPr>
          <w:p>
            <w:pPr>
              <w:pStyle w:val="Standard"/>
              <w:ind w:left="0" w:right="0" w:hanging="0"/>
              <w:jc w:val="center"/>
              <w:rPr>
                <w:b/>
                <w:b/>
                <w:bCs/>
                <w:highlight w:val="white"/>
                <w:lang w:val="en-GB"/>
              </w:rPr>
            </w:pPr>
            <w:r>
              <w:rPr>
                <w:b w:val="false"/>
                <w:bCs w:val="false"/>
                <w:lang w:val="en-GB"/>
              </w:rPr>
              <w:t>With initial training population</w:t>
            </w:r>
          </w:p>
        </w:tc>
        <w:tc>
          <w:tcPr>
            <w:tcW w:w="4243" w:type="dxa"/>
            <w:gridSpan w:val="3"/>
            <w:tcBorders/>
            <w:shd w:fill="FFFFFF" w:val="clear"/>
            <w:vAlign w:val="bottom"/>
          </w:tcPr>
          <w:p>
            <w:pPr>
              <w:pStyle w:val="Standard"/>
              <w:ind w:left="0" w:right="0" w:hanging="0"/>
              <w:jc w:val="center"/>
              <w:rPr>
                <w:b/>
                <w:b/>
                <w:bCs/>
                <w:highlight w:val="white"/>
                <w:lang w:val="en-GB"/>
              </w:rPr>
            </w:pPr>
            <w:r>
              <w:rPr>
                <w:b w:val="false"/>
                <w:bCs w:val="false"/>
                <w:lang w:val="en-GB"/>
              </w:rPr>
              <w:t>Without initial training population</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cantSplit w:val="true"/>
        </w:trPr>
        <w:tc>
          <w:tcPr>
            <w:tcW w:w="1130" w:type="dxa"/>
            <w:vMerge w:val="continue"/>
            <w:tcBorders/>
            <w:shd w:fill="FFFFFF" w:val="clear"/>
            <w:vAlign w:val="bottom"/>
          </w:tcPr>
          <w:p>
            <w:pPr>
              <w:pStyle w:val="Normal"/>
              <w:snapToGrid w:val="false"/>
              <w:spacing w:before="0" w:after="240"/>
              <w:rPr>
                <w:b w:val="false"/>
                <w:b w:val="false"/>
                <w:bCs w:val="false"/>
              </w:rPr>
            </w:pPr>
            <w:r>
              <w:rPr>
                <w:b w:val="false"/>
                <w:bCs w:val="false"/>
              </w:rPr>
            </w:r>
          </w:p>
        </w:tc>
        <w:tc>
          <w:tcPr>
            <w:tcW w:w="8445" w:type="dxa"/>
            <w:gridSpan w:val="6"/>
            <w:tcBorders/>
            <w:shd w:fill="FFFFFF" w:val="clear"/>
            <w:vAlign w:val="bottom"/>
          </w:tcPr>
          <w:p>
            <w:pPr>
              <w:pStyle w:val="Standard"/>
              <w:ind w:left="0" w:right="0" w:hanging="0"/>
              <w:jc w:val="center"/>
              <w:rPr>
                <w:b/>
                <w:b/>
                <w:bCs/>
                <w:highlight w:val="white"/>
                <w:lang w:val="en-GB"/>
              </w:rPr>
            </w:pPr>
            <w:r>
              <w:rPr>
                <w:b w:val="false"/>
                <w:bCs w:val="false"/>
                <w:lang w:val="en-GB"/>
              </w:rPr>
              <w:t>Relative cost of phenotyping ($P) to genotyping ($G)</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cantSplit w:val="true"/>
        </w:trPr>
        <w:tc>
          <w:tcPr>
            <w:tcW w:w="1130" w:type="dxa"/>
            <w:vMerge w:val="continue"/>
            <w:tcBorders/>
            <w:shd w:fill="FFFFFF" w:val="clear"/>
            <w:vAlign w:val="bottom"/>
          </w:tcPr>
          <w:p>
            <w:pPr>
              <w:pStyle w:val="Normal"/>
              <w:snapToGrid w:val="false"/>
              <w:spacing w:before="0" w:after="240"/>
              <w:rPr>
                <w:b w:val="false"/>
                <w:b w:val="false"/>
                <w:bCs w:val="false"/>
              </w:rPr>
            </w:pPr>
            <w:r>
              <w:rPr>
                <w:b w:val="false"/>
                <w:bCs w:val="false"/>
              </w:rPr>
            </w:r>
          </w:p>
        </w:tc>
        <w:tc>
          <w:tcPr>
            <w:tcW w:w="1401" w:type="dxa"/>
            <w:tcBorders/>
            <w:shd w:fill="FFFFFF" w:val="clear"/>
            <w:vAlign w:val="bottom"/>
          </w:tcPr>
          <w:p>
            <w:pPr>
              <w:pStyle w:val="Standard"/>
              <w:ind w:left="0" w:right="0" w:hanging="0"/>
              <w:jc w:val="right"/>
              <w:rPr>
                <w:b/>
                <w:b/>
                <w:bCs/>
                <w:highlight w:val="white"/>
                <w:lang w:val="en-GB"/>
              </w:rPr>
            </w:pPr>
            <w:r>
              <w:rPr>
                <w:b w:val="false"/>
                <w:bCs w:val="false"/>
                <w:lang w:val="en-GB"/>
              </w:rPr>
              <w:t>$P:$G = 1:2</w:t>
            </w:r>
          </w:p>
        </w:tc>
        <w:tc>
          <w:tcPr>
            <w:tcW w:w="1401" w:type="dxa"/>
            <w:tcBorders/>
            <w:shd w:fill="FFFFFF" w:val="clear"/>
            <w:vAlign w:val="bottom"/>
          </w:tcPr>
          <w:p>
            <w:pPr>
              <w:pStyle w:val="Standard"/>
              <w:ind w:left="0" w:right="0" w:hanging="0"/>
              <w:jc w:val="right"/>
              <w:rPr>
                <w:b/>
                <w:b/>
                <w:bCs/>
                <w:highlight w:val="white"/>
                <w:lang w:val="en-GB"/>
              </w:rPr>
            </w:pPr>
            <w:r>
              <w:rPr>
                <w:b w:val="false"/>
                <w:bCs w:val="false"/>
                <w:lang w:val="en-GB"/>
              </w:rPr>
              <w:t>$P:$G = 1:1</w:t>
            </w:r>
          </w:p>
        </w:tc>
        <w:tc>
          <w:tcPr>
            <w:tcW w:w="1400" w:type="dxa"/>
            <w:tcBorders/>
            <w:shd w:fill="FFFFFF" w:val="clear"/>
            <w:vAlign w:val="bottom"/>
          </w:tcPr>
          <w:p>
            <w:pPr>
              <w:pStyle w:val="Standard"/>
              <w:ind w:left="0" w:right="0" w:hanging="0"/>
              <w:jc w:val="right"/>
              <w:rPr>
                <w:b/>
                <w:b/>
                <w:bCs/>
                <w:highlight w:val="white"/>
                <w:lang w:val="en-GB"/>
              </w:rPr>
            </w:pPr>
            <w:r>
              <w:rPr>
                <w:b w:val="false"/>
                <w:bCs w:val="false"/>
                <w:lang w:val="en-GB"/>
              </w:rPr>
              <w:t>$P:$G = 2:1</w:t>
            </w:r>
          </w:p>
        </w:tc>
        <w:tc>
          <w:tcPr>
            <w:tcW w:w="1401" w:type="dxa"/>
            <w:tcBorders/>
            <w:shd w:fill="FFFFFF" w:val="clear"/>
            <w:vAlign w:val="bottom"/>
          </w:tcPr>
          <w:p>
            <w:pPr>
              <w:pStyle w:val="Standard"/>
              <w:ind w:left="0" w:right="0" w:hanging="0"/>
              <w:jc w:val="right"/>
              <w:rPr>
                <w:b/>
                <w:b/>
                <w:bCs/>
                <w:highlight w:val="white"/>
                <w:lang w:val="en-GB"/>
              </w:rPr>
            </w:pPr>
            <w:r>
              <w:rPr>
                <w:b w:val="false"/>
                <w:bCs w:val="false"/>
                <w:lang w:val="en-GB"/>
              </w:rPr>
              <w:t>$P:$G = 1:2</w:t>
            </w:r>
          </w:p>
        </w:tc>
        <w:tc>
          <w:tcPr>
            <w:tcW w:w="1401" w:type="dxa"/>
            <w:tcBorders/>
            <w:shd w:fill="FFFFFF" w:val="clear"/>
            <w:vAlign w:val="bottom"/>
          </w:tcPr>
          <w:p>
            <w:pPr>
              <w:pStyle w:val="Standard"/>
              <w:ind w:left="0" w:right="0" w:hanging="0"/>
              <w:jc w:val="right"/>
              <w:rPr>
                <w:b/>
                <w:b/>
                <w:bCs/>
                <w:highlight w:val="white"/>
                <w:lang w:val="en-GB"/>
              </w:rPr>
            </w:pPr>
            <w:r>
              <w:rPr>
                <w:b w:val="false"/>
                <w:bCs w:val="false"/>
                <w:lang w:val="en-GB"/>
              </w:rPr>
              <w:t>$P:$G = 1:1</w:t>
            </w:r>
          </w:p>
        </w:tc>
        <w:tc>
          <w:tcPr>
            <w:tcW w:w="1441" w:type="dxa"/>
            <w:tcBorders/>
            <w:shd w:fill="FFFFFF" w:val="clear"/>
            <w:vAlign w:val="bottom"/>
          </w:tcPr>
          <w:p>
            <w:pPr>
              <w:pStyle w:val="Standard"/>
              <w:ind w:left="0" w:right="0" w:hanging="0"/>
              <w:jc w:val="right"/>
              <w:rPr>
                <w:b/>
                <w:b/>
                <w:bCs/>
                <w:highlight w:val="white"/>
                <w:lang w:val="en-GB"/>
              </w:rPr>
            </w:pPr>
            <w:r>
              <w:rPr>
                <w:b w:val="false"/>
                <w:bCs w:val="false"/>
                <w:lang w:val="en-GB"/>
              </w:rPr>
              <w:t>$P:$G = 2:1</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9607" w:type="dxa"/>
            <w:gridSpan w:val="8"/>
            <w:tcBorders/>
            <w:shd w:fill="FFFFFF" w:val="clear"/>
            <w:vAlign w:val="bottom"/>
          </w:tcPr>
          <w:p>
            <w:pPr>
              <w:pStyle w:val="Standard"/>
              <w:spacing w:lineRule="auto" w:line="360"/>
              <w:ind w:left="0" w:right="0" w:hanging="0"/>
              <w:jc w:val="center"/>
              <w:rPr>
                <w:b/>
                <w:b/>
                <w:bCs/>
                <w:highlight w:val="white"/>
                <w:lang w:val="en-GB"/>
              </w:rPr>
            </w:pPr>
            <w:r>
              <w:rPr>
                <w:b w:val="false"/>
                <w:bCs w:val="false"/>
                <w:lang w:val="en-GB"/>
              </w:rPr>
              <w:t xml:space="preserve">              </w:t>
            </w:r>
            <w:r>
              <w:rPr>
                <w:b w:val="false"/>
                <w:bCs w:val="false"/>
                <w:lang w:val="en-GB"/>
              </w:rPr>
              <w:t>Male candidates</w:t>
            </w:r>
          </w:p>
        </w:tc>
      </w:tr>
      <w:tr>
        <w:trPr>
          <w:trHeight w:val="369" w:hRule="exact"/>
        </w:trPr>
        <w:tc>
          <w:tcPr>
            <w:tcW w:w="1130" w:type="dxa"/>
            <w:tcBorders/>
            <w:shd w:fill="FFFFFF" w:val="clear"/>
            <w:vAlign w:val="bottom"/>
          </w:tcPr>
          <w:p>
            <w:pPr>
              <w:pStyle w:val="Standard"/>
              <w:spacing w:lineRule="auto" w:line="360"/>
              <w:ind w:left="0" w:right="0" w:hanging="0"/>
              <w:jc w:val="both"/>
              <w:rPr>
                <w:b w:val="false"/>
                <w:b w:val="false"/>
                <w:bCs w:val="false"/>
              </w:rPr>
            </w:pPr>
            <w:r>
              <w:rPr>
                <w:b w:val="false"/>
                <w:bCs w:val="false"/>
                <w:lang w:val="en-GB"/>
              </w:rPr>
              <w:t>C11, S1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 ,A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val="false"/>
                <w:b w:val="false"/>
                <w:bCs w:val="false"/>
              </w:rPr>
            </w:pPr>
            <w:r>
              <w:rPr>
                <w:b w:val="false"/>
                <w:bCs w:val="false"/>
                <w:lang w:val="en-GB"/>
              </w:rPr>
              <w:t>C11, S2</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G10</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0.03</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0.02</w:t>
            </w:r>
            <w:r>
              <w:rPr>
                <w:b w:val="false"/>
                <w:bCs w:val="false"/>
                <w:vertAlign w:val="superscript"/>
                <w:lang w:val="en-GB"/>
              </w:rPr>
              <w:t>bc,AB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0.81</w:t>
            </w:r>
            <w:r>
              <w:rPr>
                <w:b w:val="false"/>
                <w:bCs w:val="false"/>
                <w:vertAlign w:val="subscript"/>
                <w:lang w:val="en-GB"/>
              </w:rPr>
              <w:t>0.03</w:t>
            </w:r>
            <w:r>
              <w:rPr>
                <w:b w:val="false"/>
                <w:bCs w:val="false"/>
                <w:vertAlign w:val="superscript"/>
                <w:lang w:val="en-GB"/>
              </w:rPr>
              <w:t>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0.84</w:t>
            </w:r>
            <w:r>
              <w:rPr>
                <w:b w:val="false"/>
                <w:bCs w:val="false"/>
                <w:vertAlign w:val="subscript"/>
                <w:lang w:val="en-GB"/>
              </w:rPr>
              <w:t>0.01</w:t>
            </w:r>
            <w:r>
              <w:rPr>
                <w:b w:val="false"/>
                <w:bCs w:val="false"/>
                <w:vertAlign w:val="superscript"/>
                <w:lang w:val="en-GB"/>
              </w:rPr>
              <w:t>b,B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0.87</w:t>
            </w:r>
            <w:r>
              <w:rPr>
                <w:b w:val="false"/>
                <w:bCs w:val="false"/>
                <w:vertAlign w:val="subscript"/>
                <w:lang w:val="en-GB"/>
              </w:rPr>
              <w:t>0.01</w:t>
            </w:r>
            <w:r>
              <w:rPr>
                <w:b w:val="false"/>
                <w:bCs w:val="false"/>
                <w:vertAlign w:val="superscript"/>
                <w:lang w:val="en-GB"/>
              </w:rPr>
              <w:t>b,C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G9</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0.03</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0.02</w:t>
            </w:r>
            <w:r>
              <w:rPr>
                <w:b w:val="false"/>
                <w:bCs w:val="false"/>
                <w:vertAlign w:val="superscript"/>
                <w:lang w:val="en-GB"/>
              </w:rPr>
              <w:t>bc,A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0.85</w:t>
            </w:r>
            <w:r>
              <w:rPr>
                <w:b w:val="false"/>
                <w:bCs w:val="false"/>
                <w:vertAlign w:val="subscript"/>
                <w:lang w:val="en-GB"/>
              </w:rPr>
              <w:t>0.02</w:t>
            </w:r>
            <w:r>
              <w:rPr>
                <w:b w:val="false"/>
                <w:bCs w:val="false"/>
                <w:vertAlign w:val="superscript"/>
                <w:lang w:val="en-GB"/>
              </w:rPr>
              <w:t>c,A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0.87</w:t>
            </w:r>
            <w:r>
              <w:rPr>
                <w:b w:val="false"/>
                <w:bCs w:val="false"/>
                <w:vertAlign w:val="subscript"/>
                <w:lang w:val="en-GB"/>
              </w:rPr>
              <w:t>0.01</w:t>
            </w:r>
            <w:r>
              <w:rPr>
                <w:b w:val="false"/>
                <w:bCs w:val="false"/>
                <w:vertAlign w:val="superscript"/>
                <w:lang w:val="en-GB"/>
              </w:rPr>
              <w:t>bc,B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bc,C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highlight w:val="white"/>
                <w:lang w:val="en-GB"/>
              </w:rPr>
            </w:pPr>
            <w:r>
              <w:rPr>
                <w:b w:val="false"/>
                <w:bCs w:val="false"/>
                <w:color w:val="000000"/>
                <w:lang w:val="en-GB"/>
              </w:rPr>
              <w:t>G8</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0.01</w:t>
            </w:r>
            <w:r>
              <w:rPr>
                <w:b w:val="false"/>
                <w:bCs w:val="false"/>
                <w:vertAlign w:val="superscript"/>
                <w:lang w:val="en-GB"/>
              </w:rPr>
              <w:t>cd,A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c,B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bc,B</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G5</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G2</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cd,A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0.89</w:t>
            </w:r>
            <w:r>
              <w:rPr>
                <w:b w:val="false"/>
                <w:bCs w:val="false"/>
                <w:vertAlign w:val="subscript"/>
                <w:lang w:val="en-GB"/>
              </w:rPr>
              <w:t>0.01</w:t>
            </w:r>
            <w:r>
              <w:rPr>
                <w:b w:val="false"/>
                <w:bCs w:val="false"/>
                <w:vertAlign w:val="superscript"/>
                <w:lang w:val="en-GB"/>
              </w:rPr>
              <w:t>bc,A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9607" w:type="dxa"/>
            <w:gridSpan w:val="8"/>
            <w:tcBorders/>
            <w:shd w:fill="FFFFFF" w:val="clear"/>
            <w:vAlign w:val="bottom"/>
          </w:tcPr>
          <w:p>
            <w:pPr>
              <w:pStyle w:val="Standard"/>
              <w:spacing w:lineRule="auto" w:line="360"/>
              <w:ind w:left="0" w:right="0" w:hanging="0"/>
              <w:jc w:val="right"/>
              <w:rPr>
                <w:b/>
                <w:b/>
                <w:bCs/>
                <w:color w:val="000000"/>
                <w:szCs w:val="24"/>
                <w:lang w:val="en-GB"/>
              </w:rPr>
            </w:pPr>
            <w:r>
              <w:rPr>
                <w:b w:val="false"/>
                <w:bCs w:val="false"/>
                <w:color w:val="000000"/>
                <w:szCs w:val="24"/>
                <w:lang w:val="en-GB"/>
              </w:rPr>
              <w:t xml:space="preserve">                </w:t>
            </w:r>
            <w:r>
              <w:rPr>
                <w:b w:val="false"/>
                <w:bCs w:val="false"/>
                <w:color w:val="000000"/>
                <w:szCs w:val="24"/>
                <w:lang w:val="en-GB"/>
              </w:rPr>
              <w:t>Sires</w:t>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C11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G10</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0.75</w:t>
            </w:r>
            <w:r>
              <w:rPr>
                <w:b w:val="false"/>
                <w:bCs w:val="false"/>
                <w:vertAlign w:val="subscript"/>
                <w:lang w:val="en-GB"/>
              </w:rPr>
              <w:t>0.04</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0.75</w:t>
            </w:r>
            <w:r>
              <w:rPr>
                <w:b w:val="false"/>
                <w:bCs w:val="false"/>
                <w:vertAlign w:val="subscript"/>
                <w:lang w:val="en-GB"/>
              </w:rPr>
              <w:t>0.03</w:t>
            </w:r>
            <w:r>
              <w:rPr>
                <w:b w:val="false"/>
                <w:bCs w:val="false"/>
                <w:vertAlign w:val="superscript"/>
                <w:lang w:val="en-GB"/>
              </w:rPr>
              <w:t>b,A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0.73</w:t>
            </w:r>
            <w:r>
              <w:rPr>
                <w:b w:val="false"/>
                <w:bCs w:val="false"/>
                <w:vertAlign w:val="subscript"/>
                <w:lang w:val="en-GB"/>
              </w:rPr>
              <w:t>0.05</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0.08</w:t>
            </w:r>
            <w:r>
              <w:rPr>
                <w:b w:val="false"/>
                <w:bCs w:val="false"/>
                <w:vertAlign w:val="superscript"/>
                <w:lang w:val="en-GB"/>
              </w:rPr>
              <w:t>bc,A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0.68</w:t>
            </w:r>
            <w:r>
              <w:rPr>
                <w:b w:val="false"/>
                <w:bCs w:val="false"/>
                <w:vertAlign w:val="subscript"/>
                <w:lang w:val="en-GB"/>
              </w:rPr>
              <w:t>0.05</w:t>
            </w:r>
            <w:r>
              <w:rPr>
                <w:b w:val="false"/>
                <w:bCs w:val="false"/>
                <w:vertAlign w:val="superscript"/>
                <w:lang w:val="en-GB"/>
              </w:rPr>
              <w:t>cde,A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0.06</w:t>
            </w:r>
            <w:r>
              <w:rPr>
                <w:b w:val="false"/>
                <w:bCs w:val="false"/>
                <w:vertAlign w:val="superscript"/>
                <w:lang w:val="en-GB"/>
              </w:rPr>
              <w:t>b,A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G9</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0.76</w:t>
            </w:r>
            <w:r>
              <w:rPr>
                <w:b w:val="false"/>
                <w:bCs w:val="false"/>
                <w:vertAlign w:val="subscript"/>
                <w:lang w:val="en-GB"/>
              </w:rPr>
              <w:t>0.04</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0.72</w:t>
            </w:r>
            <w:r>
              <w:rPr>
                <w:b w:val="false"/>
                <w:bCs w:val="false"/>
                <w:vertAlign w:val="subscript"/>
                <w:lang w:val="en-GB"/>
              </w:rPr>
              <w:t>0.06</w:t>
            </w:r>
            <w:r>
              <w:rPr>
                <w:b w:val="false"/>
                <w:bCs w:val="false"/>
                <w:vertAlign w:val="superscript"/>
                <w:lang w:val="en-GB"/>
              </w:rPr>
              <w:t>bc,AB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0.05</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0.70</w:t>
            </w:r>
            <w:r>
              <w:rPr>
                <w:b w:val="false"/>
                <w:bCs w:val="false"/>
                <w:vertAlign w:val="subscript"/>
                <w:lang w:val="en-GB"/>
              </w:rPr>
              <w:t>0.05</w:t>
            </w:r>
            <w:r>
              <w:rPr>
                <w:b w:val="false"/>
                <w:bCs w:val="false"/>
                <w:vertAlign w:val="superscript"/>
                <w:lang w:val="en-GB"/>
              </w:rPr>
              <w:t>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0.72</w:t>
            </w:r>
            <w:r>
              <w:rPr>
                <w:b w:val="false"/>
                <w:bCs w:val="false"/>
                <w:vertAlign w:val="subscript"/>
                <w:lang w:val="en-GB"/>
              </w:rPr>
              <w:t>0.05</w:t>
            </w:r>
            <w:r>
              <w:rPr>
                <w:b w:val="false"/>
                <w:bCs w:val="false"/>
                <w:vertAlign w:val="superscript"/>
                <w:lang w:val="en-GB"/>
              </w:rPr>
              <w:t>bc,A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0.71</w:t>
            </w:r>
            <w:r>
              <w:rPr>
                <w:b w:val="false"/>
                <w:bCs w:val="false"/>
                <w:vertAlign w:val="subscript"/>
                <w:lang w:val="en-GB"/>
              </w:rPr>
              <w:t>0.05</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highlight w:val="white"/>
                <w:lang w:val="en-GB"/>
              </w:rPr>
            </w:pPr>
            <w:r>
              <w:rPr>
                <w:b w:val="false"/>
                <w:bCs w:val="false"/>
                <w:color w:val="000000"/>
                <w:lang w:val="en-GB"/>
              </w:rPr>
              <w:t>G8</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0.76</w:t>
            </w:r>
            <w:r>
              <w:rPr>
                <w:b w:val="false"/>
                <w:bCs w:val="false"/>
                <w:vertAlign w:val="subscript"/>
                <w:lang w:val="en-GB"/>
              </w:rPr>
              <w:t>0.03</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0.05</w:t>
            </w:r>
            <w:r>
              <w:rPr>
                <w:b w:val="false"/>
                <w:bCs w:val="false"/>
                <w:vertAlign w:val="superscript"/>
                <w:lang w:val="en-GB"/>
              </w:rPr>
              <w:t>cd,B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0.68</w:t>
            </w:r>
            <w:r>
              <w:rPr>
                <w:b w:val="false"/>
                <w:bCs w:val="false"/>
                <w:vertAlign w:val="subscript"/>
                <w:lang w:val="en-GB"/>
              </w:rPr>
              <w:t>0.06</w:t>
            </w:r>
            <w:r>
              <w:rPr>
                <w:b w:val="false"/>
                <w:bCs w:val="false"/>
                <w:vertAlign w:val="superscript"/>
                <w:lang w:val="en-GB"/>
              </w:rPr>
              <w:t>c,B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0.71</w:t>
            </w:r>
            <w:r>
              <w:rPr>
                <w:b w:val="false"/>
                <w:bCs w:val="false"/>
                <w:vertAlign w:val="subscript"/>
                <w:lang w:val="en-GB"/>
              </w:rPr>
              <w:t>0.05</w:t>
            </w:r>
            <w:r>
              <w:rPr>
                <w:b w:val="false"/>
                <w:bCs w:val="false"/>
                <w:vertAlign w:val="superscript"/>
                <w:lang w:val="en-GB"/>
              </w:rPr>
              <w:t>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0.74</w:t>
            </w:r>
            <w:r>
              <w:rPr>
                <w:b w:val="false"/>
                <w:bCs w:val="false"/>
                <w:vertAlign w:val="subscript"/>
                <w:lang w:val="en-GB"/>
              </w:rPr>
              <w:t>0.05</w:t>
            </w:r>
            <w:r>
              <w:rPr>
                <w:b w:val="false"/>
                <w:bCs w:val="false"/>
                <w:vertAlign w:val="superscript"/>
                <w:lang w:val="en-GB"/>
              </w:rPr>
              <w:t>b,A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0.70</w:t>
            </w:r>
            <w:r>
              <w:rPr>
                <w:b w:val="false"/>
                <w:bCs w:val="false"/>
                <w:vertAlign w:val="subscript"/>
                <w:lang w:val="en-GB"/>
              </w:rPr>
              <w:t>0.07</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G5</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0.68</w:t>
            </w:r>
            <w:r>
              <w:rPr>
                <w:b w:val="false"/>
                <w:bCs w:val="false"/>
                <w:vertAlign w:val="subscript"/>
                <w:lang w:val="en-GB"/>
              </w:rPr>
              <w:t>0.07</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0.08</w:t>
            </w:r>
            <w:r>
              <w:rPr>
                <w:b w:val="false"/>
                <w:bCs w:val="false"/>
                <w:vertAlign w:val="superscript"/>
                <w:lang w:val="en-GB"/>
              </w:rPr>
              <w:t>de,A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0.04</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0.68</w:t>
            </w:r>
            <w:r>
              <w:rPr>
                <w:b w:val="false"/>
                <w:bCs w:val="false"/>
                <w:vertAlign w:val="subscript"/>
                <w:lang w:val="en-GB"/>
              </w:rPr>
              <w:t>0.05</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0.05</w:t>
            </w:r>
            <w:r>
              <w:rPr>
                <w:b w:val="false"/>
                <w:bCs w:val="false"/>
                <w:vertAlign w:val="superscript"/>
                <w:lang w:val="en-GB"/>
              </w:rPr>
              <w:t>cd,A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0.03</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G2</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0.05</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0.05</w:t>
            </w:r>
            <w:r>
              <w:rPr>
                <w:b w:val="false"/>
                <w:bCs w:val="false"/>
                <w:vertAlign w:val="superscript"/>
                <w:lang w:val="en-GB"/>
              </w:rPr>
              <w:t>de,A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0.65</w:t>
            </w:r>
            <w:r>
              <w:rPr>
                <w:b w:val="false"/>
                <w:bCs w:val="false"/>
                <w:vertAlign w:val="subscript"/>
                <w:lang w:val="en-GB"/>
              </w:rPr>
              <w:t>0.06</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0.64</w:t>
            </w:r>
            <w:r>
              <w:rPr>
                <w:b w:val="false"/>
                <w:bCs w:val="false"/>
                <w:vertAlign w:val="subscript"/>
                <w:lang w:val="en-GB"/>
              </w:rPr>
              <w:t>0.07</w:t>
            </w:r>
            <w:r>
              <w:rPr>
                <w:b w:val="false"/>
                <w:bCs w:val="false"/>
                <w:vertAlign w:val="superscript"/>
                <w:lang w:val="en-GB"/>
              </w:rPr>
              <w:t>e,A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0.05</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0.66</w:t>
            </w:r>
            <w:r>
              <w:rPr>
                <w:b w:val="false"/>
                <w:bCs w:val="false"/>
                <w:vertAlign w:val="subscript"/>
                <w:lang w:val="en-GB"/>
              </w:rPr>
              <w:t>0.06</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0.63</w:t>
            </w:r>
            <w:r>
              <w:rPr>
                <w:b w:val="false"/>
                <w:bCs w:val="false"/>
                <w:vertAlign w:val="subscript"/>
                <w:lang w:val="en-GB"/>
              </w:rPr>
              <w:t>0.05</w:t>
            </w:r>
            <w:r>
              <w:rPr>
                <w:b w:val="false"/>
                <w:bCs w:val="false"/>
                <w:vertAlign w:val="superscript"/>
                <w:lang w:val="en-GB"/>
              </w:rPr>
              <w:t>e,A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0.04</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0.03</w:t>
            </w:r>
            <w:r>
              <w:rPr>
                <w:b w:val="false"/>
                <w:bCs w:val="false"/>
                <w:vertAlign w:val="superscript"/>
                <w:lang w:val="en-GB"/>
              </w:rPr>
              <w:t>de,A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0.05</w:t>
            </w:r>
            <w:r>
              <w:rPr>
                <w:b w:val="false"/>
                <w:bCs w:val="false"/>
                <w:vertAlign w:val="superscript"/>
                <w:lang w:val="en-GB"/>
              </w:rPr>
              <w:t>b,A</w:t>
            </w:r>
          </w:p>
        </w:tc>
        <w:tc>
          <w:tcPr>
            <w:tcW w:w="32" w:type="dxa"/>
            <w:tcBorders/>
            <w:shd w:fill="auto" w:val="clear"/>
            <w:vAlign w:val="bottom"/>
          </w:tcPr>
          <w:p>
            <w:pPr>
              <w:pStyle w:val="Normal"/>
              <w:snapToGrid w:val="false"/>
              <w:spacing w:before="0" w:after="240"/>
              <w:rPr>
                <w:b w:val="false"/>
                <w:b w:val="false"/>
                <w:bCs w:val="false"/>
                <w:vertAlign w:val="superscript"/>
              </w:rPr>
            </w:pPr>
            <w:r>
              <w:rPr>
                <w:b w:val="false"/>
                <w:bCs w:val="false"/>
                <w:vertAlign w:val="superscript"/>
              </w:rPr>
            </w:r>
          </w:p>
        </w:tc>
      </w:tr>
      <w:tr>
        <w:trPr>
          <w:trHeight w:val="369" w:hRule="exact"/>
        </w:trPr>
        <w:tc>
          <w:tcPr>
            <w:tcW w:w="9607" w:type="dxa"/>
            <w:gridSpan w:val="8"/>
            <w:tcBorders/>
            <w:shd w:fill="FFFFFF" w:val="clear"/>
            <w:vAlign w:val="bottom"/>
          </w:tcPr>
          <w:p>
            <w:pPr>
              <w:pStyle w:val="Standard"/>
              <w:spacing w:lineRule="auto" w:line="360"/>
              <w:ind w:left="0" w:right="0" w:hanging="0"/>
              <w:jc w:val="right"/>
              <w:rPr>
                <w:b w:val="false"/>
                <w:b w:val="false"/>
                <w:bCs w:val="false"/>
              </w:rPr>
            </w:pPr>
            <w:r>
              <w:rPr>
                <w:b w:val="false"/>
                <w:bCs w:val="false"/>
                <w:color w:val="000000"/>
                <w:szCs w:val="24"/>
                <w:lang w:val="en-GB"/>
              </w:rPr>
              <w:t xml:space="preserve">              </w:t>
            </w:r>
            <w:r>
              <w:rPr>
                <w:b w:val="false"/>
                <w:bCs w:val="false"/>
                <w:color w:val="000000"/>
                <w:szCs w:val="24"/>
                <w:lang w:val="en-GB"/>
              </w:rPr>
              <w:t>Female candidates</w:t>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C11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G10</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0.51</w:t>
            </w:r>
            <w:r>
              <w:rPr>
                <w:b w:val="false"/>
                <w:bCs w:val="false"/>
                <w:vertAlign w:val="subscript"/>
                <w:lang w:val="en-GB"/>
              </w:rPr>
              <w:t>0.01</w:t>
            </w:r>
            <w:r>
              <w:rPr>
                <w:b w:val="false"/>
                <w:bCs w:val="false"/>
                <w:vertAlign w:val="superscript"/>
                <w:lang w:val="en-GB"/>
              </w:rPr>
              <w:t>b,B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0.46</w:t>
            </w:r>
            <w:r>
              <w:rPr>
                <w:b w:val="false"/>
                <w:bCs w:val="false"/>
                <w:vertAlign w:val="subscript"/>
                <w:lang w:val="en-GB"/>
              </w:rPr>
              <w:t>0.02</w:t>
            </w:r>
            <w:r>
              <w:rPr>
                <w:b w:val="false"/>
                <w:bCs w:val="false"/>
                <w:vertAlign w:val="superscript"/>
                <w:lang w:val="en-GB"/>
              </w:rPr>
              <w:t>ab,A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0.47</w:t>
            </w:r>
            <w:r>
              <w:rPr>
                <w:b w:val="false"/>
                <w:bCs w:val="false"/>
                <w:vertAlign w:val="subscript"/>
                <w:lang w:val="en-GB"/>
              </w:rPr>
              <w:t>0.02</w:t>
            </w:r>
            <w:r>
              <w:rPr>
                <w:b w:val="false"/>
                <w:bCs w:val="false"/>
                <w:vertAlign w:val="superscript"/>
                <w:lang w:val="en-GB"/>
              </w:rPr>
              <w:t>ab,AB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0.49</w:t>
            </w:r>
            <w:r>
              <w:rPr>
                <w:b w:val="false"/>
                <w:bCs w:val="false"/>
                <w:vertAlign w:val="subscript"/>
                <w:lang w:val="en-GB"/>
              </w:rPr>
              <w:t>0.01</w:t>
            </w:r>
            <w:r>
              <w:rPr>
                <w:b w:val="false"/>
                <w:bCs w:val="false"/>
                <w:vertAlign w:val="superscript"/>
                <w:lang w:val="en-GB"/>
              </w:rPr>
              <w:t>b,B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G9</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0.49</w:t>
            </w:r>
            <w:r>
              <w:rPr>
                <w:b w:val="false"/>
                <w:bCs w:val="false"/>
                <w:vertAlign w:val="subscript"/>
                <w:lang w:val="en-GB"/>
              </w:rPr>
              <w:t>0.02</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0.50</w:t>
            </w:r>
            <w:r>
              <w:rPr>
                <w:b w:val="false"/>
                <w:bCs w:val="false"/>
                <w:vertAlign w:val="subscript"/>
                <w:lang w:val="en-GB"/>
              </w:rPr>
              <w:t>0.01</w:t>
            </w:r>
            <w:r>
              <w:rPr>
                <w:b w:val="false"/>
                <w:bCs w:val="false"/>
                <w:vertAlign w:val="superscript"/>
                <w:lang w:val="en-GB"/>
              </w:rPr>
              <w:t>b,B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0.52</w:t>
            </w:r>
            <w:r>
              <w:rPr>
                <w:b w:val="false"/>
                <w:bCs w:val="false"/>
                <w:vertAlign w:val="subscript"/>
                <w:lang w:val="en-GB"/>
              </w:rPr>
              <w:t>0.01</w:t>
            </w:r>
            <w:r>
              <w:rPr>
                <w:b w:val="false"/>
                <w:bCs w:val="false"/>
                <w:vertAlign w:val="superscript"/>
                <w:lang w:val="en-GB"/>
              </w:rPr>
              <w:t>b,C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0.47</w:t>
            </w:r>
            <w:r>
              <w:rPr>
                <w:b w:val="false"/>
                <w:bCs w:val="false"/>
                <w:vertAlign w:val="subscript"/>
                <w:lang w:val="en-GB"/>
              </w:rPr>
              <w:t>0.02</w:t>
            </w:r>
            <w:r>
              <w:rPr>
                <w:b w:val="false"/>
                <w:bCs w:val="false"/>
                <w:vertAlign w:val="superscript"/>
                <w:lang w:val="en-GB"/>
              </w:rPr>
              <w:t>ab,A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0.49</w:t>
            </w:r>
            <w:r>
              <w:rPr>
                <w:b w:val="false"/>
                <w:bCs w:val="false"/>
                <w:vertAlign w:val="subscript"/>
                <w:lang w:val="en-GB"/>
              </w:rPr>
              <w:t>0.02</w:t>
            </w:r>
            <w:r>
              <w:rPr>
                <w:b w:val="false"/>
                <w:bCs w:val="false"/>
                <w:vertAlign w:val="superscript"/>
                <w:lang w:val="en-GB"/>
              </w:rPr>
              <w:t>bc,B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0.52</w:t>
            </w:r>
            <w:r>
              <w:rPr>
                <w:b w:val="false"/>
                <w:bCs w:val="false"/>
                <w:vertAlign w:val="subscript"/>
                <w:lang w:val="en-GB"/>
              </w:rPr>
              <w:t>0.01</w:t>
            </w:r>
            <w:r>
              <w:rPr>
                <w:b w:val="false"/>
                <w:bCs w:val="false"/>
                <w:vertAlign w:val="superscript"/>
                <w:lang w:val="en-GB"/>
              </w:rPr>
              <w:t>bc,C</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highlight w:val="white"/>
                <w:lang w:val="en-GB"/>
              </w:rPr>
            </w:pPr>
            <w:r>
              <w:rPr>
                <w:b w:val="false"/>
                <w:bCs w:val="false"/>
                <w:color w:val="000000"/>
                <w:lang w:val="en-GB"/>
              </w:rPr>
              <w:t>G8</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0.54</w:t>
            </w:r>
            <w:r>
              <w:rPr>
                <w:b w:val="false"/>
                <w:bCs w:val="false"/>
                <w:vertAlign w:val="subscript"/>
                <w:lang w:val="en-GB"/>
              </w:rPr>
              <w:t>0.01</w:t>
            </w:r>
            <w:r>
              <w:rPr>
                <w:b w:val="false"/>
                <w:bCs w:val="false"/>
                <w:vertAlign w:val="superscript"/>
                <w:lang w:val="en-GB"/>
              </w:rPr>
              <w:t>bc,B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0.49</w:t>
            </w:r>
            <w:r>
              <w:rPr>
                <w:b w:val="false"/>
                <w:bCs w:val="false"/>
                <w:vertAlign w:val="subscript"/>
                <w:lang w:val="en-GB"/>
              </w:rPr>
              <w:t>0.02</w:t>
            </w:r>
            <w:r>
              <w:rPr>
                <w:b w:val="false"/>
                <w:bCs w:val="false"/>
                <w:vertAlign w:val="superscript"/>
                <w:lang w:val="en-GB"/>
              </w:rPr>
              <w:t>bc,A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0.52</w:t>
            </w:r>
            <w:r>
              <w:rPr>
                <w:b w:val="false"/>
                <w:bCs w:val="false"/>
                <w:vertAlign w:val="subscript"/>
                <w:lang w:val="en-GB"/>
              </w:rPr>
              <w:t>0.01</w:t>
            </w:r>
            <w:r>
              <w:rPr>
                <w:b w:val="false"/>
                <w:bCs w:val="false"/>
                <w:vertAlign w:val="superscript"/>
                <w:lang w:val="en-GB"/>
              </w:rPr>
              <w:t>cd,B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0.53</w:t>
            </w:r>
            <w:r>
              <w:rPr>
                <w:b w:val="false"/>
                <w:bCs w:val="false"/>
                <w:vertAlign w:val="subscript"/>
                <w:lang w:val="en-GB"/>
              </w:rPr>
              <w:t>0.01</w:t>
            </w:r>
            <w:r>
              <w:rPr>
                <w:b w:val="false"/>
                <w:bCs w:val="false"/>
                <w:vertAlign w:val="superscript"/>
                <w:lang w:val="en-GB"/>
              </w:rPr>
              <w:t>cd,C</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G5</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0.51</w:t>
            </w:r>
            <w:r>
              <w:rPr>
                <w:b w:val="false"/>
                <w:bCs w:val="false"/>
                <w:vertAlign w:val="subscript"/>
                <w:lang w:val="en-GB"/>
              </w:rPr>
              <w:t>0.01</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0.55</w:t>
            </w:r>
            <w:r>
              <w:rPr>
                <w:b w:val="false"/>
                <w:bCs w:val="false"/>
                <w:vertAlign w:val="subscript"/>
                <w:lang w:val="en-GB"/>
              </w:rPr>
              <w:t>0.01</w:t>
            </w:r>
            <w:r>
              <w:rPr>
                <w:b w:val="false"/>
                <w:bCs w:val="false"/>
                <w:vertAlign w:val="superscript"/>
                <w:lang w:val="en-GB"/>
              </w:rPr>
              <w:t>c,B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0.01</w:t>
            </w:r>
            <w:r>
              <w:rPr>
                <w:b w:val="false"/>
                <w:bCs w:val="false"/>
                <w:vertAlign w:val="superscript"/>
                <w:lang w:val="en-GB"/>
              </w:rPr>
              <w:t>c,C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0.52</w:t>
            </w:r>
            <w:r>
              <w:rPr>
                <w:b w:val="false"/>
                <w:bCs w:val="false"/>
                <w:vertAlign w:val="subscript"/>
                <w:lang w:val="en-GB"/>
              </w:rPr>
              <w:t>0.01</w:t>
            </w:r>
            <w:r>
              <w:rPr>
                <w:b w:val="false"/>
                <w:bCs w:val="false"/>
                <w:vertAlign w:val="superscript"/>
                <w:lang w:val="en-GB"/>
              </w:rPr>
              <w:t>cd,A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0.55</w:t>
            </w:r>
            <w:r>
              <w:rPr>
                <w:b w:val="false"/>
                <w:bCs w:val="false"/>
                <w:vertAlign w:val="subscript"/>
                <w:lang w:val="en-GB"/>
              </w:rPr>
              <w:t>0.01</w:t>
            </w:r>
            <w:r>
              <w:rPr>
                <w:b w:val="false"/>
                <w:bCs w:val="false"/>
                <w:vertAlign w:val="superscript"/>
                <w:lang w:val="en-GB"/>
              </w:rPr>
              <w:t>de,B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0.01</w:t>
            </w:r>
            <w:r>
              <w:rPr>
                <w:b w:val="false"/>
                <w:bCs w:val="false"/>
                <w:vertAlign w:val="superscript"/>
                <w:lang w:val="en-GB"/>
              </w:rPr>
              <w:t>d,C</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G2</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0.55</w:t>
            </w:r>
            <w:r>
              <w:rPr>
                <w:b w:val="false"/>
                <w:bCs w:val="false"/>
                <w:vertAlign w:val="subscript"/>
                <w:lang w:val="en-GB"/>
              </w:rPr>
              <w:t>0.01</w:t>
            </w:r>
            <w:r>
              <w:rPr>
                <w:b w:val="false"/>
                <w:bCs w:val="false"/>
                <w:vertAlign w:val="superscript"/>
                <w:lang w:val="en-GB"/>
              </w:rPr>
              <w:t>cd,A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0.02</w:t>
            </w:r>
            <w:r>
              <w:rPr>
                <w:b w:val="false"/>
                <w:bCs w:val="false"/>
                <w:vertAlign w:val="superscript"/>
                <w:lang w:val="en-GB"/>
              </w:rPr>
              <w:t>e,AB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0.01</w:t>
            </w:r>
            <w:r>
              <w:rPr>
                <w:b w:val="false"/>
                <w:bCs w:val="false"/>
                <w:vertAlign w:val="superscript"/>
                <w:lang w:val="en-GB"/>
              </w:rPr>
              <w:t>d,B</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e,A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9607" w:type="dxa"/>
            <w:gridSpan w:val="8"/>
            <w:tcBorders/>
            <w:shd w:fill="FFFFFF" w:val="clear"/>
            <w:vAlign w:val="bottom"/>
          </w:tcPr>
          <w:p>
            <w:pPr>
              <w:pStyle w:val="Standard"/>
              <w:spacing w:lineRule="auto" w:line="360"/>
              <w:ind w:left="0" w:right="0" w:hanging="0"/>
              <w:jc w:val="right"/>
              <w:rPr>
                <w:b w:val="false"/>
                <w:b w:val="false"/>
                <w:bCs w:val="false"/>
              </w:rPr>
            </w:pPr>
            <w:r>
              <w:rPr>
                <w:b w:val="false"/>
                <w:bCs w:val="false"/>
                <w:color w:val="000000"/>
                <w:szCs w:val="24"/>
                <w:lang w:val="en-GB"/>
              </w:rPr>
              <w:t xml:space="preserve">                </w:t>
            </w:r>
            <w:r>
              <w:rPr>
                <w:b w:val="false"/>
                <w:bCs w:val="false"/>
                <w:color w:val="000000"/>
                <w:szCs w:val="24"/>
                <w:lang w:val="en-GB"/>
              </w:rPr>
              <w:t>Cows</w:t>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C11</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G10</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0.02</w:t>
            </w:r>
            <w:r>
              <w:rPr>
                <w:b w:val="false"/>
                <w:bCs w:val="false"/>
                <w:vertAlign w:val="superscript"/>
                <w:lang w:val="en-GB"/>
              </w:rPr>
              <w:t>b,A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0.59</w:t>
            </w:r>
            <w:r>
              <w:rPr>
                <w:b w:val="false"/>
                <w:bCs w:val="false"/>
                <w:vertAlign w:val="subscript"/>
                <w:lang w:val="en-GB"/>
              </w:rPr>
              <w:t>0.02</w:t>
            </w:r>
            <w:r>
              <w:rPr>
                <w:b w:val="false"/>
                <w:bCs w:val="false"/>
                <w:vertAlign w:val="superscript"/>
                <w:lang w:val="en-GB"/>
              </w:rPr>
              <w:t>b,B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0.63</w:t>
            </w:r>
            <w:r>
              <w:rPr>
                <w:b w:val="false"/>
                <w:bCs w:val="false"/>
                <w:vertAlign w:val="subscript"/>
                <w:lang w:val="en-GB"/>
              </w:rPr>
              <w:t>0.01</w:t>
            </w:r>
            <w:r>
              <w:rPr>
                <w:b w:val="false"/>
                <w:bCs w:val="false"/>
                <w:vertAlign w:val="superscript"/>
                <w:lang w:val="en-GB"/>
              </w:rPr>
              <w:t>b,C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0.53</w:t>
            </w:r>
            <w:r>
              <w:rPr>
                <w:b w:val="false"/>
                <w:bCs w:val="false"/>
                <w:vertAlign w:val="subscript"/>
                <w:lang w:val="en-GB"/>
              </w:rPr>
              <w:t>0.01</w:t>
            </w:r>
            <w:r>
              <w:rPr>
                <w:b w:val="false"/>
                <w:bCs w:val="false"/>
                <w:vertAlign w:val="superscript"/>
                <w:lang w:val="en-GB"/>
              </w:rPr>
              <w:t>b,A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0.56</w:t>
            </w:r>
            <w:r>
              <w:rPr>
                <w:b w:val="false"/>
                <w:bCs w:val="false"/>
                <w:vertAlign w:val="subscript"/>
                <w:lang w:val="en-GB"/>
              </w:rPr>
              <w:t>0.01</w:t>
            </w:r>
            <w:r>
              <w:rPr>
                <w:b w:val="false"/>
                <w:bCs w:val="false"/>
                <w:vertAlign w:val="superscript"/>
                <w:lang w:val="en-GB"/>
              </w:rPr>
              <w:t>b,B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0.61</w:t>
            </w:r>
            <w:r>
              <w:rPr>
                <w:b w:val="false"/>
                <w:bCs w:val="false"/>
                <w:vertAlign w:val="subscript"/>
                <w:lang w:val="en-GB"/>
              </w:rPr>
              <w:t>0.01</w:t>
            </w:r>
            <w:r>
              <w:rPr>
                <w:b w:val="false"/>
                <w:bCs w:val="false"/>
                <w:vertAlign w:val="superscript"/>
                <w:lang w:val="en-GB"/>
              </w:rPr>
              <w:t>b,C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G9</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0.59</w:t>
            </w:r>
            <w:r>
              <w:rPr>
                <w:b w:val="false"/>
                <w:bCs w:val="false"/>
                <w:vertAlign w:val="subscript"/>
                <w:lang w:val="en-GB"/>
              </w:rPr>
              <w:t>0.03</w:t>
            </w:r>
            <w:r>
              <w:rPr>
                <w:b w:val="false"/>
                <w:bCs w:val="false"/>
                <w:vertAlign w:val="superscript"/>
                <w:lang w:val="en-GB"/>
              </w:rPr>
              <w:t>bc,A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0.63</w:t>
            </w:r>
            <w:r>
              <w:rPr>
                <w:b w:val="false"/>
                <w:bCs w:val="false"/>
                <w:vertAlign w:val="subscript"/>
                <w:lang w:val="en-GB"/>
              </w:rPr>
              <w:t>0.02</w:t>
            </w:r>
            <w:r>
              <w:rPr>
                <w:b w:val="false"/>
                <w:bCs w:val="false"/>
                <w:vertAlign w:val="superscript"/>
                <w:lang w:val="en-GB"/>
              </w:rPr>
              <w:t>c,B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0.70</w:t>
            </w:r>
            <w:r>
              <w:rPr>
                <w:b w:val="false"/>
                <w:bCs w:val="false"/>
                <w:vertAlign w:val="subscript"/>
                <w:lang w:val="en-GB"/>
              </w:rPr>
              <w:t>0.01</w:t>
            </w:r>
            <w:r>
              <w:rPr>
                <w:b w:val="false"/>
                <w:bCs w:val="false"/>
                <w:vertAlign w:val="superscript"/>
                <w:lang w:val="en-GB"/>
              </w:rPr>
              <w:t>c,C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0.57</w:t>
            </w:r>
            <w:r>
              <w:rPr>
                <w:b w:val="false"/>
                <w:bCs w:val="false"/>
                <w:vertAlign w:val="subscript"/>
                <w:lang w:val="en-GB"/>
              </w:rPr>
              <w:t>0.02</w:t>
            </w:r>
            <w:r>
              <w:rPr>
                <w:b w:val="false"/>
                <w:bCs w:val="false"/>
                <w:vertAlign w:val="superscript"/>
                <w:lang w:val="en-GB"/>
              </w:rPr>
              <w:t>bc,A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0.62</w:t>
            </w:r>
            <w:r>
              <w:rPr>
                <w:b w:val="false"/>
                <w:bCs w:val="false"/>
                <w:vertAlign w:val="subscript"/>
                <w:lang w:val="en-GB"/>
              </w:rPr>
              <w:t>0.02</w:t>
            </w:r>
            <w:r>
              <w:rPr>
                <w:b w:val="false"/>
                <w:bCs w:val="false"/>
                <w:vertAlign w:val="superscript"/>
                <w:lang w:val="en-GB"/>
              </w:rPr>
              <w:t>c,B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0.68</w:t>
            </w:r>
            <w:r>
              <w:rPr>
                <w:b w:val="false"/>
                <w:bCs w:val="false"/>
                <w:vertAlign w:val="subscript"/>
                <w:lang w:val="en-GB"/>
              </w:rPr>
              <w:t>0.02</w:t>
            </w:r>
            <w:r>
              <w:rPr>
                <w:b w:val="false"/>
                <w:bCs w:val="false"/>
                <w:vertAlign w:val="superscript"/>
                <w:lang w:val="en-GB"/>
              </w:rPr>
              <w:t>c,C *</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highlight w:val="white"/>
                <w:lang w:val="en-GB"/>
              </w:rPr>
            </w:pPr>
            <w:r>
              <w:rPr>
                <w:b w:val="false"/>
                <w:bCs w:val="false"/>
                <w:color w:val="000000"/>
                <w:lang w:val="en-GB"/>
              </w:rPr>
              <w:t>G8</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0.62</w:t>
            </w:r>
            <w:r>
              <w:rPr>
                <w:b w:val="false"/>
                <w:bCs w:val="false"/>
                <w:vertAlign w:val="subscript"/>
                <w:lang w:val="en-GB"/>
              </w:rPr>
              <w:t>0.02</w:t>
            </w:r>
            <w:r>
              <w:rPr>
                <w:b w:val="false"/>
                <w:bCs w:val="false"/>
                <w:vertAlign w:val="superscript"/>
                <w:lang w:val="en-GB"/>
              </w:rPr>
              <w:t>c,A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0.67</w:t>
            </w:r>
            <w:r>
              <w:rPr>
                <w:b w:val="false"/>
                <w:bCs w:val="false"/>
                <w:vertAlign w:val="subscript"/>
                <w:lang w:val="en-GB"/>
              </w:rPr>
              <w:t>0.02</w:t>
            </w:r>
            <w:r>
              <w:rPr>
                <w:b w:val="false"/>
                <w:bCs w:val="false"/>
                <w:vertAlign w:val="superscript"/>
                <w:lang w:val="en-GB"/>
              </w:rPr>
              <w:t>c,B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0.74</w:t>
            </w:r>
            <w:r>
              <w:rPr>
                <w:b w:val="false"/>
                <w:bCs w:val="false"/>
                <w:vertAlign w:val="subscript"/>
                <w:lang w:val="en-GB"/>
              </w:rPr>
              <w:t>0.02</w:t>
            </w:r>
            <w:r>
              <w:rPr>
                <w:b w:val="false"/>
                <w:bCs w:val="false"/>
                <w:vertAlign w:val="superscript"/>
                <w:lang w:val="en-GB"/>
              </w:rPr>
              <w:t>d,C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0.60</w:t>
            </w:r>
            <w:r>
              <w:rPr>
                <w:b w:val="false"/>
                <w:bCs w:val="false"/>
                <w:vertAlign w:val="subscript"/>
                <w:lang w:val="en-GB"/>
              </w:rPr>
              <w:t>0.02</w:t>
            </w:r>
            <w:r>
              <w:rPr>
                <w:b w:val="false"/>
                <w:bCs w:val="false"/>
                <w:vertAlign w:val="superscript"/>
                <w:lang w:val="en-GB"/>
              </w:rPr>
              <w:t>c,A *</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0.66</w:t>
            </w:r>
            <w:r>
              <w:rPr>
                <w:b w:val="false"/>
                <w:bCs w:val="false"/>
                <w:vertAlign w:val="subscript"/>
                <w:lang w:val="en-GB"/>
              </w:rPr>
              <w:t>0.01</w:t>
            </w:r>
            <w:r>
              <w:rPr>
                <w:b w:val="false"/>
                <w:bCs w:val="false"/>
                <w:vertAlign w:val="superscript"/>
                <w:lang w:val="en-GB"/>
              </w:rPr>
              <w:t>d,B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0.73</w:t>
            </w:r>
            <w:r>
              <w:rPr>
                <w:b w:val="false"/>
                <w:bCs w:val="false"/>
                <w:vertAlign w:val="subscript"/>
                <w:lang w:val="en-GB"/>
              </w:rPr>
              <w:t>0.02</w:t>
            </w:r>
            <w:r>
              <w:rPr>
                <w:b w:val="false"/>
                <w:bCs w:val="false"/>
                <w:vertAlign w:val="superscript"/>
                <w:lang w:val="en-GB"/>
              </w:rPr>
              <w:t>d,C</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color w:val="000000"/>
                <w:szCs w:val="24"/>
                <w:highlight w:val="white"/>
                <w:lang w:val="en-GB"/>
              </w:rPr>
            </w:pPr>
            <w:r>
              <w:rPr>
                <w:b w:val="false"/>
                <w:bCs w:val="false"/>
                <w:color w:val="000000"/>
                <w:szCs w:val="24"/>
                <w:lang w:val="en-GB"/>
              </w:rPr>
              <w:t>G5</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0.70</w:t>
            </w:r>
            <w:r>
              <w:rPr>
                <w:b w:val="false"/>
                <w:bCs w:val="false"/>
                <w:vertAlign w:val="subscript"/>
                <w:lang w:val="en-GB"/>
              </w:rPr>
              <w:t>0.02</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0.77</w:t>
            </w:r>
            <w:r>
              <w:rPr>
                <w:b w:val="false"/>
                <w:bCs w:val="false"/>
                <w:vertAlign w:val="subscript"/>
                <w:lang w:val="en-GB"/>
              </w:rPr>
              <w:t>0.01</w:t>
            </w:r>
            <w:r>
              <w:rPr>
                <w:b w:val="false"/>
                <w:bCs w:val="false"/>
                <w:vertAlign w:val="superscript"/>
                <w:lang w:val="en-GB"/>
              </w:rPr>
              <w:t>d,B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0.79</w:t>
            </w:r>
            <w:r>
              <w:rPr>
                <w:b w:val="false"/>
                <w:bCs w:val="false"/>
                <w:vertAlign w:val="subscript"/>
                <w:lang w:val="en-GB"/>
              </w:rPr>
              <w:t>0.02</w:t>
            </w:r>
            <w:r>
              <w:rPr>
                <w:b w:val="false"/>
                <w:bCs w:val="false"/>
                <w:vertAlign w:val="superscript"/>
                <w:lang w:val="en-GB"/>
              </w:rPr>
              <w:t>e,C</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0.69</w:t>
            </w:r>
            <w:r>
              <w:rPr>
                <w:b w:val="false"/>
                <w:bCs w:val="false"/>
                <w:vertAlign w:val="subscript"/>
                <w:lang w:val="en-GB"/>
              </w:rPr>
              <w:t>0.02</w:t>
            </w:r>
            <w:r>
              <w:rPr>
                <w:b w:val="false"/>
                <w:bCs w:val="false"/>
                <w:vertAlign w:val="superscript"/>
                <w:lang w:val="en-GB"/>
              </w:rPr>
              <w:t>d,A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0.76</w:t>
            </w:r>
            <w:r>
              <w:rPr>
                <w:b w:val="false"/>
                <w:bCs w:val="false"/>
                <w:vertAlign w:val="subscript"/>
                <w:lang w:val="en-GB"/>
              </w:rPr>
              <w:t>0.01</w:t>
            </w:r>
            <w:r>
              <w:rPr>
                <w:b w:val="false"/>
                <w:bCs w:val="false"/>
                <w:vertAlign w:val="superscript"/>
                <w:lang w:val="en-GB"/>
              </w:rPr>
              <w:t>e,B</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0.78</w:t>
            </w:r>
            <w:r>
              <w:rPr>
                <w:b w:val="false"/>
                <w:bCs w:val="false"/>
                <w:vertAlign w:val="subscript"/>
                <w:lang w:val="en-GB"/>
              </w:rPr>
              <w:t>0.02</w:t>
            </w:r>
            <w:r>
              <w:rPr>
                <w:b w:val="false"/>
                <w:bCs w:val="false"/>
                <w:vertAlign w:val="superscript"/>
                <w:lang w:val="en-GB"/>
              </w:rPr>
              <w:t>e,B</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G2</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0.79</w:t>
            </w:r>
            <w:r>
              <w:rPr>
                <w:b w:val="false"/>
                <w:bCs w:val="false"/>
                <w:vertAlign w:val="subscript"/>
                <w:lang w:val="en-GB"/>
              </w:rPr>
              <w:t>0.02</w:t>
            </w:r>
            <w:r>
              <w:rPr>
                <w:b w:val="false"/>
                <w:bCs w:val="false"/>
                <w:vertAlign w:val="superscript"/>
                <w:lang w:val="en-GB"/>
              </w:rPr>
              <w:t>d,B</w:t>
            </w:r>
          </w:p>
        </w:tc>
        <w:tc>
          <w:tcPr>
            <w:tcW w:w="1400"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0.78</w:t>
            </w:r>
            <w:r>
              <w:rPr>
                <w:b w:val="false"/>
                <w:bCs w:val="false"/>
                <w:vertAlign w:val="subscript"/>
                <w:lang w:val="en-GB"/>
              </w:rPr>
              <w:t>0.01</w:t>
            </w:r>
            <w:r>
              <w:rPr>
                <w:b w:val="false"/>
                <w:bCs w:val="false"/>
                <w:vertAlign w:val="superscript"/>
                <w:lang w:val="en-GB"/>
              </w:rPr>
              <w:t>e,AB</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40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0.77</w:t>
            </w:r>
            <w:r>
              <w:rPr>
                <w:b w:val="false"/>
                <w:bCs w:val="false"/>
                <w:vertAlign w:val="subscript"/>
                <w:lang w:val="en-GB"/>
              </w:rPr>
              <w:t>0.02</w:t>
            </w:r>
            <w:r>
              <w:rPr>
                <w:b w:val="false"/>
                <w:bCs w:val="false"/>
                <w:vertAlign w:val="superscript"/>
                <w:lang w:val="en-GB"/>
              </w:rPr>
              <w:t>e,A *</w:t>
            </w:r>
          </w:p>
        </w:tc>
        <w:tc>
          <w:tcPr>
            <w:tcW w:w="1441" w:type="dxa"/>
            <w:tcBorders/>
            <w:shd w:fill="FFFFFF" w:val="clear"/>
            <w:vAlign w:val="bottom"/>
          </w:tcPr>
          <w:p>
            <w:pPr>
              <w:pStyle w:val="Standard"/>
              <w:spacing w:lineRule="auto" w:line="360"/>
              <w:ind w:left="0" w:right="0" w:hanging="0"/>
              <w:jc w:val="right"/>
              <w:rPr>
                <w:b w:val="false"/>
                <w:b w:val="false"/>
                <w:bCs w:val="false"/>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32" w:type="dxa"/>
            <w:tcBorders/>
            <w:shd w:fill="auto" w:val="clear"/>
            <w:vAlign w:val="bottom"/>
          </w:tcPr>
          <w:p>
            <w:pPr>
              <w:pStyle w:val="Normal"/>
              <w:snapToGrid w:val="false"/>
              <w:spacing w:before="0" w:after="240"/>
              <w:rPr>
                <w:b w:val="false"/>
                <w:b w:val="false"/>
                <w:bCs w:val="false"/>
              </w:rPr>
            </w:pPr>
            <w:r>
              <w:rPr>
                <w:b w:val="false"/>
                <w:bCs w:val="false"/>
              </w:rPr>
            </w:r>
          </w:p>
        </w:tc>
      </w:tr>
      <w:tr>
        <w:trPr>
          <w:trHeight w:val="369" w:hRule="exact"/>
        </w:trPr>
        <w:tc>
          <w:tcPr>
            <w:tcW w:w="1130" w:type="dxa"/>
            <w:tcBorders/>
            <w:shd w:fill="FFFFFF" w:val="clear"/>
            <w:vAlign w:val="bottom"/>
          </w:tcPr>
          <w:p>
            <w:pPr>
              <w:pStyle w:val="Standard"/>
              <w:spacing w:lineRule="auto" w:line="360"/>
              <w:ind w:left="0" w:right="0" w:hanging="0"/>
              <w:jc w:val="both"/>
              <w:rPr>
                <w:b/>
                <w:b/>
                <w:bCs/>
                <w:lang w:val="en-GB"/>
              </w:rPr>
            </w:pPr>
            <w:r>
              <w:rPr>
                <w:b w:val="false"/>
                <w:bCs w:val="false"/>
                <w:lang w:val="en-GB"/>
              </w:rPr>
              <w:t>G1</w:t>
            </w:r>
          </w:p>
        </w:tc>
        <w:tc>
          <w:tcPr>
            <w:tcW w:w="1401"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0.77</w:t>
            </w:r>
            <w:r>
              <w:rPr>
                <w:b w:val="false"/>
                <w:bCs w:val="false"/>
                <w:vertAlign w:val="subscript"/>
                <w:lang w:val="en-GB"/>
              </w:rPr>
              <w:t>0.02</w:t>
            </w:r>
            <w:r>
              <w:rPr>
                <w:b w:val="false"/>
                <w:bCs w:val="false"/>
                <w:vertAlign w:val="superscript"/>
                <w:lang w:val="en-GB"/>
              </w:rPr>
              <w:t>e,A</w:t>
            </w:r>
          </w:p>
        </w:tc>
        <w:tc>
          <w:tcPr>
            <w:tcW w:w="1401"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0.77</w:t>
            </w:r>
            <w:r>
              <w:rPr>
                <w:b w:val="false"/>
                <w:bCs w:val="false"/>
                <w:vertAlign w:val="subscript"/>
                <w:lang w:val="en-GB"/>
              </w:rPr>
              <w:t>0.02</w:t>
            </w:r>
            <w:r>
              <w:rPr>
                <w:b w:val="false"/>
                <w:bCs w:val="false"/>
                <w:vertAlign w:val="superscript"/>
                <w:lang w:val="en-GB"/>
              </w:rPr>
              <w:t>d,A</w:t>
            </w:r>
          </w:p>
        </w:tc>
        <w:tc>
          <w:tcPr>
            <w:tcW w:w="1400"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1401"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401"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441" w:type="dxa"/>
            <w:tcBorders/>
            <w:shd w:fill="FFFFFF" w:val="clear"/>
            <w:vAlign w:val="bottom"/>
          </w:tcPr>
          <w:p>
            <w:pPr>
              <w:pStyle w:val="Standard"/>
              <w:spacing w:lineRule="auto" w:line="360"/>
              <w:ind w:left="0" w:right="0" w:hanging="0"/>
              <w:jc w:val="center"/>
              <w:rPr>
                <w:b w:val="false"/>
                <w:b w:val="false"/>
                <w:bCs w:val="false"/>
              </w:rPr>
            </w:pPr>
            <w:r>
              <w:rPr>
                <w:b w:val="false"/>
                <w:bCs w:val="false"/>
                <w:lang w:val="en-GB"/>
              </w:rPr>
              <w:t>0.76</w:t>
            </w:r>
            <w:r>
              <w:rPr>
                <w:b w:val="false"/>
                <w:bCs w:val="false"/>
                <w:vertAlign w:val="subscript"/>
                <w:lang w:val="en-GB"/>
              </w:rPr>
              <w:t>0.02</w:t>
            </w:r>
            <w:r>
              <w:rPr>
                <w:b w:val="false"/>
                <w:bCs w:val="false"/>
                <w:vertAlign w:val="superscript"/>
                <w:lang w:val="en-GB"/>
              </w:rPr>
              <w:t>de,A</w:t>
            </w:r>
          </w:p>
        </w:tc>
        <w:tc>
          <w:tcPr>
            <w:tcW w:w="32" w:type="dxa"/>
            <w:tcBorders/>
            <w:shd w:fill="auto" w:val="clear"/>
            <w:vAlign w:val="bottom"/>
          </w:tcPr>
          <w:p>
            <w:pPr>
              <w:pStyle w:val="Normal"/>
              <w:snapToGrid w:val="false"/>
              <w:spacing w:before="0" w:after="240"/>
              <w:rPr>
                <w:b w:val="false"/>
                <w:b w:val="false"/>
                <w:bCs w:val="false"/>
                <w:color w:val="000000"/>
              </w:rPr>
            </w:pPr>
            <w:r>
              <w:rPr>
                <w:b w:val="false"/>
                <w:bCs w:val="false"/>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3"/>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2"/>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2"/>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3"/>
        </w:numPr>
        <w:rPr/>
      </w:pPr>
      <w:r>
        <w:rPr/>
        <w:t>Discussion</w:t>
      </w:r>
    </w:p>
    <w:p>
      <w:pPr>
        <w:pStyle w:val="Heading1"/>
        <w:numPr>
          <w:ilvl w:val="0"/>
          <w:numId w:val="3"/>
        </w:numPr>
        <w:rPr/>
      </w:pPr>
      <w:r>
        <w:rPr/>
        <w:t>Conclusions</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rFonts w:ascii="Times New Roman" w:hAnsi="Times New Roman"/>
          <w:color w:val="000000" w:themeColor="text1"/>
          <w:sz w:val="24"/>
          <w:szCs w:val="24"/>
          <w:lang w:val="en-GB"/>
        </w:rPr>
      </w:pPr>
      <w:r>
        <w:rPr>
          <w:color w:val="000000" w:themeColor="text1"/>
          <w:sz w:val="24"/>
          <w:szCs w:val="24"/>
          <w:lang w:val="en-GB"/>
        </w:rPr>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Heading1"/>
        <w:numPr>
          <w:ilvl w:val="0"/>
          <w:numId w:val="3"/>
        </w:numPr>
        <w:rPr/>
      </w:pPr>
      <w:r>
        <w:rPr/>
        <w:t>References</w:t>
      </w:r>
    </w:p>
    <w:p>
      <w:pPr>
        <w:pStyle w:val="Bibliography1"/>
        <w:rPr/>
      </w:pPr>
      <w:bookmarkStart w:id="114" w:name="__UnoMark__22928_862860911"/>
      <w:bookmarkStart w:id="115" w:name="ZOTERO_BREF_bn8EuCx1dJsz"/>
      <w:bookmarkStart w:id="116" w:name="__UnoMark__22588_862860911"/>
      <w:bookmarkStart w:id="117" w:name="__UnoMark__22267_862860911"/>
      <w:bookmarkStart w:id="118" w:name="__UnoMark__21942_862860911"/>
      <w:bookmarkStart w:id="119" w:name="__UnoMark__21614_862860911"/>
      <w:bookmarkEnd w:id="116"/>
      <w:bookmarkEnd w:id="117"/>
      <w:bookmarkEnd w:id="118"/>
      <w:bookmarkEnd w:id="119"/>
      <w:r>
        <w:rPr/>
        <w:t xml:space="preserve">[1] </w:t>
        <w:tab/>
        <w:t xml:space="preserve">Meuwissen TH, Hayes BJ, Goddard ME. Prediction of total genetic value using genome-wide dense marker maps. </w:t>
      </w:r>
      <w:r>
        <w:rPr>
          <w:i w:val="false"/>
          <w:iCs w:val="false"/>
        </w:rPr>
        <w:t xml:space="preserve">Genetics. </w:t>
      </w:r>
      <w:r>
        <w:rPr/>
        <w:t>2001;157: 1819–1829.</w:t>
      </w:r>
    </w:p>
    <w:p>
      <w:pPr>
        <w:pStyle w:val="Bibliography1"/>
        <w:rPr/>
      </w:pPr>
      <w:r>
        <w:rPr/>
        <w:t xml:space="preserve">[2] </w:t>
        <w:tab/>
        <w:t xml:space="preserve">Schaeffer LR. Strategy for applying genome-wide selection in dairy cattle. </w:t>
      </w:r>
      <w:r>
        <w:rPr>
          <w:i w:val="false"/>
          <w:iCs w:val="false"/>
        </w:rPr>
        <w:t>J Anim Breed Genet.</w:t>
      </w:r>
      <w:r>
        <w:rPr/>
        <w:t xml:space="preserve"> 2006; 123: 218–223.</w:t>
      </w:r>
    </w:p>
    <w:p>
      <w:pPr>
        <w:pStyle w:val="Bibliography1"/>
        <w:rPr/>
      </w:pPr>
      <w:r>
        <w:rPr/>
        <w:t xml:space="preserve">[3] </w:t>
        <w:tab/>
        <w:t xml:space="preserve">Obšteter J, Jenko J, Hickey JM, </w:t>
      </w:r>
      <w:r>
        <w:rPr/>
        <w:t>Gorjanc G</w:t>
      </w:r>
      <w:r>
        <w:rPr/>
        <w:t xml:space="preserve">. Efficient use of genomic information for sustainable genetic improvement in small cattle populations. </w:t>
      </w:r>
      <w:r>
        <w:rPr>
          <w:i w:val="false"/>
          <w:iCs w:val="false"/>
        </w:rPr>
        <w:t xml:space="preserve">Journal of Dairy Science. </w:t>
      </w:r>
      <w:r>
        <w:rPr/>
        <w:t>2019;102: 9971–9982.</w:t>
      </w:r>
    </w:p>
    <w:p>
      <w:pPr>
        <w:pStyle w:val="Bibliography1"/>
        <w:rPr/>
      </w:pPr>
      <w:r>
        <w:rPr/>
        <w:t xml:space="preserve">[4] </w:t>
        <w:tab/>
        <w:t xml:space="preserve">Wiggans GR, Cole JB, Hubbard SM, </w:t>
      </w:r>
      <w:r>
        <w:rPr/>
        <w:t>Sonstegard TS</w:t>
      </w:r>
      <w:r>
        <w:rPr/>
        <w:t xml:space="preserve">. Genomic Selection in Dairy Cattle: The USDA Experience. </w:t>
      </w:r>
      <w:r>
        <w:rPr>
          <w:i w:val="false"/>
          <w:iCs w:val="false"/>
        </w:rPr>
        <w:t>Annu Rev Anim Biosci.</w:t>
      </w:r>
      <w:r>
        <w:rPr/>
        <w:t xml:space="preserve"> 2017;5: 309–327.</w:t>
      </w:r>
    </w:p>
    <w:p>
      <w:pPr>
        <w:pStyle w:val="Bibliography1"/>
        <w:rPr/>
      </w:pPr>
      <w:r>
        <w:rPr/>
        <w:t xml:space="preserve">[5] </w:t>
        <w:tab/>
        <w:t xml:space="preserve">Mrode RA. </w:t>
      </w:r>
      <w:r>
        <w:rPr>
          <w:i w:val="false"/>
          <w:iCs w:val="false"/>
        </w:rPr>
        <w:t>Linear Models for the Prediction of Animal Breeding Values</w:t>
      </w:r>
      <w:r>
        <w:rPr/>
        <w:t>. Second edition. Wallingford, UK ; Cambridge, MA: CABI, 2005.</w:t>
      </w:r>
    </w:p>
    <w:p>
      <w:pPr>
        <w:pStyle w:val="Bibliography1"/>
        <w:rPr/>
      </w:pPr>
      <w:r>
        <w:rPr/>
        <w:t xml:space="preserve">[6] </w:t>
        <w:tab/>
        <w:t xml:space="preserve">Daetwyler HD, Villanueva B, Woolliams JA. Accuracy of Predicting the Genetic Risk of Disease Using a Genome-Wide Approach. </w:t>
      </w:r>
      <w:r>
        <w:rPr>
          <w:i w:val="false"/>
          <w:iCs w:val="false"/>
        </w:rPr>
        <w:t>PLoS ONE.</w:t>
      </w:r>
      <w:r>
        <w:rPr/>
        <w:t xml:space="preserve"> 2008;3: e3395.</w:t>
      </w:r>
    </w:p>
    <w:p>
      <w:pPr>
        <w:pStyle w:val="Bibliography1"/>
        <w:rPr/>
      </w:pPr>
      <w:r>
        <w:rPr/>
        <w:t xml:space="preserve">[7] </w:t>
        <w:tab/>
        <w:t xml:space="preserve">Goddard M. Genomic selection: prediction of accuracy and maximisation of long term response. </w:t>
      </w:r>
      <w:r>
        <w:rPr>
          <w:i w:val="false"/>
          <w:iCs w:val="false"/>
        </w:rPr>
        <w:t>Genetica.</w:t>
      </w:r>
      <w:r>
        <w:rPr/>
        <w:t xml:space="preserve"> 2009;136: 245–257.</w:t>
      </w:r>
    </w:p>
    <w:p>
      <w:pPr>
        <w:pStyle w:val="Bibliography1"/>
        <w:rPr/>
      </w:pPr>
      <w:r>
        <w:rPr/>
        <w:t xml:space="preserve">[8] </w:t>
        <w:tab/>
        <w:t xml:space="preserve">Habier D, Tetens J, Seefried F-R, Lichtner </w:t>
      </w:r>
      <w:r>
        <w:rPr/>
        <w:t>P, Thaller G</w:t>
      </w:r>
      <w:r>
        <w:rPr/>
        <w:t xml:space="preserve">. The impact of genetic relationship information on genomic breeding values in German Holstein cattle. </w:t>
      </w:r>
      <w:r>
        <w:rPr>
          <w:i w:val="false"/>
          <w:iCs w:val="false"/>
        </w:rPr>
        <w:t>Genetics Selection Evolution.</w:t>
      </w:r>
      <w:r>
        <w:rPr/>
        <w:t xml:space="preserve"> 2010;42: 5.</w:t>
      </w:r>
    </w:p>
    <w:p>
      <w:pPr>
        <w:pStyle w:val="Bibliography1"/>
        <w:rPr/>
      </w:pPr>
      <w:r>
        <w:rPr/>
        <w:t xml:space="preserve">[9] </w:t>
        <w:tab/>
        <w:t xml:space="preserve">Clark SA, Hickey JM, van der Werf JHJ. Different models of genetic variation and their effect on genomic evaluation. </w:t>
      </w:r>
      <w:r>
        <w:rPr>
          <w:i w:val="false"/>
          <w:iCs w:val="false"/>
        </w:rPr>
        <w:t>Genet Sel Evol.</w:t>
      </w:r>
      <w:r>
        <w:rPr/>
        <w:t xml:space="preserve"> 2011;43: 18.</w:t>
      </w:r>
    </w:p>
    <w:p>
      <w:pPr>
        <w:pStyle w:val="Bibliography1"/>
        <w:rPr/>
      </w:pPr>
      <w:r>
        <w:rPr/>
        <w:t xml:space="preserve">[10] </w:t>
        <w:tab/>
        <w:t xml:space="preserve">Goddard ME, Hayes BJ, Meuwissen THE. Using the genomic relationship matrix to predict the accuracy of genomic selection. </w:t>
      </w:r>
      <w:r>
        <w:rPr>
          <w:i/>
        </w:rPr>
        <w:t>J</w:t>
      </w:r>
      <w:r>
        <w:rPr>
          <w:i w:val="false"/>
          <w:iCs w:val="false"/>
        </w:rPr>
        <w:t xml:space="preserve"> Anim Breed Genet.</w:t>
      </w:r>
      <w:r>
        <w:rPr/>
        <w:t xml:space="preserve"> 2011;128: 409–421.</w:t>
      </w:r>
    </w:p>
    <w:p>
      <w:pPr>
        <w:pStyle w:val="Bibliography1"/>
        <w:rPr/>
      </w:pPr>
      <w:r>
        <w:rPr/>
        <w:t xml:space="preserve">[11] </w:t>
        <w:tab/>
        <w:t xml:space="preserve">Calus MPL. Genomic breeding value prediction: methods and procedures. </w:t>
      </w:r>
      <w:r>
        <w:rPr>
          <w:i w:val="false"/>
          <w:iCs w:val="false"/>
        </w:rPr>
        <w:t>Animal.</w:t>
      </w:r>
      <w:r>
        <w:rPr/>
        <w:t xml:space="preserve"> 2010;4: 157–164.</w:t>
      </w:r>
    </w:p>
    <w:p>
      <w:pPr>
        <w:pStyle w:val="Bibliography1"/>
        <w:rPr/>
      </w:pPr>
      <w:r>
        <w:rPr/>
        <w:t xml:space="preserve">[12] </w:t>
        <w:tab/>
        <w:t xml:space="preserve">Wolc A, Arango J, Settar P, Fulton </w:t>
      </w:r>
      <w:r>
        <w:rPr/>
        <w:t>JE, O'Sullivan NP</w:t>
      </w:r>
      <w:r>
        <w:rPr/>
        <w:t xml:space="preserve">. Persistence of accuracy of genomic estimated breeding values over generations in layer chickens. </w:t>
      </w:r>
      <w:r>
        <w:rPr>
          <w:i w:val="false"/>
          <w:iCs w:val="false"/>
        </w:rPr>
        <w:t>Genetics Selection Evolution.</w:t>
      </w:r>
      <w:r>
        <w:rPr/>
        <w:t xml:space="preserve"> 2011;43: 23.</w:t>
      </w:r>
    </w:p>
    <w:p>
      <w:pPr>
        <w:pStyle w:val="Bibliography1"/>
        <w:rPr/>
      </w:pPr>
      <w:r>
        <w:rPr/>
        <w:t xml:space="preserve">[13] </w:t>
        <w:tab/>
        <w:t xml:space="preserve">Van Grevenhof EM, Van Arendonk JAM, Bijma P. Response to genomic selection: the Bulmer effect and the potential of genomic selection when the number of phenotypic records is limiting. </w:t>
      </w:r>
      <w:r>
        <w:rPr>
          <w:i w:val="false"/>
          <w:iCs w:val="false"/>
        </w:rPr>
        <w:t>Genet Sel Evol.</w:t>
      </w:r>
      <w:r>
        <w:rPr/>
        <w:t xml:space="preserve"> 2012;44: 26.</w:t>
      </w:r>
    </w:p>
    <w:p>
      <w:pPr>
        <w:pStyle w:val="Bibliography1"/>
        <w:rPr/>
      </w:pPr>
      <w:r>
        <w:rPr/>
        <w:t xml:space="preserve">[14] </w:t>
        <w:tab/>
        <w:t xml:space="preserve">Gonzalez-Recio O, Coffey MP, Pryce JE. On the value of the phenotypes in the genomic era. </w:t>
      </w:r>
      <w:r>
        <w:rPr>
          <w:i w:val="false"/>
          <w:iCs w:val="false"/>
        </w:rPr>
        <w:t>Journal of Dairy Science.</w:t>
      </w:r>
      <w:r>
        <w:rPr/>
        <w:t xml:space="preserve"> 2014;97: 7905–7915.</w:t>
      </w:r>
    </w:p>
    <w:p>
      <w:pPr>
        <w:pStyle w:val="Bibliography1"/>
        <w:rPr/>
      </w:pPr>
      <w:r>
        <w:rPr/>
        <w:t xml:space="preserve">[15] </w:t>
        <w:tab/>
        <w:t xml:space="preserve">Gao H, Christensen OF, Madsen P, Nielsen </w:t>
      </w:r>
      <w:r>
        <w:rPr/>
        <w:t>US, Zhang Y, Lund MS, et al</w:t>
      </w:r>
      <w:r>
        <w:rPr/>
        <w:t xml:space="preserve">. Comparison on genomic predictions using three GBLUP methods and two single-step blending methods in the Nordic Holstein population. </w:t>
      </w:r>
      <w:r>
        <w:rPr>
          <w:i w:val="false"/>
          <w:iCs w:val="false"/>
        </w:rPr>
        <w:t>Genetics Selection Evolution. 2012;44: 8.</w:t>
      </w:r>
    </w:p>
    <w:p>
      <w:pPr>
        <w:pStyle w:val="Bibliography1"/>
        <w:rPr/>
      </w:pPr>
      <w:r>
        <w:rPr/>
        <w:t xml:space="preserve">[16] </w:t>
        <w:tab/>
        <w:t xml:space="preserve">Gray KA, Cassady JP, Huang Y, Maltecca </w:t>
      </w:r>
      <w:r>
        <w:rPr/>
        <w:t>C</w:t>
      </w:r>
      <w:r>
        <w:rPr/>
        <w:t xml:space="preserve">. Effectiveness of genomic prediction on milk flow traits in dairy cattle. </w:t>
      </w:r>
      <w:r>
        <w:rPr>
          <w:i w:val="false"/>
          <w:iCs w:val="false"/>
        </w:rPr>
        <w:t>Genetics, Selection, Evolution.</w:t>
      </w:r>
      <w:r>
        <w:rPr/>
        <w:t xml:space="preserve"> 2012;44: 24.</w:t>
      </w:r>
    </w:p>
    <w:p>
      <w:pPr>
        <w:pStyle w:val="Bibliography1"/>
        <w:rPr/>
      </w:pPr>
      <w:r>
        <w:rPr/>
        <w:t xml:space="preserve">[17] </w:t>
        <w:tab/>
        <w:t xml:space="preserve">Lourenco D a. L, Tsuruta S, Fragomeni BO, Masuda </w:t>
      </w:r>
      <w:r>
        <w:rPr/>
        <w:t>Y, Aguilar I</w:t>
      </w:r>
      <w:r>
        <w:rPr/>
        <w:t xml:space="preserve">. Genetic evaluation using single-step genomic best linear unbiased predictor in American Angus. </w:t>
      </w:r>
      <w:r>
        <w:rPr>
          <w:i w:val="false"/>
          <w:iCs w:val="false"/>
        </w:rPr>
        <w:t>J Anim Sci.</w:t>
      </w:r>
      <w:r>
        <w:rPr/>
        <w:t xml:space="preserve"> 2015;93: 2653–2662.</w:t>
      </w:r>
    </w:p>
    <w:p>
      <w:pPr>
        <w:pStyle w:val="Bibliography1"/>
        <w:rPr/>
      </w:pPr>
      <w:r>
        <w:rPr/>
        <w:t xml:space="preserve">[18] </w:t>
        <w:tab/>
        <w:t xml:space="preserve">International Committee for Animal Recording. Section 02 - Cattle Milk Recording. Overview. In: </w:t>
      </w:r>
      <w:r>
        <w:rPr>
          <w:i w:val="false"/>
          <w:iCs w:val="false"/>
        </w:rPr>
        <w:t>ICAR Guidelines</w:t>
      </w:r>
      <w:r>
        <w:rPr/>
        <w:t>. Rome: ICAR, 2017.</w:t>
      </w:r>
    </w:p>
    <w:p>
      <w:pPr>
        <w:pStyle w:val="Bibliography1"/>
        <w:rPr/>
      </w:pPr>
      <w:r>
        <w:rPr/>
        <w:t xml:space="preserve">[19] </w:t>
        <w:tab/>
        <w:t xml:space="preserve">Misztal I, Tsuruta S, Strabel T, Auvray </w:t>
      </w:r>
      <w:r>
        <w:rPr/>
        <w:t>B, Druet T, Lee DH</w:t>
      </w:r>
      <w:r>
        <w:rPr/>
        <w:t xml:space="preserve">. BLUPF90 and related programs (BGF90). In: </w:t>
      </w:r>
      <w:r>
        <w:rPr>
          <w:i w:val="false"/>
          <w:iCs w:val="false"/>
        </w:rPr>
        <w:t>Proc</w:t>
      </w:r>
      <w:r>
        <w:rPr>
          <w:i w:val="false"/>
          <w:iCs w:val="false"/>
        </w:rPr>
        <w:t>eedings of</w:t>
      </w:r>
      <w:r>
        <w:rPr>
          <w:i w:val="false"/>
          <w:iCs w:val="false"/>
        </w:rPr>
        <w:t xml:space="preserve"> 7th World Congress on Genetics Applied to Livestock Production:</w:t>
      </w:r>
      <w:r>
        <w:rPr/>
        <w:t xml:space="preserve"> </w:t>
      </w:r>
      <w:r>
        <w:rPr/>
        <w:t>19-23 August 2001; Montpellier, France.</w:t>
      </w:r>
      <w:bookmarkStart w:id="120" w:name="__UnoMark__22664_862860911"/>
      <w:bookmarkStart w:id="121" w:name="__UnoMark__22324_862860911"/>
      <w:bookmarkStart w:id="122" w:name="__UnoMark__21989_862860911"/>
      <w:bookmarkStart w:id="123" w:name="__UnoMark__21664_862860911"/>
      <w:bookmarkEnd w:id="114"/>
      <w:bookmarkEnd w:id="115"/>
      <w:bookmarkEnd w:id="120"/>
      <w:bookmarkEnd w:id="121"/>
      <w:bookmarkEnd w:id="122"/>
      <w:bookmarkEnd w:id="123"/>
    </w:p>
    <w:p>
      <w:pPr>
        <w:pStyle w:val="Bibliography1"/>
        <w:rPr/>
      </w:pPr>
      <w:r>
        <w:rPr/>
      </w:r>
    </w:p>
    <w:p>
      <w:pPr>
        <w:pStyle w:val="Heading1"/>
        <w:numPr>
          <w:ilvl w:val="0"/>
          <w:numId w:val="3"/>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3"/>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4"/>
        <w:gridCol w:w="1848"/>
        <w:gridCol w:w="1836"/>
        <w:gridCol w:w="1852"/>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4"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4"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4"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3"/>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031"/>
        <w:gridCol w:w="1177"/>
        <w:gridCol w:w="1590"/>
        <w:gridCol w:w="1637"/>
        <w:gridCol w:w="1634"/>
        <w:gridCol w:w="1001"/>
        <w:gridCol w:w="1574"/>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character" w:styleId="ListLabel482">
    <w:name w:val="ListLabel 482"/>
    <w:qFormat/>
    <w:rPr>
      <w:rFonts w:cs="Times New Roman"/>
      <w:i w:val="false"/>
      <w:iCs w:val="false"/>
      <w:sz w:val="24"/>
    </w:rPr>
  </w:style>
  <w:style w:type="character" w:styleId="ListLabel483">
    <w:name w:val="ListLabel 483"/>
    <w:qFormat/>
    <w:rPr>
      <w:rFonts w:ascii="Times New Roman" w:hAnsi="Times New Roman" w:cs="Times New Roman"/>
    </w:rPr>
  </w:style>
  <w:style w:type="character" w:styleId="ListLabel484">
    <w:name w:val="ListLabel 484"/>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tru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left" w:pos="624" w:leader="none"/>
      </w:tabs>
      <w:spacing w:lineRule="atLeast" w:line="240" w:before="0" w:after="240"/>
      <w:ind w:left="624" w:right="0"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3899</TotalTime>
  <Application>LibreOffice/6.0.7.3$Linux_X86_64 LibreOffice_project/00m0$Build-3</Application>
  <Pages>33</Pages>
  <Words>6991</Words>
  <Characters>40121</Characters>
  <CharactersWithSpaces>46558</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2020-06-15T15:55:43Z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2ManwXjQ9SDN_1">
    <vt:lpwstr>ZOTERO_ITEM CSL_CITATION {"citationID":"yWk2xiSV","properties":{"formattedCitation":"[2, 3]","plainCitation":"[2, 3]","noteIndex":0},"citationItems":[{"id":6603,"uris":["http://zotero.org/users/2983590/items/S38QEJ2Y"],"uri":["http://zotero.org/users/2983</vt:lpwstr>
  </property>
  <property fmtid="{D5CDD505-2E9C-101B-9397-08002B2CF9AE}" pid="13"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14"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15"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16"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17"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18"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19"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20"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21"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22"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23" name="ZOTERO_BREF_2ManwXjQ9SDN_2">
    <vt:lpwstr>590/items/S38QEJ2Y"],"itemData":{"id":6603,"type":"article-journal","abstract":"Animals can be genotyped for thousands of single nucleotide polymorphisms (SNPs) at one time, where the SNPs are located at roughly 1-cM intervals throughout the genome. For e</vt:lpwstr>
  </property>
  <property fmtid="{D5CDD505-2E9C-101B-9397-08002B2CF9AE}" pid="24" name="ZOTERO_BREF_2ManwXjQ9SDN_20">
    <vt:lpwstr>,{"family":"Gorjanc","given":"G."}],"issued":{"date-parts":[["2019",11,1]]}}}],"schema":"https://github.com/citation-style-language/schema/raw/master/csl-citation.json"}</vt:lpwstr>
  </property>
  <property fmtid="{D5CDD505-2E9C-101B-9397-08002B2CF9AE}" pid="25" name="ZOTERO_BREF_2ManwXjQ9SDN_21">
    <vt:lpwstr/>
  </property>
  <property fmtid="{D5CDD505-2E9C-101B-9397-08002B2CF9AE}" pid="26"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27"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28"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29"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30"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31" name="ZOTERO_BREF_2ManwXjQ9SDN_8">
    <vt:lpwstr>,"title":"Strategy for applying genome-wide selection in dairy cattle","volume":"123","author":[{"family":"Schaeffer","given":"L. R."}],"issued":{"date-parts":[["2006",8]]}}},{"id":6756,"uris":["http://zotero.org/users/2983590/items/S9NXUB9E"],"uri":["htt</vt:lpwstr>
  </property>
  <property fmtid="{D5CDD505-2E9C-101B-9397-08002B2CF9AE}" pid="32" name="ZOTERO_BREF_2ManwXjQ9SDN_9">
    <vt:lpwstr>p://zotero.org/users/2983590/items/S9NXUB9E"],"itemData":{"id":6756,"type":"article-journal","abstract":"In this study, we compared genetic gain, genetic variation, and the efficiency of converting variation into gain under different genomic selection sce</vt:lpwstr>
  </property>
  <property fmtid="{D5CDD505-2E9C-101B-9397-08002B2CF9AE}" pid="3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3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35" name="ZOTERO_BREF_5arYpAG8Nvi4_11">
    <vt:lpwstr>,10,14]]}}}],"schema":"https://github.com/citation-style-language/schema/raw/master/csl-citation.json"}</vt:lpwstr>
  </property>
  <property fmtid="{D5CDD505-2E9C-101B-9397-08002B2CF9AE}" pid="3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3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3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3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4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4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4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4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4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4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4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4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4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49" name="ZOTERO_BREF_6Oxkvq6GXkeS_14">
    <vt:lpwstr>amily":"Bijma","given":"Piter"}],"issued":{"date-parts":[["2012",8,3]]}}},{"id":6604,"uris":["http://zotero.org/users/2983590/items/5V5JWRGS"],"uri":["http://zotero.org/users/2983590/items/5V5JWRGS"],"itemData":{"id":6604,"type":"webpage","title":"On the </vt:lpwstr>
  </property>
  <property fmtid="{D5CDD505-2E9C-101B-9397-08002B2CF9AE}" pid="5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51" name="ZOTERO_BREF_6Oxkvq6GXkeS_16">
    <vt:lpwstr>hema/raw/master/csl-citation.json"}</vt:lpwstr>
  </property>
  <property fmtid="{D5CDD505-2E9C-101B-9397-08002B2CF9AE}" pid="5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60" name="ZOTERO_BREF_Bplby7z9636a_1">
    <vt:lpwstr>ZOTERO_ITEM CSL_CITATION {"citationID":"SKTIPfBB","properties":{"formattedCitation":"[18]","plainCitation":"[18]","noteIndex":0},"citationItems":[{"id":6667,"uris":["http://zotero.org/users/2983590/items/5354396U"],"uri":["http://zotero.org/users/2983590/</vt:lpwstr>
  </property>
  <property fmtid="{D5CDD505-2E9C-101B-9397-08002B2CF9AE}" pid="61" name="ZOTERO_BREF_Bplby7z9636a_2">
    <vt:lpwstr>items/5354396U"],"itemData":{"id":6667,"type":"chapter","container-title":"ICAR Guidelines","event-place":"Rome","publisher":"ICAR","publisher-place":"Rome","title":"Section 02 - Cattle Milk Recording. Overview.","author":[{"family":"International Committ</vt:lpwstr>
  </property>
  <property fmtid="{D5CDD505-2E9C-101B-9397-08002B2CF9AE}" pid="62" name="ZOTERO_BREF_Bplby7z9636a_3">
    <vt:lpwstr>ee for Animal Recording.","given":""}],"issued":{"date-parts":[["2017",10]]}}}],"schema":"https://github.com/citation-style-language/schema/raw/master/csl-citation.json"}</vt:lpwstr>
  </property>
  <property fmtid="{D5CDD505-2E9C-101B-9397-08002B2CF9AE}" pid="63" name="ZOTERO_BREF_CBIgIDAUpR7W_1">
    <vt:lpwstr>ZOTERO_ITEM CSL_CITATION {"citationID":"IQjRVHWf","properties":{"formattedCitation":"[1, 8, 11, 12]","plainCitation":"[1, 8, 11, 12]","noteIndex":0},"citationItems":[{"id":6608,"uris":["http://zotero.org/users/2983590/items/R7X2FSRG"],"uri":["http://zoter</vt:lpwstr>
  </property>
  <property fmtid="{D5CDD505-2E9C-101B-9397-08002B2CF9AE}" pid="64" name="ZOTERO_BREF_CBIgIDAUpR7W_10">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 name="ZOTERO_BREF_CBIgIDAUpR7W_11">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6" name="ZOTERO_BREF_CBIgIDAUpR7W_12">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7" name="ZOTERO_BREF_CBIgIDAUpR7W_13">
    <vt:lpwstr>l","title":"The impact of genetic relationship information on genomic breeding values in German Holstein cattle","volume":"42","author":[{"family":"Habier","given":"David"},{"family":"Tetens","given":"Jens"},{"family":"Seefried","given":"Franz-Reinhold"},</vt:lpwstr>
  </property>
  <property fmtid="{D5CDD505-2E9C-101B-9397-08002B2CF9AE}" pid="68" name="ZOTERO_BREF_CBIgIDAUpR7W_14">
    <vt:lpwstr>{"family":"Lichtner","given":"Peter"},{"family":"Thaller","given":"Georg"}],"issued":{"date-parts":[["2010",2,19]]}}},{"id":6629,"uris":["http://zotero.org/users/2983590/items/25MDEGBM"],"uri":["http://zotero.org/users/2983590/items/25MDEGBM"],"itemData":</vt:lpwstr>
  </property>
  <property fmtid="{D5CDD505-2E9C-101B-9397-08002B2CF9AE}" pid="69" name="ZOTERO_BREF_CBIgIDAUpR7W_15">
    <vt:lpwstr>{"id":6629,"type":"article-journal","abstract":"Animal breeding faces one of the most significant changes of the past decades - the implementation of genomic selection. Genomic selection uses dense marker maps to predict the breeding value of animals with</vt:lpwstr>
  </property>
  <property fmtid="{D5CDD505-2E9C-101B-9397-08002B2CF9AE}" pid="70" name="ZOTERO_BREF_CBIgIDAUpR7W_16">
    <vt:lpwstr> reported accuracies that are up to 0.31 higher than those of pedigree indexes, without the need to phenotype the animals themselves, or close relatives thereof. The basic principle is that because of the high marker density, each quantitative trait loci </vt:lpwstr>
  </property>
  <property fmtid="{D5CDD505-2E9C-101B-9397-08002B2CF9AE}" pid="71" name="ZOTERO_BREF_CBIgIDAUpR7W_17">
    <vt:lpwstr>(QTL) is in linkage disequilibrium (LD) with at least one nearby marker. The process involves putting a reference population together of animals with known phenotypes and genotypes to estimate the marker effects. Marker effects have been estimated with se</vt:lpwstr>
  </property>
  <property fmtid="{D5CDD505-2E9C-101B-9397-08002B2CF9AE}" pid="72" name="ZOTERO_BREF_CBIgIDAUpR7W_18">
    <vt:lpwstr>veral different methods that generally aim at reducing the dimensions of the marker data. Nearly all reported models only included additive effects. Once the marker effects are estimated, breeding values of young selection candidates can be predicted with</vt:lpwstr>
  </property>
  <property fmtid="{D5CDD505-2E9C-101B-9397-08002B2CF9AE}" pid="73" name="ZOTERO_BREF_CBIgIDAUpR7W_19">
    <vt:lpwstr> reported accuracies up to 0.85. Although results from simulation studies suggest that different models may yield more accurate genomic estimated breeding values (GEBVs) for different traits, depending on the underlying QTL distribution of the trait, ther</vt:lpwstr>
  </property>
  <property fmtid="{D5CDD505-2E9C-101B-9397-08002B2CF9AE}" pid="74" name="ZOTERO_BREF_CBIgIDAUpR7W_2">
    <vt:lpwstr>o.org/users/2983590/items/R7X2FSRG"],"itemData":{"id":6608,"type":"article-journal","abstract":"Recent advances in molecular genetic techniques will make dense marker maps available and genotyping many individuals for these markers feasible. Here we attem</vt:lpwstr>
  </property>
  <property fmtid="{D5CDD505-2E9C-101B-9397-08002B2CF9AE}" pid="75" name="ZOTERO_BREF_CBIgIDAUpR7W_20">
    <vt:lpwstr>e is so far only little evidence from studies based on real data to support this. The accuracy of genomic predictions strongly depends on characteristics of the reference populations, such as number of animals, number of markers, and the heritability of t</vt:lpwstr>
  </property>
  <property fmtid="{D5CDD505-2E9C-101B-9397-08002B2CF9AE}" pid="76" name="ZOTERO_BREF_CBIgIDAUpR7W_21">
    <vt:lpwstr>he recorded phenotype. Another important factor is the relationship between animals in the reference population and the evaluated animals. The breakup of LD between markers and QTL across generations advocates frequent re-estimation of marker effects to m</vt:lpwstr>
  </property>
  <property fmtid="{D5CDD505-2E9C-101B-9397-08002B2CF9AE}" pid="77" name="ZOTERO_BREF_CBIgIDAUpR7W_22">
    <vt:lpwstr>aintain the accuracy of GEBVs at an acceptable level. Therefore, at low frequencies of re-estimating marker effects, it becomes more important that the model that estimates the marker effects capitalizes on LD information that is persistent across generat</vt:lpwstr>
  </property>
  <property fmtid="{D5CDD505-2E9C-101B-9397-08002B2CF9AE}" pid="78" name="ZOTERO_BREF_CBIgIDAUpR7W_23">
    <vt:lpwstr>ions.","container-title":"Animal: An International Journal of Animal Bioscience","DOI":"10.1017/S1751731109991352","ISSN":"1751-7311","issue":"2","journalAbbreviation":"Animal","language":"eng","note":"PMID: 22443868","page":"157-164","source":"PubMed","t</vt:lpwstr>
  </property>
  <property fmtid="{D5CDD505-2E9C-101B-9397-08002B2CF9AE}" pid="79" name="ZOTERO_BREF_CBIgIDAUpR7W_24">
    <vt:lpwstr>itle":"Genomic breeding value prediction: methods and procedures","title-short":"Genomic breeding value prediction","volume":"4","author":[{"family":"Calus","given":"M. P. L."}],"issued":{"date-parts":[["2010",2]]}}},{"id":6275,"uris":["http://zotero.org/</vt:lpwstr>
  </property>
  <property fmtid="{D5CDD505-2E9C-101B-9397-08002B2CF9AE}" pid="80" name="ZOTERO_BREF_CBIgIDAUpR7W_25">
    <vt:lpwstr>users/2983590/items/XPUWKRAS"],"uri":["http://zotero.org/users/2983590/items/XPUWKRAS"],"itemData":{"id":6275,"type":"article-journal","abstract":"The predictive ability of genomic estimated breeding values (GEBV) originates both from associations between</vt:lpwstr>
  </property>
  <property fmtid="{D5CDD505-2E9C-101B-9397-08002B2CF9AE}" pid="81" name="ZOTERO_BREF_CBIgIDAUpR7W_26">
    <vt:lpwstr> high-density markers and QTL (Quantitative Trait Loci) and from pedigree information. Thus, GEBV are expected to provide more persistent accuracy over successive generations than breeding values estimated using pedigree-based methods. The objective of th</vt:lpwstr>
  </property>
  <property fmtid="{D5CDD505-2E9C-101B-9397-08002B2CF9AE}" pid="82" name="ZOTERO_BREF_CBIgIDAUpR7W_27">
    <vt:lpwstr>is study was to evaluate the accuracy of GEBV in a closed population of layer chickens and to quantify their persistence over five successive generations using marker or pedigree information.","container-title":"Genetics Selection Evolution","DOI":"10.118</vt:lpwstr>
  </property>
  <property fmtid="{D5CDD505-2E9C-101B-9397-08002B2CF9AE}" pid="83" name="ZOTERO_BREF_CBIgIDAUpR7W_28">
    <vt:lpwstr>6/1297-9686-43-23","ISSN":"1297-9686","issue":"1","journalAbbreviation":"Genetics Selection Evolution","page":"23","source":"BioMed Central","title":"Persistence of accuracy of genomic estimated breeding values over generations in layer chickens","volume"</vt:lpwstr>
  </property>
  <property fmtid="{D5CDD505-2E9C-101B-9397-08002B2CF9AE}" pid="84" name="ZOTERO_BREF_CBIgIDAUpR7W_29">
    <vt:lpwstr>:"43","author":[{"family":"Wolc","given":"Anna"},{"family":"Arango","given":"Jesus"},{"family":"Settar","given":"Petek"},{"family":"Fulton","given":"Janet E."},{"family":"O'Sullivan","given":"Neil P."},{"family":"Preisinger","given":"Rudolf"},{"family":"H</vt:lpwstr>
  </property>
  <property fmtid="{D5CDD505-2E9C-101B-9397-08002B2CF9AE}" pid="85"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86" name="ZOTERO_BREF_CBIgIDAUpR7W_30">
    <vt:lpwstr>abier","given":"David"},{"family":"Fernando","given":"Rohan"},{"family":"Garrick","given":"Dorian J."},{"family":"Dekkers","given":"Jack CM"}],"issued":{"date-parts":[["2011",6,21]]}}}],"schema":"https://github.com/citation-style-language/schema/raw/maste</vt:lpwstr>
  </property>
  <property fmtid="{D5CDD505-2E9C-101B-9397-08002B2CF9AE}" pid="87" name="ZOTERO_BREF_CBIgIDAUpR7W_31">
    <vt:lpwstr>r/csl-citation.json"}</vt:lpwstr>
  </property>
  <property fmtid="{D5CDD505-2E9C-101B-9397-08002B2CF9AE}" pid="88"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89"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90"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91"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92"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93" name="ZOTERO_BREF_CBIgIDAUpR7W_9">
    <vt:lpwstr>ide dense marker maps","volume":"157","author":[{"family":"Meuwissen","given":"T. H."},{"family":"Hayes","given":"B. J."},{"family":"Goddard","given":"M. E."}],"issued":{"date-parts":[["2001",4]]}}},{"id":6278,"uris":["http://zotero.org/users/2983590/item</vt:lpwstr>
  </property>
  <property fmtid="{D5CDD505-2E9C-101B-9397-08002B2CF9AE}" pid="94" name="ZOTERO_BREF_HYIk7dEFsNtF_1">
    <vt:lpwstr>ZOTERO_ITEM CSL_CITATION {"citationID":"ZkwfqgWK","properties":{"formattedCitation":"[3]","plainCitation":"[3]","noteIndex":0},"citationItems":[{"id":6756,"uris":["http://zotero.org/users/2983590/items/S9NXUB9E"],"uri":["http://zotero.org/users/2983590/it</vt:lpwstr>
  </property>
  <property fmtid="{D5CDD505-2E9C-101B-9397-08002B2CF9AE}" pid="95"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96"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97"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98" name="ZOTERO_BREF_HYIk7dEFsNtF_13">
    <vt:lpwstr>."}],"issued":{"date-parts":[["2019",11,1]]}}}],"schema":"https://github.com/citation-style-language/schema/raw/master/csl-citation.json"}</vt:lpwstr>
  </property>
  <property fmtid="{D5CDD505-2E9C-101B-9397-08002B2CF9AE}" pid="99" name="ZOTERO_BREF_HYIk7dEFsNtF_14">
    <vt:lpwstr/>
  </property>
  <property fmtid="{D5CDD505-2E9C-101B-9397-08002B2CF9AE}" pid="100" name="ZOTERO_BREF_HYIk7dEFsNtF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101"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102"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103"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104"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105"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106"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107"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1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1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1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1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1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123" name="ZOTERO_BREF_Hb3x9gZdDKVR_23">
    <vt:lpwstr>],"issued":{"date-parts":[["2014",12,1]]}}}],"schema":"https://github.com/citation-style-language/schema/raw/master/csl-citation.json"}</vt:lpwstr>
  </property>
  <property fmtid="{D5CDD505-2E9C-101B-9397-08002B2CF9AE}" pid="1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31" name="ZOTERO_BREF_HjmbdZEtQZmX_1">
    <vt:lpwstr>ZOTERO_ITEM CSL_CITATION {"citationID":"Q3RcXEQP","properties":{"formattedCitation":"[1, 2]","plainCitation":"[1, 2]","noteIndex":0},"citationItems":[{"id":6608,"uris":["http://zotero.org/users/2983590/items/R7X2FSRG"],"uri":["http://zotero.org/users/2983</vt:lpwstr>
  </property>
  <property fmtid="{D5CDD505-2E9C-101B-9397-08002B2CF9AE}" pid="132" name="ZOTERO_BREF_HjmbdZEtQZmX_10">
    <vt:lpwstr>i":["http://zotero.org/users/2983590/items/S38QEJ2Y"],"itemData":{"id":6603,"type":"article-journal","abstract":"Animals can be genotyped for thousands of single nucleotide polymorphisms (SNPs) at one time, where the SNPs are located at roughly 1-cM inter</vt:lpwstr>
  </property>
  <property fmtid="{D5CDD505-2E9C-101B-9397-08002B2CF9AE}" pid="133"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134"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135"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136"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137"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138"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139" name="ZOTERO_BREF_HjmbdZEtQZmX_17">
    <vt:lpwstr>nguage/schema/raw/master/csl-citation.json"}</vt:lpwstr>
  </property>
  <property fmtid="{D5CDD505-2E9C-101B-9397-08002B2CF9AE}" pid="140" name="ZOTERO_BREF_HjmbdZEtQZmX_2">
    <vt:lpwstr>590/items/R7X2FSRG"],"itemData":{"id":6608,"type":"article-journal","abstract":"Recent advances in molecular genetic techniques will make dense marker maps available and genotyping many individuals for these markers feasible. Here we attempted to estimate</vt:lpwstr>
  </property>
  <property fmtid="{D5CDD505-2E9C-101B-9397-08002B2CF9AE}" pid="141"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142"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143"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144"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145"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146"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147" name="ZOTERO_BREF_HjmbdZEtQZmX_9">
    <vt:lpwstr> maps","volume":"157","author":[{"family":"Meuwissen","given":"T. H."},{"family":"Hayes","given":"B. J."},{"family":"Goddard","given":"M. E."}],"issued":{"date-parts":[["2001",4]]}}},{"id":6603,"uris":["http://zotero.org/users/2983590/items/S38QEJ2Y"],"ur</vt:lpwstr>
  </property>
  <property fmtid="{D5CDD505-2E9C-101B-9397-08002B2CF9AE}" pid="148" name="ZOTERO_BREF_IyLofzg5TxrX_1">
    <vt:lpwstr>ZOTERO_ITEM CSL_CITATION {"citationID":"uWxfnkWg","properties":{"formattedCitation":"[4]","plainCitation":"[4]","noteIndex":0},"citationItems":[{"id":5893,"uris":["http://zotero.org/groups/231119/items/BV3VT7T6"],"uri":["http://zotero.org/groups/231119/it</vt:lpwstr>
  </property>
  <property fmtid="{D5CDD505-2E9C-101B-9397-08002B2CF9AE}" pid="149" name="ZOTERO_BREF_IyLofzg5TxrX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50"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51"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52"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53"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54"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155" name="ZOTERO_BREF_IyLofzg5TxrX_8">
    <vt:lpwstr>rd","given":"Tad S."}],"issued":{"date-parts":[["2017",2,8]]}}}],"schema":"https://github.com/citation-style-language/schema/raw/master/csl-citation.json"}</vt:lpwstr>
  </property>
  <property fmtid="{D5CDD505-2E9C-101B-9397-08002B2CF9AE}" pid="156" name="ZOTERO_BREF_JfoTRDnycDTP_1">
    <vt:lpwstr>ZOTERO_ITEM CSL_CITATION {"citationID":"TqqssTIW","properties":{"formattedCitation":"[6]","plainCitation":"[6]","noteIndex":0},"citationItems":[{"id":6263,"uris":["http://zotero.org/users/2983590/items/C5B2PZB7"],"uri":["http://zotero.org/users/2983590/it</vt:lpwstr>
  </property>
  <property fmtid="{D5CDD505-2E9C-101B-9397-08002B2CF9AE}" pid="157" name="ZOTERO_BREF_JfoTRDnycDTP_10">
    <vt:lpwstr>Using a Genome-Wide Approach","volume":"3","author":[{"family":"Daetwyler","given":"Hans D."},{"family":"Villanueva","given":"Beatriz"},{"family":"Woolliams","given":"John A."}],"editor":[{"family":"Weedon","given":"Michael Nicholas"}],"issued":{"date-par</vt:lpwstr>
  </property>
  <property fmtid="{D5CDD505-2E9C-101B-9397-08002B2CF9AE}" pid="158" name="ZOTERO_BREF_JfoTRDnycDTP_11">
    <vt:lpwstr>ts":[["2008",10,14]]}}}],"schema":"https://github.com/citation-style-language/schema/raw/master/csl-citation.json"}</vt:lpwstr>
  </property>
  <property fmtid="{D5CDD505-2E9C-101B-9397-08002B2CF9AE}" pid="159" name="ZOTERO_BREF_JfoTRDnycDTP_2">
    <vt:lpwstr>ems/C5B2PZB7"],"itemData":{"id":6263,"type":"article-journal","abstract":"Background: The prediction of the genetic disease risk of an individual is a powerful public health tool. While predicting risk has been successful in diseases which follow simple M</vt:lpwstr>
  </property>
  <property fmtid="{D5CDD505-2E9C-101B-9397-08002B2CF9AE}" pid="160" name="ZOTERO_BREF_JfoTRDnycDTP_3">
    <vt:lpwstr>endelian inheritance, it has proven challenging in complex diseases for which a large number of loci contribute to the genetic variance. The large numbers of single nucleotide polymorphisms now available provide new opportunities for predicting genetic ri</vt:lpwstr>
  </property>
  <property fmtid="{D5CDD505-2E9C-101B-9397-08002B2CF9AE}" pid="161" name="ZOTERO_BREF_JfoTRDnycDTP_4">
    <vt:lpwstr>sk of complex diseases with high accuracy.\nMethodology/Principal Findings: We have derived simple deterministic formulae to predict the accuracy of predicted genetic risk from population or case control studies using a genome-wide approach and assuming a</vt:lpwstr>
  </property>
  <property fmtid="{D5CDD505-2E9C-101B-9397-08002B2CF9AE}" pid="162" name="ZOTERO_BREF_JfoTRDnycDTP_5">
    <vt:lpwstr> dichotomous disease phenotype with an underlying continuous liability. We show that the prediction equations are special cases of the more general problem of predicting the accuracy of estimates of genetic values of a continuous phenotype. Our predictive</vt:lpwstr>
  </property>
  <property fmtid="{D5CDD505-2E9C-101B-9397-08002B2CF9AE}" pid="163" name="ZOTERO_BREF_JfoTRDnycDTP_6">
    <vt:lpwstr> equations are responsive to all parameters that affect accuracy and they are independent of allele frequency and effect distributions. Deterministic prediction errors when tested by simulation were generally small. The common link among the expressions f</vt:lpwstr>
  </property>
  <property fmtid="{D5CDD505-2E9C-101B-9397-08002B2CF9AE}" pid="164" name="ZOTERO_BREF_JfoTRDnycDTP_7">
    <vt:lpwstr>or accuracy is that they are best summarized as the product of the ratio of number of phenotypic records per number of risk loci and the observed heritability.\nConclusions/Significance: This study advances the understanding of the relative power of case </vt:lpwstr>
  </property>
  <property fmtid="{D5CDD505-2E9C-101B-9397-08002B2CF9AE}" pid="165" name="ZOTERO_BREF_JfoTRDnycDTP_8">
    <vt:lpwstr>control and population studies of disease. The predictions represent an upper bound of accuracy which may be achievable with improved effect estimation methods. The formulae derived will help researchers determine an appropriate sample size to attain a ce</vt:lpwstr>
  </property>
  <property fmtid="{D5CDD505-2E9C-101B-9397-08002B2CF9AE}" pid="166" name="ZOTERO_BREF_JfoTRDnycDTP_9">
    <vt:lpwstr>rtain accuracy when predicting genetic risk.","container-title":"PLoS ONE","DOI":"10.1371/journal.pone.0003395","ISSN":"1932-6203","issue":"10","language":"en","page":"e3395","source":"Crossref","title":"Accuracy of Predicting the Genetic Risk of Disease </vt:lpwstr>
  </property>
  <property fmtid="{D5CDD505-2E9C-101B-9397-08002B2CF9AE}" pid="1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1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1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1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1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172" name="ZOTERO_BREF_KGzl4mCEcDo41_6">
    <vt:lpwstr>r","given":"Georg"}],"issued":{"date-parts":[["2010",2,19]]}}}],"schema":"https://github.com/citation-style-language/schema/raw/master/csl-citation.json"}</vt:lpwstr>
  </property>
  <property fmtid="{D5CDD505-2E9C-101B-9397-08002B2CF9AE}" pid="1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1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1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1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1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178" name="ZOTERO_BREF_KGzl4mCEcDo4_6">
    <vt:lpwstr>r","given":"Peter"},{"family":"Thaller","given":"Georg"}],"issued":{"date-parts":[["2010",2,19]]}}}],"schema":"https://github.com/citation-style-language/schema/raw/master/csl-citation.json"}</vt:lpwstr>
  </property>
  <property fmtid="{D5CDD505-2E9C-101B-9397-08002B2CF9AE}" pid="179" name="ZOTERO_BREF_Nle8vQQizG1V_1">
    <vt:lpwstr>ZOTERO_ITEM CSL_CITATION {"citationID":"hRKTNA4t","properties":{"formattedCitation":"[19]","plainCitation":"[19]","noteIndex":0},"citationItems":[{"id":5219,"uris":["http://zotero.org/users/2983590/items/ZR4RUCDA"],"uri":["http://zotero.org/users/2983590/</vt:lpwstr>
  </property>
  <property fmtid="{D5CDD505-2E9C-101B-9397-08002B2CF9AE}" pid="180" name="ZOTERO_BREF_Nle8vQQizG1V_2">
    <vt:lpwstr>items/ZR4RUCDA"],"itemData":{"id":5219,"type":"paper-conference","container-title":"Proc. 7th World Congress on Genetics Applied to Livestock Production","event":"WCGALP","event-place":"Montpellier, France","page":"1-2","publisher-place":"Montpellier, Fra</vt:lpwstr>
  </property>
  <property fmtid="{D5CDD505-2E9C-101B-9397-08002B2CF9AE}" pid="181" name="ZOTERO_BREF_Nle8vQQizG1V_3">
    <vt:lpwstr>nce","title":"BLUPF90 and related programs (BGF90)","author":[{"family":"Misztal","given":"I"},{"family":"Tsuruta","given":"S"},{"family":"Strabel","given":"T"},{"family":"Auvray","given":"B"},{"family":"Druet","given":"T"},{"family":"Lee","given":"D.H."}</vt:lpwstr>
  </property>
  <property fmtid="{D5CDD505-2E9C-101B-9397-08002B2CF9AE}" pid="182" name="ZOTERO_BREF_Nle8vQQizG1V_4">
    <vt:lpwstr>],"issued":{"date-parts":[["2002"]]}}}],"schema":"https://github.com/citation-style-language/schema/raw/master/csl-citation.json"}</vt:lpwstr>
  </property>
  <property fmtid="{D5CDD505-2E9C-101B-9397-08002B2CF9AE}" pid="183" name="ZOTERO_BREF_OUhSVBOxhWw5_1">
    <vt:lpwstr>ZOTERO_ITEM CSL_CITATION {"citationID":"mVLmCD1X","properties":{"formattedCitation":"[4]","plainCitation":"[4]","noteIndex":0},"citationItems":[{"id":5893,"uris":["http://zotero.org/groups/231119/items/BV3VT7T6"],"uri":["http://zotero.org/groups/231119/it</vt:lpwstr>
  </property>
  <property fmtid="{D5CDD505-2E9C-101B-9397-08002B2CF9AE}" pid="184" name="ZOTERO_BREF_OUhSVBOxhWw5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85"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86"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87"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88"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89"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190" name="ZOTERO_BREF_OUhSVBOxhWw5_8">
    <vt:lpwstr>rd","given":"Tad S."}],"issued":{"date-parts":[["2017",2,8]]}}}],"schema":"https://github.com/citation-style-language/schema/raw/master/csl-citation.json"}</vt:lpwstr>
  </property>
  <property fmtid="{D5CDD505-2E9C-101B-9397-08002B2CF9AE}" pid="191" name="ZOTERO_BREF_R5xZPQH1Kto5_1">
    <vt:lpwstr>ZOTERO_ITEM CSL_CITATION {"citationID":"OjZH8S5b","properties":{"formattedCitation":"[6\\uc0\\u8211{}10]","plainCitation":"[6–10]","noteIndex":0},"citationItems":[{"id":6263,"uris":["http://zotero.org/users/2983590/items/C5B2PZB7"],"uri":["http://zotero.o</vt:lpwstr>
  </property>
  <property fmtid="{D5CDD505-2E9C-101B-9397-08002B2CF9AE}" pid="192" name="ZOTERO_BREF_R5xZPQH1Kto5_10">
    <vt:lpwstr>ic Risk of Disease Using a Genome-Wide Approach","volume":"3","author":[{"family":"Daetwyler","given":"Hans D."},{"family":"Villanueva","given":"Beatriz"},{"family":"Woolliams","given":"John A."}],"editor":[{"family":"Weedon","given":"Michael Nicholas"}],</vt:lpwstr>
  </property>
  <property fmtid="{D5CDD505-2E9C-101B-9397-08002B2CF9AE}" pid="193" name="ZOTERO_BREF_R5xZPQH1Kto5_11">
    <vt:lpwstr>"issued":{"date-parts":[["2008",10,14]]}}},{"id":6619,"uris":["http://zotero.org/users/2983590/items/NC3NINJS"],"uri":["http://zotero.org/users/2983590/items/NC3NINJS"],"itemData":{"id":6619,"type":"article-journal","abstract":"Genomic selection refers to</vt:lpwstr>
  </property>
  <property fmtid="{D5CDD505-2E9C-101B-9397-08002B2CF9AE}" pid="194" name="ZOTERO_BREF_R5xZPQH1Kto5_12">
    <vt:lpwstr> the use of dense markers covering the whole genome to estimate the breeding value of selection candidates for a quantitative trait. This paper considers prediction of breeding value based on a linear combination of the markers. In this case the best esti</vt:lpwstr>
  </property>
  <property fmtid="{D5CDD505-2E9C-101B-9397-08002B2CF9AE}" pid="195" name="ZOTERO_BREF_R5xZPQH1Kto5_13">
    <vt:lpwstr>mate of each marker's effect is the expectation of the effect conditional on the data. To calculate this requires a prior distribution of marker effects. If the marker effects are normally distributed with constant variance, BLUP can be used to calculate </vt:lpwstr>
  </property>
  <property fmtid="{D5CDD505-2E9C-101B-9397-08002B2CF9AE}" pid="196" name="ZOTERO_BREF_R5xZPQH1Kto5_14">
    <vt:lpwstr>the estimated effects of the markers and hence the estimated breeding value (EBV). In this case the model is equivalent to a conventional animal model in which the relationship matrix among the animals is estimated from the markers instead of the pedigree</vt:lpwstr>
  </property>
  <property fmtid="{D5CDD505-2E9C-101B-9397-08002B2CF9AE}" pid="197" name="ZOTERO_BREF_R5xZPQH1Kto5_15">
    <vt:lpwstr>. The accuracy of the EBV can approach 1.0 but a very large amount of data is required. An alternative model was investigated in which only some markers have non-zero effects and these effects follow a reflected exponential distribution. In this case the </vt:lpwstr>
  </property>
  <property fmtid="{D5CDD505-2E9C-101B-9397-08002B2CF9AE}" pid="198" name="ZOTERO_BREF_R5xZPQH1Kto5_16">
    <vt:lpwstr>expected effect of a marker is a non-linear function of the data such that apparently small effects are regressed back almost to zero and consequently these markers can be deleted from the model. The accuracy in this case is considerably higher than when </vt:lpwstr>
  </property>
  <property fmtid="{D5CDD505-2E9C-101B-9397-08002B2CF9AE}" pid="199" name="ZOTERO_BREF_R5xZPQH1Kto5_17">
    <vt:lpwstr>marker effects are normally distributed. If genomic selection is practiced for several generations the response declines in a manner that can be predicted from the marker allele frequencies. Genomic selection is likely to lead to a more rapid decline in t</vt:lpwstr>
  </property>
  <property fmtid="{D5CDD505-2E9C-101B-9397-08002B2CF9AE}" pid="200" name="ZOTERO_BREF_R5xZPQH1Kto5_18">
    <vt:lpwstr>he selection response than phenotypic selection unless new markers are continually added to the prediction of breeding value. A method to find the optimum index to maximise long term selection response is derived. This index varies the weight given to a m</vt:lpwstr>
  </property>
  <property fmtid="{D5CDD505-2E9C-101B-9397-08002B2CF9AE}" pid="201" name="ZOTERO_BREF_R5xZPQH1Kto5_19">
    <vt:lpwstr>arker according to its frequency such that markers where the favourable allele has low frequency receive more weight in the index.","container-title":"Genetica","DOI":"10.1007/s10709-008-9308-0","ISSN":"1573-6857","issue":"2","journalAbbreviation":"Geneti</vt:lpwstr>
  </property>
  <property fmtid="{D5CDD505-2E9C-101B-9397-08002B2CF9AE}" pid="202" name="ZOTERO_BREF_R5xZPQH1Kto5_2">
    <vt:lpwstr>rg/users/2983590/items/C5B2PZB7"],"itemData":{"id":6263,"type":"article-journal","abstract":"Background: The prediction of the genetic disease risk of an individual is a powerful public health tool. While predicting risk has been successful in diseases wh</vt:lpwstr>
  </property>
  <property fmtid="{D5CDD505-2E9C-101B-9397-08002B2CF9AE}" pid="203" name="ZOTERO_BREF_R5xZPQH1Kto5_20">
    <vt:lpwstr>ca","language":"eng","note":"PMID: 18704696","page":"245-257","source":"PubMed","title":"Genomic selection: prediction of accuracy and maximisation of long term response","title-short":"Genomic selection","volume":"136","author":[{"family":"Goddard","give</vt:lpwstr>
  </property>
  <property fmtid="{D5CDD505-2E9C-101B-9397-08002B2CF9AE}" pid="204" name="ZOTERO_BREF_R5xZPQH1Kto5_21">
    <vt:lpwstr>n":"Mike"}],"issued":{"date-parts":[["2009",6]]}}},{"id":6278,"uris":["http://zotero.org/users/2983590/items/PZM77XIV"],"uri":["http://zotero.org/users/2983590/items/PZM77XIV"],"itemData":{"id":6278,"type":"article-journal","abstract":"The impact of addit</vt:lpwstr>
  </property>
  <property fmtid="{D5CDD505-2E9C-101B-9397-08002B2CF9AE}" pid="205" name="ZOTERO_BREF_R5xZPQH1Kto5_22">
    <vt:lpwstr>ive-genetic relationships captured by single nucleotide polymorphisms (SNPs) on the accuracy of genomic breeding values (GEBVs) has been demonstrated, but recent studies on data obtained from Holstein populations have ignored this fact. However, this impa</vt:lpwstr>
  </property>
  <property fmtid="{D5CDD505-2E9C-101B-9397-08002B2CF9AE}" pid="206" name="ZOTERO_BREF_R5xZPQH1Kto5_23">
    <vt:lpwstr>ct and the accuracy of GEBVs due to linkage disequilibrium (LD), which is fairly persistent over generations, must be known to implement future breeding programs.","container-title":"Genetics Selection Evolution","DOI":"10.1186/1297-9686-42-5","ISSN":"129</vt:lpwstr>
  </property>
  <property fmtid="{D5CDD505-2E9C-101B-9397-08002B2CF9AE}" pid="207" name="ZOTERO_BREF_R5xZPQH1Kto5_24">
    <vt:lpwstr>7-9686","issue":"1","journalAbbreviation":"Genetics Selection Evolution","page":"5","source":"BioMed Central","title":"The impact of genetic relationship information on genomic breeding values in German Holstein cattle","volume":"42","author":[{"family":"</vt:lpwstr>
  </property>
  <property fmtid="{D5CDD505-2E9C-101B-9397-08002B2CF9AE}" pid="208" name="ZOTERO_BREF_R5xZPQH1Kto5_25">
    <vt:lpwstr>Habier","given":"David"},{"family":"Tetens","given":"Jens"},{"family":"Seefried","given":"Franz-Reinhold"},{"family":"Lichtner","given":"Peter"},{"family":"Thaller","given":"Georg"}],"issued":{"date-parts":[["2010",2,19]]}}},{"id":6491,"uris":["http://zot</vt:lpwstr>
  </property>
  <property fmtid="{D5CDD505-2E9C-101B-9397-08002B2CF9AE}" pid="209" name="ZOTERO_BREF_R5xZPQH1Kto5_26">
    <vt:lpwstr>ero.org/users/2983590/items/39KX5QQZ"],"uri":["http://zotero.org/users/2983590/items/39KX5QQZ"],"itemData":{"id":6491,"type":"article-journal","abstract":"BACKGROUND: The theory of genomic selection is based on the prediction of the effects of quantitativ</vt:lpwstr>
  </property>
  <property fmtid="{D5CDD505-2E9C-101B-9397-08002B2CF9AE}" pid="210" name="ZOTERO_BREF_R5xZPQH1Kto5_27">
    <vt:lpwstr>e trait loci (QTL) in linkage disequilibrium (LD) with markers. However, there is increasing evidence that genomic selection also relies on \"relationships\" between individuals to accurately predict genetic values. Therefore, a better understanding of wh</vt:lpwstr>
  </property>
  <property fmtid="{D5CDD505-2E9C-101B-9397-08002B2CF9AE}" pid="211" name="ZOTERO_BREF_R5xZPQH1Kto5_28">
    <vt:lpwstr>at genomic selection actually predicts is relevant so that appropriate methods of analysis are used in genomic evaluations.\nMETHODS: Simulation was used to compare the performance of estimates of breeding values based on pedigree relationships (Best Line</vt:lpwstr>
  </property>
  <property fmtid="{D5CDD505-2E9C-101B-9397-08002B2CF9AE}" pid="212" name="ZOTERO_BREF_R5xZPQH1Kto5_29">
    <vt:lpwstr>ar Unbiased Prediction, BLUP), genomic relationships (gBLUP), and based on a Bayesian variable selection model (Bayes B) to estimate breeding values under a range of different underlying models of genetic variation. The effects of different marker densiti</vt:lpwstr>
  </property>
  <property fmtid="{D5CDD505-2E9C-101B-9397-08002B2CF9AE}" pid="213" name="ZOTERO_BREF_R5xZPQH1Kto5_3">
    <vt:lpwstr>ich follow simple Mendelian inheritance, it has proven challenging in complex diseases for which a large number of loci contribute to the genetic variance. The large numbers of single nucleotide polymorphisms now available provide new opportunities for pr</vt:lpwstr>
  </property>
  <property fmtid="{D5CDD505-2E9C-101B-9397-08002B2CF9AE}" pid="214" name="ZOTERO_BREF_R5xZPQH1Kto5_30">
    <vt:lpwstr>es and varying animal relationships were also examined.\nRESULTS: This study shows that genomic selection methods can predict a proportion of the additive genetic value when genetic variation is controlled by common quantitative trait loci (QTL model), ra</vt:lpwstr>
  </property>
  <property fmtid="{D5CDD505-2E9C-101B-9397-08002B2CF9AE}" pid="215" name="ZOTERO_BREF_R5xZPQH1Kto5_31">
    <vt:lpwstr>re loci (rare variant model), all loci (infinitesimal model) and a random association (a polygenic model). The Bayes B method was able to estimate breeding values more accurately than gBLUP under the QTL and rare variant models, for the alternative marker</vt:lpwstr>
  </property>
  <property fmtid="{D5CDD505-2E9C-101B-9397-08002B2CF9AE}" pid="216" name="ZOTERO_BREF_R5xZPQH1Kto5_32">
    <vt:lpwstr> densities and reference populations. The Bayes B and gBLUP methods had similar accuracies under the infinitesimal model.\nCONCLUSIONS: Our results suggest that Bayes B is superior to gBLUP to estimate breeding values from genomic data. The underlying mod</vt:lpwstr>
  </property>
  <property fmtid="{D5CDD505-2E9C-101B-9397-08002B2CF9AE}" pid="217" name="ZOTERO_BREF_R5xZPQH1Kto5_33">
    <vt:lpwstr>el of genetic variation greatly affects the predictive ability of genomic selection methods, and the superiority of Bayes B over gBLUP is highly dependent on the presence of large QTL effects. The use of SNP sequence data will outperform the less dense ma</vt:lpwstr>
  </property>
  <property fmtid="{D5CDD505-2E9C-101B-9397-08002B2CF9AE}" pid="218" name="ZOTERO_BREF_R5xZPQH1Kto5_34">
    <vt:lpwstr>rker panels. However, the size and distribution of QTL effects and the size of reference populations still greatly influence the effectiveness of using sequence data for genomic prediction.","container-title":"Genetics, selection, evolution: GSE","DOI":"1</vt:lpwstr>
  </property>
  <property fmtid="{D5CDD505-2E9C-101B-9397-08002B2CF9AE}" pid="219" name="ZOTERO_BREF_R5xZPQH1Kto5_35">
    <vt:lpwstr>0.1186/1297-9686-43-18","ISSN":"1297-9686","journalAbbreviation":"Genet. Sel. Evol.","language":"eng","note":"PMID: 21575265\nPMCID: PMC3114710","page":"18","source":"PubMed","title":"Different models of genetic variation and their effect on genomic evalu</vt:lpwstr>
  </property>
  <property fmtid="{D5CDD505-2E9C-101B-9397-08002B2CF9AE}" pid="220" name="ZOTERO_BREF_R5xZPQH1Kto5_36">
    <vt:lpwstr>ation","volume":"43","author":[{"family":"Clark","given":"Samuel A."},{"family":"Hickey","given":"John M."},{"family":"Werf","given":"Julius H. J.","non-dropping-particle":"van der"}],"issued":{"date-parts":[["2011",5,17]]}}},{"id":5444,"uris":["http://zo</vt:lpwstr>
  </property>
  <property fmtid="{D5CDD505-2E9C-101B-9397-08002B2CF9AE}" pid="221" name="ZOTERO_BREF_R5xZPQH1Kto5_37">
    <vt:lpwstr>tero.org/users/2983590/items/6P9VWTEZ"],"uri":["http://zotero.org/users/2983590/items/6P9VWTEZ"],"itemData":{"id":5444,"type":"article-journal","abstract":"Estimated breeding values (EBVs) using data from genetic markers can be predicted using a genomic r</vt:lpwstr>
  </property>
  <property fmtid="{D5CDD505-2E9C-101B-9397-08002B2CF9AE}" pid="222" name="ZOTERO_BREF_R5xZPQH1Kto5_38">
    <vt:lpwstr>elationship matrix, derived from animal's genotypes, and best linear unbiased prediction. However, if the accuracy of the EBVs is calculated in the usual manner (from the inverse element of the coefficient matrix), it is likely to be overestimated owing t</vt:lpwstr>
  </property>
  <property fmtid="{D5CDD505-2E9C-101B-9397-08002B2CF9AE}" pid="223" name="ZOTERO_BREF_R5xZPQH1Kto5_39">
    <vt:lpwstr>o sampling errors in elements of the genomic relationship matrix. We show here that the correct accuracy can be obtained by regressing the relationship matrix towards the pedigree relationship matrix so that it is an unbiased estimate of the relationships</vt:lpwstr>
  </property>
  <property fmtid="{D5CDD505-2E9C-101B-9397-08002B2CF9AE}" pid="224" name="ZOTERO_BREF_R5xZPQH1Kto5_4">
    <vt:lpwstr>edicting genetic risk of complex diseases with high accuracy.\nMethodology/Principal Findings: We have derived simple deterministic formulae to predict the accuracy of predicted genetic risk from population or case control studies using a genome-wide appr</vt:lpwstr>
  </property>
  <property fmtid="{D5CDD505-2E9C-101B-9397-08002B2CF9AE}" pid="225" name="ZOTERO_BREF_R5xZPQH1Kto5_40">
    <vt:lpwstr> at the QTL controlling the trait. This method shows how the accuracy increases as the number of markers used increases because the regression coefficient (of genomic relationship towards pedigree relationship) increases. We also present a deterministic m</vt:lpwstr>
  </property>
  <property fmtid="{D5CDD505-2E9C-101B-9397-08002B2CF9AE}" pid="226" name="ZOTERO_BREF_R5xZPQH1Kto5_41">
    <vt:lpwstr>ethod for predicting the accuracy of such genomic EBVs before data on individual animals are collected. This method estimates the proportion of genetic variance explained by the markers, which is equal to the regression coefficient described above, and th</vt:lpwstr>
  </property>
  <property fmtid="{D5CDD505-2E9C-101B-9397-08002B2CF9AE}" pid="227" name="ZOTERO_BREF_R5xZPQH1Kto5_42">
    <vt:lpwstr>e accuracy with which marker effects are estimated. The latter depends on the variance in relationship between pairs of animals, which equals the mean linkage disequilibrium over all pairs of loci. The theory was validated using simulated data and data on</vt:lpwstr>
  </property>
  <property fmtid="{D5CDD505-2E9C-101B-9397-08002B2CF9AE}" pid="228" name="ZOTERO_BREF_R5xZPQH1Kto5_43">
    <vt:lpwstr> fat concentration in the milk of Holstein cattle.","container-title":"Journal of Animal Breeding and Genetics = Zeitschrift Fur Tierzuchtung Und Zuchtungsbiologie","DOI":"10.1111/j.1439-0388.2011.00964.x","ISSN":"1439-0388","issue":"6","journalAbbreviati</vt:lpwstr>
  </property>
  <property fmtid="{D5CDD505-2E9C-101B-9397-08002B2CF9AE}" pid="229" name="ZOTERO_BREF_R5xZPQH1Kto5_44">
    <vt:lpwstr>on":"J. Anim. Breed. Genet.","language":"eng","note":"PMID: 22059574","page":"409-421","source":"PubMed","title":"Using the genomic relationship matrix to predict the accuracy of genomic selection","volume":"128","author":[{"family":"Goddard","given":"M. </vt:lpwstr>
  </property>
  <property fmtid="{D5CDD505-2E9C-101B-9397-08002B2CF9AE}" pid="230" name="ZOTERO_BREF_R5xZPQH1Kto5_45">
    <vt:lpwstr>E."},{"family":"Hayes","given":"B. J."},{"family":"Meuwissen","given":"T. H. E."}],"issued":{"date-parts":[["2011",12]]}}}],"schema":"https://github.com/citation-style-language/schema/raw/master/csl-citation.json"}</vt:lpwstr>
  </property>
  <property fmtid="{D5CDD505-2E9C-101B-9397-08002B2CF9AE}" pid="231" name="ZOTERO_BREF_R5xZPQH1Kto5_5">
    <vt:lpwstr>oach and assuming a dichotomous disease phenotype with an underlying continuous liability. We show that the prediction equations are special cases of the more general problem of predicting the accuracy of estimates of genetic values of a continuous phenot</vt:lpwstr>
  </property>
  <property fmtid="{D5CDD505-2E9C-101B-9397-08002B2CF9AE}" pid="232" name="ZOTERO_BREF_R5xZPQH1Kto5_6">
    <vt:lpwstr>ype. Our predictive equations are responsive to all parameters that affect accuracy and they are independent of allele frequency and effect distributions. Deterministic prediction errors when tested by simulation were generally small. The common link amon</vt:lpwstr>
  </property>
  <property fmtid="{D5CDD505-2E9C-101B-9397-08002B2CF9AE}" pid="233" name="ZOTERO_BREF_R5xZPQH1Kto5_7">
    <vt:lpwstr>g the expressions for accuracy is that they are best summarized as the product of the ratio of number of phenotypic records per number of risk loci and the observed heritability.\nConclusions/Significance: This study advances the understanding of the rela</vt:lpwstr>
  </property>
  <property fmtid="{D5CDD505-2E9C-101B-9397-08002B2CF9AE}" pid="234" name="ZOTERO_BREF_R5xZPQH1Kto5_8">
    <vt:lpwstr>tive power of case control and population studies of disease. The predictions represent an upper bound of accuracy which may be achievable with improved effect estimation methods. The formulae derived will help researchers determine an appropriate sample </vt:lpwstr>
  </property>
  <property fmtid="{D5CDD505-2E9C-101B-9397-08002B2CF9AE}" pid="235" name="ZOTERO_BREF_R5xZPQH1Kto5_9">
    <vt:lpwstr>size to attain a certain accuracy when predicting genetic risk.","container-title":"PLoS ONE","DOI":"10.1371/journal.pone.0003395","ISSN":"1932-6203","issue":"10","language":"en","page":"e3395","source":"Crossref","title":"Accuracy of Predicting the Genet</vt:lpwstr>
  </property>
  <property fmtid="{D5CDD505-2E9C-101B-9397-08002B2CF9AE}" pid="236" name="ZOTERO_BREF_TdDVvpj0nc3q_1">
    <vt:lpwstr>ZOTERO_ITEM CSL_CITATION {"citationID":"ImXbEYxp","properties":{"formattedCitation":"[3]","plainCitation":"[3]","noteIndex":0},"citationItems":[{"id":6756,"uris":["http://zotero.org/users/2983590/items/S9NXUB9E"],"uri":["http://zotero.org/users/2983590/it</vt:lpwstr>
  </property>
  <property fmtid="{D5CDD505-2E9C-101B-9397-08002B2CF9AE}" pid="237"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38"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239"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240" name="ZOTERO_BREF_TdDVvpj0nc3q_13">
    <vt:lpwstr>."}],"issued":{"date-parts":[["2019",11,1]]}}}],"schema":"https://github.com/citation-style-language/schema/raw/master/csl-citation.json"}</vt:lpwstr>
  </property>
  <property fmtid="{D5CDD505-2E9C-101B-9397-08002B2CF9AE}" pid="241" name="ZOTERO_BREF_TdDVvpj0nc3q_14">
    <vt:lpwstr/>
  </property>
  <property fmtid="{D5CDD505-2E9C-101B-9397-08002B2CF9AE}" pid="242" name="ZOTERO_BREF_TdDVvpj0nc3q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43"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44"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45"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46"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47"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48"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49"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50" name="ZOTERO_BREF_Ux4LadCJuUNv_1">
    <vt:lpwstr>ZOTERO_ITEM CSL_CITATION {"citationID":"o1WgUjDe","properties":{"formattedCitation":"[2]","plainCitation":"[2]","noteIndex":0},"citationItems":[{"id":6603,"uris":["http://zotero.org/users/2983590/items/S38QEJ2Y"],"uri":["http://zotero.org/users/2983590/it</vt:lpwstr>
  </property>
  <property fmtid="{D5CDD505-2E9C-101B-9397-08002B2CF9AE}" pid="251" name="ZOTERO_BREF_Ux4LadCJuUNv_2">
    <vt:lpwstr>ems/S38QEJ2Y"],"itemData":{"id":6603,"type":"article-journal","abstract":"Animals can be genotyped for thousands of single nucleotide polymorphisms (SNPs) at one time, where the SNPs are located at roughly 1-cM intervals throughout the genome. For each co</vt:lpwstr>
  </property>
  <property fmtid="{D5CDD505-2E9C-101B-9397-08002B2CF9AE}" pid="252"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253"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254"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255"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256"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257"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258" name="ZOTERO_BREF_Ux4LadCJuUNv_9">
    <vt:lpwstr>son"}</vt:lpwstr>
  </property>
  <property fmtid="{D5CDD505-2E9C-101B-9397-08002B2CF9AE}" pid="259" name="ZOTERO_BREF_Z8dXe69WUCtw_1">
    <vt:lpwstr>ZOTERO_ITEM CSL_CITATION {"citationID":"fvtCUIB5","properties":{"formattedCitation":"[3]","plainCitation":"[3]","noteIndex":0},"citationItems":[{"id":6756,"uris":["http://zotero.org/users/2983590/items/S9NXUB9E"],"uri":["http://zotero.org/users/2983590/it</vt:lpwstr>
  </property>
  <property fmtid="{D5CDD505-2E9C-101B-9397-08002B2CF9AE}" pid="260"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61"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262"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263" name="ZOTERO_BREF_Z8dXe69WUCtw_13">
    <vt:lpwstr>."}],"issued":{"date-parts":[["2019",11,1]]}}}],"schema":"https://github.com/citation-style-language/schema/raw/master/csl-citation.json"}</vt:lpwstr>
  </property>
  <property fmtid="{D5CDD505-2E9C-101B-9397-08002B2CF9AE}" pid="264" name="ZOTERO_BREF_Z8dXe69WUCtw_14">
    <vt:lpwstr/>
  </property>
  <property fmtid="{D5CDD505-2E9C-101B-9397-08002B2CF9AE}" pid="265" name="ZOTERO_BREF_Z8dXe69WUCtw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66"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67"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68"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69"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70"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71"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72"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73"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274"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275"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276"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277"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278" name="ZOTERO_BREF_ZHPw6lgZ82GC1_6">
    <vt:lpwstr>{"family":"Lichtner","given":"Peter"},{"family":"Thaller","given":"Georg"}],"issued":{"date-parts":[["2010",2,19]]}}}],"schema":"https://github.com/citation-style-language/schema/raw/master/csl-citation.json"}</vt:lpwstr>
  </property>
  <property fmtid="{D5CDD505-2E9C-101B-9397-08002B2CF9AE}" pid="279"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280"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281"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282"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283"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284" name="ZOTERO_BREF_ZHPw6lgZ82GC_6">
    <vt:lpwstr>r","given":"Georg"}],"issued":{"date-parts":[["2010",2,19]]}}}],"schema":"https://github.com/citation-style-language/schema/raw/master/csl-citation.json"}</vt:lpwstr>
  </property>
  <property fmtid="{D5CDD505-2E9C-101B-9397-08002B2CF9AE}" pid="285" name="ZOTERO_BREF_bn8EuCx1dJsz_1">
    <vt:lpwstr>ZOTERO_BIBL {"uncited":[],"omitted":[],"custom":[]} CSL_BIBLIOGRAPHY</vt:lpwstr>
  </property>
  <property fmtid="{D5CDD505-2E9C-101B-9397-08002B2CF9AE}" pid="286" name="ZOTERO_BREF_cZfNMHfOhnsL_1">
    <vt:lpwstr>ZOTERO_ITEM CSL_CITATION {"citationID":"UrpSX3lL","properties":{"formattedCitation":"[13, 14]","plainCitation":"[13, 14]","noteIndex":0},"citationItems":[{"id":6600,"uris":["http://zotero.org/users/2983590/items/Y26HFMND"],"uri":["http://zotero.org/users/</vt:lpwstr>
  </property>
  <property fmtid="{D5CDD505-2E9C-101B-9397-08002B2CF9AE}" pid="287"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288"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289"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290"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291" name="ZOTERO_BREF_cZfNMHfOhnsL_14">
    <vt:lpwstr>ven":"Piter"}],"issued":{"date-parts":[["2012",8,3]]}}},{"id":6753,"uris":["http://zotero.org/users/2983590/items/2ITRT5T6"],"uri":["http://zotero.org/users/2983590/items/2ITRT5T6"],"itemData":{"id":6753,"type":"article-journal","abstract":"Genetic improv</vt:lpwstr>
  </property>
  <property fmtid="{D5CDD505-2E9C-101B-9397-08002B2CF9AE}" pid="292"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293"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294"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295"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296"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297" name="ZOTERO_BREF_cZfNMHfOhnsL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298"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299"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00"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301" name="ZOTERO_BREF_cZfNMHfOhnsL_23">
    <vt:lpwstr>],"issued":{"date-parts":[["2014",12,1]]}}}],"schema":"https://github.com/citation-style-language/schema/raw/master/csl-citation.json"}</vt:lpwstr>
  </property>
  <property fmtid="{D5CDD505-2E9C-101B-9397-08002B2CF9AE}" pid="302"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03"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04"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05"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06"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07"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08"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09" name="ZOTERO_BREF_eDZY5kQF7gXa_1">
    <vt:lpwstr>ZOTERO_ITEM CSL_CITATION {"citationID":"3dgh3SMO","properties":{"formattedCitation":"[5]","plainCitation":"[5]","noteIndex":0},"citationItems":[{"id":747,"uris":["http://zotero.org/groups/231119/items/R5IXZNEV"],"uri":["http://zotero.org/groups/231119/ite</vt:lpwstr>
  </property>
  <property fmtid="{D5CDD505-2E9C-101B-9397-08002B2CF9AE}" pid="310" name="ZOTERO_BREF_eDZY5kQF7gXa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11" name="ZOTERO_BREF_eDZY5kQF7gXa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12" name="ZOTERO_BREF_eDZY5kQF7gXa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13" name="ZOTERO_BREF_eDZY5kQF7gXa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14" name="ZOTERO_BREF_eDZY5kQF7gXa_6">
    <vt:lpwstr>number-of-pages":"208","publisher":"CABI","publisher-place":"Wallingford, UK ; Cambridge, MA","source":"Amazon.com","title":"Linear Models for the Prediction of Animal Breeding Values","author":[{"family":"Mrode","given":"Raphael A."}],"issued":{"date-par</vt:lpwstr>
  </property>
  <property fmtid="{D5CDD505-2E9C-101B-9397-08002B2CF9AE}" pid="315" name="ZOTERO_BREF_eDZY5kQF7gXa_7">
    <vt:lpwstr>ts":[["2005",10]]}}}],"schema":"https://github.com/citation-style-language/schema/raw/master/csl-citation.json"}</vt:lpwstr>
  </property>
  <property fmtid="{D5CDD505-2E9C-101B-9397-08002B2CF9AE}" pid="316" name="ZOTERO_BREF_g8dqmzCRUbWx_1">
    <vt:lpwstr>ZOTERO_ITEM CSL_CITATION {"citationID":"hNLsfq9M","properties":{"formattedCitation":"[15\\uc0\\u8211{}17]","plainCitation":"[15–17]","noteIndex":0},"citationItems":[{"id":6441,"uris":["http://zotero.org/users/2983590/items/VYV6MDC8"],"uri":["http://zotero</vt:lpwstr>
  </property>
  <property fmtid="{D5CDD505-2E9C-101B-9397-08002B2CF9AE}" pid="317"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318" name="ZOTERO_BREF_g8dqmzCRUbWx_11">
    <vt:lpwstr>stian"}],"issued":{"date-parts":[["2012"]]}}},{"id":6494,"uris":["http://zotero.org/users/2983590/items/8SAKPRX5"],"uri":["http://zotero.org/users/2983590/items/8SAKPRX5"],"itemData":{"id":6494,"type":"article-journal","abstract":"Predictive ability of ge</vt:lpwstr>
  </property>
  <property fmtid="{D5CDD505-2E9C-101B-9397-08002B2CF9AE}" pid="319"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320"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321"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322"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323"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324"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325"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326"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327" name="ZOTERO_BREF_g8dqmzCRUbWx_2">
    <vt:lpwstr>.org/users/2983590/items/VYV6MDC8"],"itemData":{"id":6441,"type":"article-journal","abstract":"A single-step blending approach allows genomic prediction using information of genotyped and non-genotyped animals simultaneously. However, the combined relatio</vt:lpwstr>
  </property>
  <property fmtid="{D5CDD505-2E9C-101B-9397-08002B2CF9AE}" pid="328"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329"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330"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331"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332" name="ZOTERO_BREF_g8dqmzCRUbWx_24">
    <vt:lpwstr>"Tsuruta","given":"S."},{"family":"Fragomeni","given":"B. O."},{"family":"Masuda","given":"Y."},{"family":"Aguilar","given":"I."},{"family":"Legarra","given":"A."},{"family":"Bertrand","given":"J. K."},{"family":"Amen","given":"T. S."},{"family":"Wang","g</vt:lpwstr>
  </property>
  <property fmtid="{D5CDD505-2E9C-101B-9397-08002B2CF9AE}" pid="333" name="ZOTERO_BREF_g8dqmzCRUbWx_25">
    <vt:lpwstr>iven":"L."},{"family":"Moser","given":"D. W."},{"family":"Misztal","given":"I."}],"issued":{"date-parts":[["2015",6]]}}}],"schema":"https://github.com/citation-style-language/schema/raw/master/csl-citation.json"}</vt:lpwstr>
  </property>
  <property fmtid="{D5CDD505-2E9C-101B-9397-08002B2CF9AE}" pid="334"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335"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336"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337"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338" name="ZOTERO_BREF_g8dqmzCRUbWx_7">
    <vt:lpwstr>","given":"Yuan"},{"family":"Lund","given":"Mogens S."},{"family":"Su","given":"Guosheng"}],"issued":{"date-parts":[["2012",7,6]]}}},{"id":6433,"uris":["http://zotero.org/users/2983590/items/PS5PX7PM"],"uri":["http://zotero.org/users/2983590/items/PS5PX7P</vt:lpwstr>
  </property>
  <property fmtid="{D5CDD505-2E9C-101B-9397-08002B2CF9AE}" pid="339" name="ZOTERO_BREF_g8dqmzCRUbWx_8">
    <vt:lpwstr>M"],"itemData":{"id":6433,"type":"article-journal","abstract":"Milkability,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340"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341" name="ZOTERO_BREF_smwC5dfpA8d9_1">
    <vt:lpwstr>ZOTERO_ITEM CSL_CITATION {"citationID":"UBfWVspX","properties":{"formattedCitation":"[18]","plainCitation":"[18]","noteIndex":0},"citationItems":[{"id":6667,"uris":["http://zotero.org/users/2983590/items/5354396U"],"uri":["http://zotero.org/users/2983590/</vt:lpwstr>
  </property>
  <property fmtid="{D5CDD505-2E9C-101B-9397-08002B2CF9AE}" pid="342" name="ZOTERO_BREF_smwC5dfpA8d9_2">
    <vt:lpwstr>items/5354396U"],"itemData":{"id":6667,"type":"chapter","container-title":"ICAR Guidelines","event-place":"Rome","publisher":"ICAR","publisher-place":"Rome","title":"Section 02 - Cattle Milk Recording. Overview.","author":[{"family":"International Committ</vt:lpwstr>
  </property>
  <property fmtid="{D5CDD505-2E9C-101B-9397-08002B2CF9AE}" pid="343" name="ZOTERO_BREF_smwC5dfpA8d9_3">
    <vt:lpwstr>ee for Animal Recording.","given":""}],"issued":{"date-parts":[["2017",10]]}}}],"schema":"https://github.com/citation-style-language/schema/raw/master/csl-citation.json"}</vt:lpwstr>
  </property>
  <property fmtid="{D5CDD505-2E9C-101B-9397-08002B2CF9AE}" pid="344" name="ZOTERO_BREF_vBzquWBEDhaT_1">
    <vt:lpwstr>ZOTERO_ITEM CSL_CITATION {"citationID":"s8r9ekIi","properties":{"formattedCitation":"[5]","plainCitation":"[5]","noteIndex":0},"citationItems":[{"id":747,"uris":["http://zotero.org/groups/231119/items/R5IXZNEV"],"uri":["http://zotero.org/groups/231119/ite</vt:lpwstr>
  </property>
  <property fmtid="{D5CDD505-2E9C-101B-9397-08002B2CF9AE}" pid="345" name="ZOTERO_BREF_vBzquWBEDhaT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46" name="ZOTERO_BREF_vBzquWBEDhaT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47" name="ZOTERO_BREF_vBzquWBEDhaT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48" name="ZOTERO_BREF_vBzquWBEDhaT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49" name="ZOTERO_BREF_vBzquWBEDhaT_6">
    <vt:lpwstr>number-of-pages":"208","publisher":"CABI","publisher-place":"Wallingford, UK ; Cambridge, MA","source":"Amazon.com","title":"Linear Models for the Prediction of Animal Breeding Values","author":[{"family":"Mrode","given":"Raphael A."}],"issued":{"date-par</vt:lpwstr>
  </property>
  <property fmtid="{D5CDD505-2E9C-101B-9397-08002B2CF9AE}" pid="350" name="ZOTERO_BREF_vBzquWBEDhaT_7">
    <vt:lpwstr>ts":[["2005",10]]}}}],"schema":"https://github.com/citation-style-language/schema/raw/master/csl-citation.json"}</vt:lpwstr>
  </property>
  <property fmtid="{D5CDD505-2E9C-101B-9397-08002B2CF9AE}" pid="3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3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353" name="ZOTERO_BREF_xFy7QWzL77Cj_11">
    <vt:lpwstr>en":"Jesus"},{"family":"Settar","given":"Petek"},{"family":"Fulton","given":"Janet E."},{"family":"O'Sullivan","given":"Neil P."},{"family":"Preisinger","given":"Rudolf"},{"family":"Habier","given":"David"},{"family":"Fernando","given":"Rohan"},{"family":</vt:lpwstr>
  </property>
  <property fmtid="{D5CDD505-2E9C-101B-9397-08002B2CF9AE}" pid="354" name="ZOTERO_BREF_xFy7QWzL77Cj_12">
    <vt:lpwstr>"Garrick","given":"Dorian J."},{"family":"Dekkers","given":"Jack CM"}],"issued":{"date-parts":[["2011",6,21]]}}}],"schema":"https://github.com/citation-style-language/schema/raw/master/csl-citation.json"}</vt:lpwstr>
  </property>
  <property fmtid="{D5CDD505-2E9C-101B-9397-08002B2CF9AE}" pid="3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3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3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3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359" name="ZOTERO_BREF_xFy7QWzL77Cj_6">
    <vt:lpwstr>,"given":"Franz-Reinhold"},{"family":"Lichtner","given":"Peter"},{"family":"Thaller","given":"Georg"}],"issued":{"date-parts":[["2010",2,19]]}}},{"id":6275,"uris":["http://zotero.org/users/2983590/items/XPUWKRAS"],"uri":["http://zotero.org/users/2983590/i</vt:lpwstr>
  </property>
  <property fmtid="{D5CDD505-2E9C-101B-9397-08002B2CF9AE}" pid="3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3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3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363"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364"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65"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66"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67"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368"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369"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70"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71"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72"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73"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74"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75"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76"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77"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378" name="ZOTERO_BREF_ysWYyuCEA48Z_23">
    <vt:lpwstr>],"issued":{"date-parts":[["2014",12,1]]}}}],"schema":"https://github.com/citation-style-language/schema/raw/master/csl-citation.json"}</vt:lpwstr>
  </property>
  <property fmtid="{D5CDD505-2E9C-101B-9397-08002B2CF9AE}" pid="379"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80"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81"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82"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83"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84"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85"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86" name="ZOTERO_PREF_1">
    <vt:lpwstr>&lt;data data-version="3" zotero-version="5.0.87"&gt;&lt;session id="VEOTprDM"/&gt;&lt;style id="http://www.zotero.org/styles/sage-vancouver-brackets" hasBibliography="1" bibliographyStyleHasBeenSet="1"/&gt;&lt;prefs&gt;&lt;pref name="fieldType" value="Bookmark"/&gt;&lt;/prefs&gt;&lt;/data&gt;</vt:lpwstr>
  </property>
</Properties>
</file>