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4"/>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4"/>
        </w:numPr>
        <w:rPr/>
      </w:pPr>
      <w:r>
        <w:rPr/>
        <w:t>Abstract</w:t>
      </w:r>
      <w:r>
        <w:rPr/>
        <w:commentReference w:id="0"/>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 xml:space="preserve">phenotyped male and female candidates, and </w:t>
      </w:r>
      <w:r>
        <w:rPr/>
        <w:t>cows</w:t>
      </w:r>
      <w:r>
        <w:rPr/>
        <w:t>.</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4"/>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 xml:space="preserve">and progeny testing in a population with 100 </w:t>
      </w:r>
      <w:r>
        <w:rPr/>
        <w:t>sires</w:t>
      </w:r>
      <w:r>
        <w:rPr/>
        <w:t xml:space="preserve"> each tested on 100 daughters (10,000 cows in total). Collecting 10 phenotype records per daughter gives the accuracy of 0.98 for progeny tested </w:t>
      </w:r>
      <w:r>
        <w:rPr/>
        <w:t>sires</w:t>
      </w:r>
      <w:r>
        <w:rPr/>
        <w:t>, 0.86 for cows, and 0.66 for non</w:t>
        <w:noBreakHyphen/>
        <w:t xml:space="preserve">phenotyped progeny. If we decrease the number of phenotype records per daughter to five, two, or one, the accuracy respectively decreases to 0.97, 0.96, or 0.93 for </w:t>
      </w:r>
      <w:r>
        <w:rPr/>
        <w:t>sires</w:t>
      </w:r>
      <w:r>
        <w:rPr/>
        <w:t>; to 0.81, 0. 70, or 0.62 for cows; and to 0.64, 0.59, or 0.56 for non</w:t>
        <w:noBreakHyphen/>
        <w:t xml:space="preserve">phenotyped progeny. This example shows diminishing returns with repeated phenotype records and a scope for optimizing return on investment. Namely, at the extreme we reduced phenotyping 10x, which reduced accuracy only for 0.04 in </w:t>
      </w:r>
      <w:r>
        <w:rPr/>
        <w:t>sires</w:t>
      </w:r>
      <w:r>
        <w:rPr/>
        <w:t xml:space="preserve"> and 0.10 in non-phenotyped progeny.</w:t>
      </w:r>
    </w:p>
    <w:p>
      <w:pPr>
        <w:pStyle w:val="Normal"/>
        <w:rPr/>
      </w:pPr>
      <w:r>
        <w:rPr/>
        <w:t xml:space="preserve">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w:t>
      </w:r>
      <w:r>
        <w:rPr/>
        <w:t>sires</w:t>
      </w:r>
      <w:r>
        <w:rPr/>
        <w:t xml:space="preserve">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ZHPw6lgZ82GC1"/>
      <w:bookmarkStart w:id="3" w:name="ZOTERO_BREF_ZHPw6lgZ82GC"/>
      <w:bookmarkStart w:id="4" w:name="ZOTERO_BREF_KGzl4mCEcDo41"/>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4"/>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4"/>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4"/>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4"/>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9552" w:type="dxa"/>
        <w:jc w:val="left"/>
        <w:tblInd w:w="0" w:type="dxa"/>
        <w:tblBorders>
          <w:top w:val="single" w:sz="8" w:space="0" w:color="000000"/>
        </w:tblBorders>
        <w:tblCellMar>
          <w:top w:w="0" w:type="dxa"/>
          <w:left w:w="0" w:type="dxa"/>
          <w:bottom w:w="0" w:type="dxa"/>
          <w:right w:w="0" w:type="dxa"/>
        </w:tblCellMar>
      </w:tblPr>
      <w:tblGrid>
        <w:gridCol w:w="1643"/>
        <w:gridCol w:w="1308"/>
        <w:gridCol w:w="1308"/>
        <w:gridCol w:w="1303"/>
        <w:gridCol w:w="1306"/>
        <w:gridCol w:w="1308"/>
        <w:gridCol w:w="1322"/>
        <w:gridCol w:w="2"/>
        <w:gridCol w:w="50"/>
      </w:tblGrid>
      <w:tr>
        <w:trPr>
          <w:cantSplit w:val="true"/>
        </w:trPr>
        <w:tc>
          <w:tcPr>
            <w:tcW w:w="1643"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7" w:type="dxa"/>
            <w:gridSpan w:val="7"/>
            <w:tcBorders>
              <w:top w:val="single" w:sz="8" w:space="0" w:color="000000"/>
              <w:bottom w:val="single" w:sz="2" w:space="0" w:color="000000"/>
              <w:insideH w:val="single" w:sz="2" w:space="0" w:color="000000"/>
            </w:tcBorders>
            <w:shd w:fill="auto" w:val="clear"/>
          </w:tcPr>
          <w:p>
            <w:pPr>
              <w:pStyle w:val="TableContents"/>
              <w:spacing w:lineRule="auto" w:line="276" w:before="86" w:after="58"/>
              <w:jc w:val="center"/>
              <w:rPr/>
            </w:pPr>
            <w:r>
              <w:rPr/>
              <w:t>Scenario</w:t>
            </w:r>
          </w:p>
        </w:tc>
        <w:tc>
          <w:tcPr>
            <w:tcW w:w="50"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3" w:type="dxa"/>
            <w:vMerge w:val="continue"/>
            <w:tcBorders>
              <w:top w:val="single" w:sz="8" w:space="0" w:color="000000"/>
            </w:tcBorders>
            <w:shd w:fill="auto" w:val="clear"/>
            <w:vAlign w:val="center"/>
          </w:tcPr>
          <w:p>
            <w:pPr>
              <w:pStyle w:val="Normal"/>
              <w:widowControl/>
              <w:suppressAutoHyphens w:val="true"/>
              <w:bidi w:val="0"/>
              <w:spacing w:lineRule="auto" w:line="480" w:before="0" w:after="240"/>
              <w:jc w:val="both"/>
              <w:rPr/>
            </w:pPr>
            <w:r>
              <w:rPr/>
            </w:r>
          </w:p>
        </w:tc>
        <w:tc>
          <w:tcPr>
            <w:tcW w:w="1308"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G10</w:t>
            </w:r>
          </w:p>
        </w:tc>
        <w:tc>
          <w:tcPr>
            <w:tcW w:w="1308"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G9</w:t>
            </w:r>
          </w:p>
        </w:tc>
        <w:tc>
          <w:tcPr>
            <w:tcW w:w="1303"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G8</w:t>
            </w:r>
          </w:p>
        </w:tc>
        <w:tc>
          <w:tcPr>
            <w:tcW w:w="1306"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G5</w:t>
            </w:r>
          </w:p>
        </w:tc>
        <w:tc>
          <w:tcPr>
            <w:tcW w:w="1308"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G2</w:t>
            </w:r>
          </w:p>
        </w:tc>
        <w:tc>
          <w:tcPr>
            <w:tcW w:w="1374" w:type="dxa"/>
            <w:gridSpan w:val="3"/>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G1</w:t>
            </w:r>
          </w:p>
        </w:tc>
      </w:tr>
      <w:tr>
        <w:trPr>
          <w:trHeight w:val="727" w:hRule="atLeast"/>
          <w:cantSplit w:val="true"/>
        </w:trPr>
        <w:tc>
          <w:tcPr>
            <w:tcW w:w="1643" w:type="dxa"/>
            <w:tcBorders>
              <w:top w:val="single" w:sz="8" w:space="0" w:color="000000"/>
            </w:tcBorders>
            <w:shd w:fill="FFFFFF" w:val="clear"/>
            <w:tcMar>
              <w:top w:w="29" w:type="dxa"/>
              <w:left w:w="29" w:type="dxa"/>
              <w:bottom w:w="29" w:type="dxa"/>
              <w:right w:w="29" w:type="dxa"/>
            </w:tcM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insideH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insideH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3"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6"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22"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2"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3" w:type="dxa"/>
            <w:tcBorders/>
            <w:shd w:fill="FFFFFF" w:val="clear"/>
            <w:tcMar>
              <w:top w:w="29" w:type="dxa"/>
              <w:left w:w="29" w:type="dxa"/>
              <w:bottom w:w="29" w:type="dxa"/>
              <w:right w:w="29" w:type="dxa"/>
            </w:tcMar>
            <w:vAlign w:val="center"/>
          </w:tcPr>
          <w:p>
            <w:pPr>
              <w:pStyle w:val="TableContents"/>
              <w:spacing w:lineRule="auto" w:line="276" w:before="86" w:after="58"/>
              <w:rPr/>
            </w:pPr>
            <w:r>
              <w:rPr/>
              <w:t>$P:$G = 1:1</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3"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6"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22"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2"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3" w:type="dxa"/>
            <w:tcBorders>
              <w:top w:val="single" w:sz="8" w:space="0" w:color="000000"/>
              <w:bottom w:val="single" w:sz="8" w:space="0" w:color="000000"/>
              <w:insideH w:val="single" w:sz="8" w:space="0" w:color="000000"/>
            </w:tcBorders>
            <w:shd w:fill="FFFFFF" w:val="clear"/>
            <w:vAlign w:val="center"/>
          </w:tcPr>
          <w:p>
            <w:pPr>
              <w:pStyle w:val="TableContents"/>
              <w:spacing w:lineRule="auto" w:line="276" w:before="86" w:after="58"/>
              <w:rPr/>
            </w:pPr>
            <w:r>
              <w:rPr/>
              <w:t>$P:$G = 2:1</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3"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6"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22"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2" w:type="dxa"/>
            <w:gridSpan w:val="2"/>
            <w:tcBorders/>
            <w:shd w:fill="auto" w:val="clear"/>
          </w:tcPr>
          <w:p>
            <w:pPr>
              <w:pStyle w:val="Normal"/>
              <w:snapToGrid w:val="false"/>
              <w:spacing w:lineRule="auto" w:line="276" w:before="86" w:after="58"/>
              <w:rPr/>
            </w:pPr>
            <w:r>
              <w:rPr/>
            </w:r>
          </w:p>
        </w:tc>
      </w:tr>
    </w:tbl>
    <w:p>
      <w:pPr>
        <w:pStyle w:val="Heading2"/>
        <w:numPr>
          <w:ilvl w:val="1"/>
          <w:numId w:val="4"/>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4"/>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 xml:space="preserve">phenotyped); and iv) </w:t>
      </w:r>
      <w:r>
        <w:rPr>
          <w:highlight w:val="white"/>
        </w:rPr>
        <w:t>cows</w:t>
      </w:r>
      <w:r>
        <w:rPr>
          <w:highlight w:val="white"/>
        </w:rPr>
        <w:t xml:space="preserve">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 xml:space="preserve">phenotyped male and female candidates, and </w:t>
      </w:r>
      <w:r>
        <w:rPr/>
        <w:t>cows</w:t>
      </w:r>
      <w:r>
        <w:rPr/>
        <w:t>.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07" w:type="dxa"/>
        <w:tblBorders>
          <w:top w:val="single" w:sz="8" w:space="0" w:color="000000"/>
          <w:bottom w:val="single" w:sz="8" w:space="0" w:color="000001"/>
          <w:insideH w:val="single" w:sz="8" w:space="0" w:color="000001"/>
        </w:tblBorders>
        <w:tblCellMar>
          <w:top w:w="0" w:type="dxa"/>
          <w:left w:w="108" w:type="dxa"/>
          <w:bottom w:w="0" w:type="dxa"/>
          <w:right w:w="108" w:type="dxa"/>
        </w:tblCellMar>
      </w:tblPr>
      <w:tblGrid>
        <w:gridCol w:w="1704"/>
        <w:gridCol w:w="2640"/>
        <w:gridCol w:w="2647"/>
        <w:gridCol w:w="2641"/>
      </w:tblGrid>
      <w:tr>
        <w:trPr>
          <w:trHeight w:val="432" w:hRule="exact"/>
          <w:cantSplit w:val="true"/>
        </w:trPr>
        <w:tc>
          <w:tcPr>
            <w:tcW w:w="1704" w:type="dxa"/>
            <w:vMerge w:val="restart"/>
            <w:tcBorders>
              <w:top w:val="single" w:sz="8" w:space="0" w:color="000000"/>
              <w:bottom w:val="single" w:sz="8" w:space="0" w:color="000001"/>
              <w:insideH w:val="single" w:sz="8" w:space="0" w:color="000001"/>
            </w:tcBorders>
            <w:shd w:fill="FFFFFF" w:val="clear"/>
            <w:vAlign w:val="center"/>
          </w:tcPr>
          <w:p>
            <w:pPr>
              <w:pStyle w:val="Standard"/>
              <w:spacing w:before="57" w:after="57"/>
              <w:ind w:left="0" w:right="0"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0"/>
              <w:bottom w:val="single" w:sz="2" w:space="0" w:color="000001"/>
              <w:insideH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cantSplit w:val="true"/>
        </w:trPr>
        <w:tc>
          <w:tcPr>
            <w:tcW w:w="1704" w:type="dxa"/>
            <w:vMerge w:val="continue"/>
            <w:tcBorders>
              <w:top w:val="single" w:sz="8" w:space="0" w:color="000001"/>
              <w:bottom w:val="single" w:sz="8" w:space="0" w:color="000001"/>
              <w:insideH w:val="single" w:sz="8" w:space="0" w:color="000001"/>
            </w:tcBorders>
            <w:shd w:fill="FFFFFF" w:val="clear"/>
            <w:vAlign w:val="center"/>
          </w:tcPr>
          <w:p>
            <w:pPr>
              <w:pStyle w:val="Normal"/>
              <w:widowControl/>
              <w:suppressAutoHyphens w:val="true"/>
              <w:bidi w:val="0"/>
              <w:spacing w:lineRule="auto" w:line="480" w:before="0" w:after="240"/>
              <w:jc w:val="both"/>
              <w:rPr/>
            </w:pPr>
            <w:r>
              <w:rPr/>
            </w:r>
          </w:p>
        </w:tc>
        <w:tc>
          <w:tcPr>
            <w:tcW w:w="2640"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2:1</w:t>
            </w:r>
          </w:p>
        </w:tc>
      </w:tr>
      <w:tr>
        <w:trPr>
          <w:trHeight w:val="432" w:hRule="exact"/>
        </w:trPr>
        <w:tc>
          <w:tcPr>
            <w:tcW w:w="1704"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r>
      <w:tr>
        <w:trPr>
          <w:trHeight w:val="432" w:hRule="exact"/>
        </w:trPr>
        <w:tc>
          <w:tcPr>
            <w:tcW w:w="9632" w:type="dxa"/>
            <w:gridSpan w:val="4"/>
            <w:tcBorders>
              <w:top w:val="single" w:sz="8" w:space="0" w:color="000001"/>
              <w:bottom w:val="single" w:sz="2" w:space="0" w:color="000001"/>
              <w:insideH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432" w:hRule="exact"/>
        </w:trPr>
        <w:tc>
          <w:tcPr>
            <w:tcW w:w="1704"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both"/>
              <w:rPr/>
            </w:pPr>
            <w:r>
              <w:rPr>
                <w:b/>
                <w:bCs/>
                <w:color w:val="000000"/>
                <w:szCs w:val="24"/>
                <w:lang w:val="en-GB"/>
              </w:rPr>
              <w:t>G1</w:t>
            </w:r>
          </w:p>
        </w:tc>
        <w:tc>
          <w:tcPr>
            <w:tcW w:w="2640" w:type="dxa"/>
            <w:tcBorders>
              <w:top w:val="single" w:sz="2" w:space="0" w:color="000000"/>
              <w:bottom w:val="single" w:sz="2" w:space="0" w:color="000000"/>
              <w:insideH w:val="single" w:sz="2" w:space="0" w:color="000000"/>
            </w:tcBorders>
            <w:shd w:fill="auto" w:val="clear"/>
            <w:vAlign w:val="center"/>
          </w:tcPr>
          <w:p>
            <w:pPr>
              <w:pStyle w:val="Standard"/>
              <w:shd w:val="clear" w:fill="FFFFFF"/>
              <w:spacing w:lineRule="auto" w:line="360"/>
              <w:ind w:left="0" w:right="0" w:hanging="0"/>
              <w:jc w:val="center"/>
              <w:rPr>
                <w:b/>
                <w:b/>
                <w:bCs/>
              </w:rPr>
            </w:pPr>
            <w:r>
              <w:rPr>
                <w:b/>
                <w:bCs/>
                <w:lang w:val="en-GB"/>
              </w:rPr>
              <w:t>7.11</w:t>
            </w:r>
            <w:r>
              <w:rPr>
                <w:b/>
                <w:bCs/>
                <w:vertAlign w:val="subscript"/>
                <w:lang w:val="en-GB"/>
              </w:rPr>
              <w:t>0.16</w:t>
            </w:r>
            <w:r>
              <w:rPr>
                <w:b/>
                <w:bCs/>
                <w:vertAlign w:val="superscript"/>
                <w:lang w:val="en-GB"/>
              </w:rPr>
              <w:t>e,A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lang w:val="en-GB"/>
              </w:rPr>
              <w:t>7.24</w:t>
            </w:r>
            <w:r>
              <w:rPr>
                <w:b/>
                <w:bCs/>
                <w:vertAlign w:val="subscript"/>
                <w:lang w:val="en-GB"/>
              </w:rPr>
              <w:t>0.22</w:t>
            </w:r>
            <w:r>
              <w:rPr>
                <w:b/>
                <w:bCs/>
                <w:vertAlign w:val="superscript"/>
                <w:lang w:val="en-GB"/>
              </w:rPr>
              <w:t>c,A</w:t>
            </w:r>
          </w:p>
        </w:tc>
      </w:tr>
      <w:tr>
        <w:trPr>
          <w:trHeight w:val="432" w:hRule="exact"/>
        </w:trPr>
        <w:tc>
          <w:tcPr>
            <w:tcW w:w="9632" w:type="dxa"/>
            <w:gridSpan w:val="4"/>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Without initial training population</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2641" w:type="dxa"/>
            <w:tcBorders>
              <w:top w:val="single" w:sz="2" w:space="0" w:color="000000"/>
              <w:bottom w:val="single" w:sz="2" w:space="0" w:color="000000"/>
              <w:insideH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432" w:hRule="exact"/>
        </w:trPr>
        <w:tc>
          <w:tcPr>
            <w:tcW w:w="1704"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0"/>
              <w:bottom w:val="single" w:sz="8" w:space="0" w:color="000000"/>
              <w:insideH w:val="single" w:sz="8" w:space="0" w:color="000000"/>
            </w:tcBorders>
            <w:shd w:fill="auto" w:val="clear"/>
            <w:vAlign w:val="center"/>
          </w:tcPr>
          <w:p>
            <w:pPr>
              <w:pStyle w:val="Standard"/>
              <w:spacing w:lineRule="auto" w:line="360"/>
              <w:ind w:left="0" w:right="0" w:hanging="0"/>
              <w:jc w:val="center"/>
              <w:rPr>
                <w:b/>
                <w:b/>
                <w:bCs/>
              </w:rPr>
            </w:pPr>
            <w:r>
              <w:rPr>
                <w:b/>
                <w:bCs/>
                <w:lang w:val="en-GB"/>
              </w:rPr>
              <w:t>6.78</w:t>
            </w:r>
            <w:r>
              <w:rPr>
                <w:b/>
                <w:bCs/>
                <w:vertAlign w:val="subscript"/>
                <w:lang w:val="en-GB"/>
              </w:rPr>
              <w:t>0.29</w:t>
            </w:r>
            <w:r>
              <w:rPr>
                <w:b/>
                <w:bCs/>
                <w:vertAlign w:val="superscript"/>
                <w:lang w:val="en-GB"/>
              </w:rPr>
              <w:t>f,A</w:t>
            </w:r>
          </w:p>
        </w:tc>
        <w:tc>
          <w:tcPr>
            <w:tcW w:w="2647" w:type="dxa"/>
            <w:tcBorders>
              <w:top w:val="single" w:sz="8" w:space="0" w:color="000000"/>
              <w:bottom w:val="single" w:sz="8" w:space="0" w:color="000000"/>
              <w:insideH w:val="single" w:sz="8"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2641" w:type="dxa"/>
            <w:tcBorders>
              <w:top w:val="single" w:sz="8" w:space="0" w:color="000000"/>
              <w:bottom w:val="single" w:sz="8" w:space="0" w:color="000000"/>
              <w:insideH w:val="single" w:sz="8" w:space="0" w:color="000000"/>
            </w:tcBorders>
            <w:shd w:fill="auto" w:val="clear"/>
            <w:vAlign w:val="center"/>
          </w:tcPr>
          <w:p>
            <w:pPr>
              <w:pStyle w:val="Standard"/>
              <w:spacing w:lineRule="auto" w:line="360"/>
              <w:ind w:left="0" w:right="0" w:hanging="0"/>
              <w:jc w:val="center"/>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9638" w:type="dxa"/>
        <w:jc w:val="left"/>
        <w:tblInd w:w="5" w:type="dxa"/>
        <w:tblBorders>
          <w:top w:val="single" w:sz="8" w:space="0" w:color="000000"/>
          <w:bottom w:val="single" w:sz="8" w:space="0" w:color="000000"/>
          <w:insideH w:val="single" w:sz="8" w:space="0" w:color="000000"/>
        </w:tblBorders>
        <w:tblCellMar>
          <w:top w:w="55" w:type="dxa"/>
          <w:left w:w="50" w:type="dxa"/>
          <w:bottom w:w="55" w:type="dxa"/>
          <w:right w:w="55" w:type="dxa"/>
        </w:tblCellMar>
      </w:tblPr>
      <w:tblGrid>
        <w:gridCol w:w="2409"/>
        <w:gridCol w:w="2410"/>
        <w:gridCol w:w="2402"/>
        <w:gridCol w:w="2416"/>
      </w:tblGrid>
      <w:tr>
        <w:trPr>
          <w:trHeight w:val="432" w:hRule="exact"/>
        </w:trPr>
        <w:tc>
          <w:tcPr>
            <w:tcW w:w="2409" w:type="dxa"/>
            <w:vMerge w:val="restart"/>
            <w:tcBorders>
              <w:top w:val="single" w:sz="8" w:space="0" w:color="000000"/>
              <w:bottom w:val="single" w:sz="8" w:space="0" w:color="000000"/>
              <w:insideH w:val="single" w:sz="8" w:space="0" w:color="000000"/>
            </w:tcBorders>
            <w:shd w:fill="auto" w:val="clear"/>
          </w:tcPr>
          <w:p>
            <w:pPr>
              <w:pStyle w:val="Standard"/>
              <w:ind w:left="0" w:right="0" w:hanging="0"/>
              <w:jc w:val="center"/>
              <w:rPr>
                <w:b/>
                <w:b/>
                <w:bCs/>
              </w:rPr>
            </w:pPr>
            <w:r>
              <w:rPr>
                <w:b/>
                <w:bCs/>
              </w:rPr>
              <w:t>Scenario</w:t>
            </w:r>
          </w:p>
        </w:tc>
        <w:tc>
          <w:tcPr>
            <w:tcW w:w="7228" w:type="dxa"/>
            <w:gridSpan w:val="3"/>
            <w:tcBorders>
              <w:top w:val="single" w:sz="8" w:space="0" w:color="000000"/>
              <w:bottom w:val="single" w:sz="2" w:space="0" w:color="000000"/>
              <w:insideH w:val="single" w:sz="2" w:space="0" w:color="000000"/>
            </w:tcBorders>
            <w:shd w:fill="auto" w:val="clea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trPr>
        <w:tc>
          <w:tcPr>
            <w:tcW w:w="2409" w:type="dxa"/>
            <w:vMerge w:val="continue"/>
            <w:tcBorders>
              <w:top w:val="single" w:sz="8" w:space="0" w:color="000000"/>
              <w:bottom w:val="single" w:sz="8" w:space="0" w:color="000000"/>
              <w:insideH w:val="single" w:sz="8" w:space="0" w:color="000000"/>
            </w:tcBorders>
            <w:shd w:fill="auto" w:val="clear"/>
          </w:tcPr>
          <w:p>
            <w:pPr>
              <w:pStyle w:val="Standard"/>
              <w:ind w:left="0" w:right="0" w:hanging="0"/>
              <w:jc w:val="center"/>
              <w:rPr/>
            </w:pPr>
            <w:r>
              <w:rPr/>
            </w:r>
          </w:p>
        </w:tc>
        <w:tc>
          <w:tcPr>
            <w:tcW w:w="2410" w:type="dxa"/>
            <w:tcBorders>
              <w:top w:val="single" w:sz="8" w:space="0" w:color="000000"/>
              <w:bottom w:val="single" w:sz="8" w:space="0" w:color="000000"/>
              <w:insideH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1:2</w:t>
            </w:r>
          </w:p>
        </w:tc>
        <w:tc>
          <w:tcPr>
            <w:tcW w:w="2402" w:type="dxa"/>
            <w:tcBorders>
              <w:top w:val="single" w:sz="8" w:space="0" w:color="000000"/>
              <w:bottom w:val="single" w:sz="8" w:space="0" w:color="000000"/>
              <w:insideH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1:1</w:t>
            </w:r>
          </w:p>
        </w:tc>
        <w:tc>
          <w:tcPr>
            <w:tcW w:w="2416" w:type="dxa"/>
            <w:tcBorders>
              <w:top w:val="single" w:sz="8" w:space="0" w:color="000000"/>
              <w:bottom w:val="single" w:sz="8" w:space="0" w:color="000000"/>
              <w:insideH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2:1</w:t>
            </w:r>
          </w:p>
        </w:tc>
      </w:tr>
      <w:tr>
        <w:trPr>
          <w:trHeight w:val="432" w:hRule="exact"/>
        </w:trPr>
        <w:tc>
          <w:tcPr>
            <w:tcW w:w="2409" w:type="dxa"/>
            <w:tcBorders>
              <w:top w:val="single" w:sz="2" w:space="0" w:color="000000"/>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C11</w:t>
            </w:r>
          </w:p>
        </w:tc>
        <w:tc>
          <w:tcPr>
            <w:tcW w:w="2410"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0.80</w:t>
            </w:r>
          </w:p>
        </w:tc>
        <w:tc>
          <w:tcPr>
            <w:tcW w:w="2402"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0.80</w:t>
            </w:r>
          </w:p>
        </w:tc>
        <w:tc>
          <w:tcPr>
            <w:tcW w:w="2416"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0.80</w:t>
            </w:r>
          </w:p>
        </w:tc>
      </w:tr>
      <w:tr>
        <w:trPr>
          <w:trHeight w:val="432" w:hRule="exact"/>
        </w:trPr>
        <w:tc>
          <w:tcPr>
            <w:tcW w:w="2409" w:type="dxa"/>
            <w:tcBorders>
              <w:top w:val="single" w:sz="2" w:space="0" w:color="000000"/>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G10</w:t>
            </w:r>
          </w:p>
        </w:tc>
        <w:tc>
          <w:tcPr>
            <w:tcW w:w="2410"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1.32</w:t>
            </w:r>
          </w:p>
        </w:tc>
        <w:tc>
          <w:tcPr>
            <w:tcW w:w="2402"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1.71</w:t>
            </w:r>
          </w:p>
        </w:tc>
        <w:tc>
          <w:tcPr>
            <w:tcW w:w="2416"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2.02</w:t>
            </w:r>
          </w:p>
        </w:tc>
      </w:tr>
      <w:tr>
        <w:trPr>
          <w:trHeight w:val="432" w:hRule="exact"/>
        </w:trPr>
        <w:tc>
          <w:tcPr>
            <w:tcW w:w="2409" w:type="dxa"/>
            <w:tcBorders>
              <w:top w:val="single" w:sz="2" w:space="0" w:color="000000"/>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G9</w:t>
            </w:r>
          </w:p>
        </w:tc>
        <w:tc>
          <w:tcPr>
            <w:tcW w:w="2410"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1.76</w:t>
            </w:r>
          </w:p>
        </w:tc>
        <w:tc>
          <w:tcPr>
            <w:tcW w:w="2402"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2.06</w:t>
            </w:r>
          </w:p>
        </w:tc>
        <w:tc>
          <w:tcPr>
            <w:tcW w:w="2416"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2.48</w:t>
            </w:r>
          </w:p>
        </w:tc>
      </w:tr>
      <w:tr>
        <w:trPr>
          <w:trHeight w:val="432" w:hRule="exact"/>
        </w:trPr>
        <w:tc>
          <w:tcPr>
            <w:tcW w:w="2409" w:type="dxa"/>
            <w:tcBorders>
              <w:top w:val="single" w:sz="2" w:space="0" w:color="000000"/>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G8</w:t>
            </w:r>
          </w:p>
        </w:tc>
        <w:tc>
          <w:tcPr>
            <w:tcW w:w="2410"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1.99</w:t>
            </w:r>
          </w:p>
        </w:tc>
        <w:tc>
          <w:tcPr>
            <w:tcW w:w="2402"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2.27</w:t>
            </w:r>
          </w:p>
        </w:tc>
        <w:tc>
          <w:tcPr>
            <w:tcW w:w="2416"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2.52</w:t>
            </w:r>
          </w:p>
        </w:tc>
      </w:tr>
      <w:tr>
        <w:trPr>
          <w:trHeight w:val="432" w:hRule="exact"/>
        </w:trPr>
        <w:tc>
          <w:tcPr>
            <w:tcW w:w="2409" w:type="dxa"/>
            <w:tcBorders>
              <w:top w:val="single" w:sz="2" w:space="0" w:color="000000"/>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G5</w:t>
            </w:r>
          </w:p>
        </w:tc>
        <w:tc>
          <w:tcPr>
            <w:tcW w:w="2410"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2.40</w:t>
            </w:r>
          </w:p>
        </w:tc>
        <w:tc>
          <w:tcPr>
            <w:tcW w:w="2402"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2.63</w:t>
            </w:r>
          </w:p>
        </w:tc>
        <w:tc>
          <w:tcPr>
            <w:tcW w:w="2416"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2.85</w:t>
            </w:r>
          </w:p>
        </w:tc>
      </w:tr>
      <w:tr>
        <w:trPr>
          <w:trHeight w:val="432" w:hRule="exact"/>
        </w:trPr>
        <w:tc>
          <w:tcPr>
            <w:tcW w:w="2409" w:type="dxa"/>
            <w:tcBorders>
              <w:top w:val="single" w:sz="2" w:space="0" w:color="000000"/>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G2</w:t>
            </w:r>
          </w:p>
        </w:tc>
        <w:tc>
          <w:tcPr>
            <w:tcW w:w="2410"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2.63</w:t>
            </w:r>
          </w:p>
        </w:tc>
        <w:tc>
          <w:tcPr>
            <w:tcW w:w="2402"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2.86</w:t>
            </w:r>
          </w:p>
        </w:tc>
        <w:tc>
          <w:tcPr>
            <w:tcW w:w="2416"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3.11</w:t>
            </w:r>
          </w:p>
        </w:tc>
      </w:tr>
      <w:tr>
        <w:trPr>
          <w:trHeight w:val="432" w:hRule="exact"/>
        </w:trPr>
        <w:tc>
          <w:tcPr>
            <w:tcW w:w="2409" w:type="dxa"/>
            <w:tcBorders>
              <w:top w:val="single" w:sz="8" w:space="0" w:color="000000"/>
              <w:bottom w:val="single" w:sz="8" w:space="0" w:color="000000"/>
              <w:insideH w:val="single" w:sz="8"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w:t>
            </w:r>
          </w:p>
        </w:tc>
        <w:tc>
          <w:tcPr>
            <w:tcW w:w="2410" w:type="dxa"/>
            <w:tcBorders>
              <w:top w:val="single" w:sz="8" w:space="0" w:color="000000"/>
              <w:bottom w:val="single" w:sz="8" w:space="0" w:color="000000"/>
              <w:insideH w:val="single" w:sz="8" w:space="0" w:color="000000"/>
            </w:tcBorders>
            <w:shd w:fill="auto" w:val="clear"/>
          </w:tcPr>
          <w:p>
            <w:pPr>
              <w:pStyle w:val="TableContents"/>
              <w:spacing w:lineRule="auto" w:line="240" w:before="0" w:after="240"/>
              <w:jc w:val="center"/>
              <w:rPr/>
            </w:pPr>
            <w:r>
              <w:rPr/>
              <w:t>2.70</w:t>
            </w:r>
          </w:p>
        </w:tc>
        <w:tc>
          <w:tcPr>
            <w:tcW w:w="2402" w:type="dxa"/>
            <w:tcBorders>
              <w:top w:val="single" w:sz="8" w:space="0" w:color="000000"/>
              <w:bottom w:val="single" w:sz="8" w:space="0" w:color="000000"/>
              <w:insideH w:val="single" w:sz="8" w:space="0" w:color="000000"/>
            </w:tcBorders>
            <w:shd w:fill="auto" w:val="clear"/>
          </w:tcPr>
          <w:p>
            <w:pPr>
              <w:pStyle w:val="TableContents"/>
              <w:spacing w:lineRule="auto" w:line="240" w:before="0" w:after="240"/>
              <w:jc w:val="center"/>
              <w:rPr/>
            </w:pPr>
            <w:r>
              <w:rPr/>
              <w:t>2.93</w:t>
            </w:r>
          </w:p>
        </w:tc>
        <w:tc>
          <w:tcPr>
            <w:tcW w:w="2416" w:type="dxa"/>
            <w:tcBorders>
              <w:top w:val="single" w:sz="8" w:space="0" w:color="000000"/>
              <w:bottom w:val="single" w:sz="8" w:space="0" w:color="000000"/>
              <w:insideH w:val="single" w:sz="8" w:space="0" w:color="000000"/>
            </w:tcBorders>
            <w:shd w:fill="auto" w:val="clear"/>
          </w:tcPr>
          <w:p>
            <w:pPr>
              <w:pStyle w:val="TableContents"/>
              <w:spacing w:lineRule="auto" w:line="240" w:before="0" w:after="240"/>
              <w:jc w:val="center"/>
              <w:rPr/>
            </w:pPr>
            <w:r>
              <w:rPr/>
              <w:t>3.14</w:t>
            </w:r>
          </w:p>
        </w:tc>
      </w:tr>
    </w:tbl>
    <w:p>
      <w:pPr>
        <w:pStyle w:val="Normal"/>
        <w:rPr>
          <w:rFonts w:eastAsia="Wingdings"/>
          <w:color w:val="000000"/>
          <w:highlight w:val="white"/>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4"/>
        </w:numPr>
        <w:rPr/>
      </w:pPr>
      <w:r>
        <w:rPr/>
        <w:t>Accuracy with an initial training population</w:t>
      </w:r>
    </w:p>
    <w:p>
      <w:pPr>
        <w:pStyle w:val="Normal"/>
        <w:rPr>
          <w:b/>
          <w:b/>
          <w:bCs/>
          <w:color w:val="000000"/>
          <w:highlight w:val="white"/>
        </w:rPr>
      </w:pPr>
      <w:r>
        <w:rPr>
          <w:b/>
          <w:bCs/>
          <w:color w:val="000000"/>
          <w:highlight w:val="white"/>
        </w:rPr>
        <w:t>Table S3 Selection accuracy by scenario, relative cost of genotyping, and the availability of initial training population (TP).</w:t>
      </w:r>
    </w:p>
    <w:tbl>
      <w:tblPr>
        <w:tblW w:w="9609" w:type="dxa"/>
        <w:jc w:val="left"/>
        <w:tblInd w:w="0" w:type="dxa"/>
        <w:tblBorders>
          <w:top w:val="single" w:sz="8" w:space="0" w:color="000000"/>
        </w:tblBorders>
        <w:tblCellMar>
          <w:top w:w="29" w:type="dxa"/>
          <w:left w:w="29" w:type="dxa"/>
          <w:bottom w:w="29" w:type="dxa"/>
          <w:right w:w="29" w:type="dxa"/>
        </w:tblCellMar>
      </w:tblPr>
      <w:tblGrid>
        <w:gridCol w:w="1130"/>
        <w:gridCol w:w="1401"/>
        <w:gridCol w:w="1401"/>
        <w:gridCol w:w="1400"/>
        <w:gridCol w:w="1401"/>
        <w:gridCol w:w="1401"/>
        <w:gridCol w:w="1408"/>
        <w:gridCol w:w="65"/>
      </w:tblGrid>
      <w:tr>
        <w:trPr>
          <w:trHeight w:val="432" w:hRule="exact"/>
          <w:cantSplit w:val="true"/>
        </w:trPr>
        <w:tc>
          <w:tcPr>
            <w:tcW w:w="1130" w:type="dxa"/>
            <w:vMerge w:val="restart"/>
            <w:tcBorders>
              <w:top w:val="single" w:sz="8" w:space="0" w:color="000000"/>
            </w:tcBorders>
            <w:shd w:fill="FFFFFF" w:val="clear"/>
            <w:vAlign w:val="center"/>
          </w:tcPr>
          <w:p>
            <w:pPr>
              <w:pStyle w:val="Normal"/>
              <w:snapToGrid w:val="false"/>
              <w:spacing w:before="0" w:after="240"/>
              <w:rPr>
                <w:b/>
                <w:b/>
                <w:bCs/>
              </w:rPr>
            </w:pPr>
            <w:r>
              <w:rPr>
                <w:b/>
                <w:bCs/>
              </w:rPr>
              <w:t>Scenario</w:t>
            </w:r>
          </w:p>
        </w:tc>
        <w:tc>
          <w:tcPr>
            <w:tcW w:w="4202" w:type="dxa"/>
            <w:gridSpan w:val="3"/>
            <w:tcBorders>
              <w:top w:val="single" w:sz="8" w:space="0" w:color="000000"/>
              <w:bottom w:val="single" w:sz="4" w:space="0" w:color="000000"/>
              <w:insideH w:val="single" w:sz="4"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 initial training population</w:t>
            </w:r>
          </w:p>
        </w:tc>
        <w:tc>
          <w:tcPr>
            <w:tcW w:w="4210" w:type="dxa"/>
            <w:gridSpan w:val="3"/>
            <w:tcBorders>
              <w:top w:val="single" w:sz="8" w:space="0" w:color="000000"/>
              <w:left w:val="single" w:sz="8" w:space="0" w:color="000000"/>
              <w:bottom w:val="single" w:sz="2" w:space="0" w:color="000000"/>
              <w:insideH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Without initial training population</w:t>
            </w:r>
          </w:p>
        </w:tc>
        <w:tc>
          <w:tcPr>
            <w:tcW w:w="65" w:type="dxa"/>
            <w:tcBorders>
              <w:top w:val="single" w:sz="2" w:space="0" w:color="000000"/>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8412" w:type="dxa"/>
            <w:gridSpan w:val="6"/>
            <w:tcBorders>
              <w:top w:val="single" w:sz="8" w:space="0" w:color="000000"/>
              <w:bottom w:val="single" w:sz="2" w:space="0" w:color="000000"/>
              <w:insideH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Relative cost of phenotyping ($P) to genotyping ($G)</w:t>
            </w:r>
          </w:p>
        </w:tc>
        <w:tc>
          <w:tcPr>
            <w:tcW w:w="65" w:type="dxa"/>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1401" w:type="dxa"/>
            <w:tcBorders>
              <w:top w:val="single" w:sz="8" w:space="0" w:color="000000"/>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0" w:type="dxa"/>
            <w:tcBorders>
              <w:top w:val="single" w:sz="8" w:space="0" w:color="000000"/>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1401" w:type="dxa"/>
            <w:tcBorders>
              <w:top w:val="single" w:sz="8" w:space="0" w:color="000000"/>
              <w:left w:val="single" w:sz="8" w:space="0" w:color="000000"/>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8" w:type="dxa"/>
            <w:tcBorders>
              <w:top w:val="single" w:sz="8" w:space="0" w:color="000000"/>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65" w:type="dxa"/>
            <w:tcBorders>
              <w:top w:val="single" w:sz="8" w:space="0" w:color="000000"/>
              <w:bottom w:val="single" w:sz="8" w:space="0" w:color="000000"/>
              <w:insideH w:val="single" w:sz="8" w:space="0" w:color="000000"/>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8"/>
            <w:tcBorders>
              <w:top w:val="single" w:sz="8" w:space="0" w:color="000000"/>
              <w:bottom w:val="single" w:sz="4" w:space="0" w:color="000000"/>
              <w:insideH w:val="single" w:sz="4" w:space="0" w:color="000000"/>
            </w:tcBorders>
            <w:shd w:fill="FFFFFF" w:val="clear"/>
            <w:vAlign w:val="center"/>
          </w:tcPr>
          <w:p>
            <w:pPr>
              <w:pStyle w:val="Standard"/>
              <w:spacing w:lineRule="auto" w:line="360"/>
              <w:ind w:left="0" w:right="0" w:hanging="0"/>
              <w:jc w:val="center"/>
              <w:rPr>
                <w:b/>
                <w:b/>
                <w:bCs/>
                <w:highlight w:val="white"/>
                <w:lang w:val="en-GB"/>
              </w:rPr>
            </w:pPr>
            <w:r>
              <w:rPr>
                <w:b/>
                <w:bCs/>
                <w:highlight w:val="white"/>
                <w:lang w:val="en-GB"/>
              </w:rPr>
              <w:t xml:space="preserve">              </w:t>
            </w:r>
            <w:r>
              <w:rPr>
                <w:b/>
                <w:bCs/>
                <w:highlight w:val="white"/>
                <w:lang w:val="en-GB"/>
              </w:rPr>
              <w:t>Male candidates</w:t>
            </w:r>
          </w:p>
        </w:tc>
      </w:tr>
      <w:tr>
        <w:trPr>
          <w:trHeight w:val="360" w:hRule="exact"/>
        </w:trPr>
        <w:tc>
          <w:tcPr>
            <w:tcW w:w="1130"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S1</w:t>
            </w:r>
          </w:p>
        </w:tc>
        <w:tc>
          <w:tcPr>
            <w:tcW w:w="1401"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 ,A</w:t>
            </w:r>
          </w:p>
        </w:tc>
        <w:tc>
          <w:tcPr>
            <w:tcW w:w="1401"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0"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8"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S2</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0.03</w:t>
            </w:r>
            <w:r>
              <w:rPr>
                <w:vertAlign w:val="superscript"/>
                <w:lang w:val="en-GB"/>
              </w:rPr>
              <w:t>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0.02</w:t>
            </w:r>
            <w:r>
              <w:rPr>
                <w:vertAlign w:val="superscript"/>
                <w:lang w:val="en-GB"/>
              </w:rPr>
              <w:t>bc,AB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bc,B</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0.03</w:t>
            </w:r>
            <w:r>
              <w:rPr>
                <w:vertAlign w:val="superscript"/>
                <w:lang w:val="en-GB"/>
              </w:rPr>
              <w:t>bc,A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0.02</w:t>
            </w:r>
            <w:r>
              <w:rPr>
                <w:vertAlign w:val="superscript"/>
                <w:lang w:val="en-GB"/>
              </w:rPr>
              <w:t>bc,A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bc,C *</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c,B *</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bc,B</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bc,A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8"/>
            <w:tcBorders>
              <w:top w:val="single" w:sz="8" w:space="0" w:color="000000"/>
              <w:bottom w:val="single" w:sz="4" w:space="0" w:color="000000"/>
              <w:insideH w:val="single" w:sz="4" w:space="0" w:color="000000"/>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 xml:space="preserve">                </w:t>
            </w:r>
            <w:r>
              <w:rPr>
                <w:b/>
                <w:bCs/>
                <w:color w:val="000000"/>
                <w:szCs w:val="24"/>
                <w:lang w:val="en-GB"/>
              </w:rPr>
              <w:t>Sires</w:t>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0.04</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0.03</w:t>
            </w:r>
            <w:r>
              <w:rPr>
                <w:vertAlign w:val="superscript"/>
                <w:lang w:val="en-GB"/>
              </w:rPr>
              <w:t>b,A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0.05</w:t>
            </w:r>
            <w:r>
              <w:rPr>
                <w:vertAlign w:val="superscript"/>
                <w:lang w:val="en-GB"/>
              </w:rPr>
              <w:t>b,A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bc,A *</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0.06</w:t>
            </w:r>
            <w:r>
              <w:rPr>
                <w:vertAlign w:val="superscript"/>
                <w:lang w:val="en-GB"/>
              </w:rPr>
              <w:t>b,A *</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0.04</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0.06</w:t>
            </w:r>
            <w:r>
              <w:rPr>
                <w:vertAlign w:val="superscript"/>
                <w:lang w:val="en-GB"/>
              </w:rPr>
              <w:t>bc,AB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0.05</w:t>
            </w:r>
            <w:r>
              <w:rPr>
                <w:vertAlign w:val="superscript"/>
                <w:lang w:val="en-GB"/>
              </w:rPr>
              <w:t>bc,A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0.03</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0.06</w:t>
            </w:r>
            <w:r>
              <w:rPr>
                <w:vertAlign w:val="superscript"/>
                <w:lang w:val="en-GB"/>
              </w:rPr>
              <w:t>c,B</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 *</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0.05</w:t>
            </w:r>
            <w:r>
              <w:rPr>
                <w:vertAlign w:val="superscript"/>
                <w:lang w:val="en-GB"/>
              </w:rPr>
              <w:t>b,A *</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0.07</w:t>
            </w:r>
            <w:r>
              <w:rPr>
                <w:vertAlign w:val="superscript"/>
                <w:lang w:val="en-GB"/>
              </w:rPr>
              <w:t>b,A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0.07</w:t>
            </w:r>
            <w:r>
              <w:rPr>
                <w:vertAlign w:val="superscript"/>
                <w:lang w:val="en-GB"/>
              </w:rPr>
              <w:t>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de,A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0.04</w:t>
            </w:r>
            <w:r>
              <w:rPr>
                <w:vertAlign w:val="superscript"/>
                <w:lang w:val="en-GB"/>
              </w:rPr>
              <w:t>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bc,A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0.03</w:t>
            </w:r>
            <w:r>
              <w:rPr>
                <w:vertAlign w:val="superscript"/>
                <w:lang w:val="en-GB"/>
              </w:rPr>
              <w:t>b,A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de,A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0.65</w:t>
            </w:r>
            <w:r>
              <w:rPr>
                <w:vertAlign w:val="subscript"/>
                <w:lang w:val="en-GB"/>
              </w:rPr>
              <w:t>0.06</w:t>
            </w:r>
            <w:r>
              <w:rPr>
                <w:vertAlign w:val="superscript"/>
                <w:lang w:val="en-GB"/>
              </w:rPr>
              <w:t>c</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0.64</w:t>
            </w:r>
            <w:r>
              <w:rPr>
                <w:vertAlign w:val="subscript"/>
                <w:lang w:val="en-GB"/>
              </w:rPr>
              <w:t>0.07</w:t>
            </w:r>
            <w:r>
              <w:rPr>
                <w:vertAlign w:val="superscript"/>
                <w:lang w:val="en-GB"/>
              </w:rPr>
              <w:t>e,A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0.06</w:t>
            </w:r>
            <w:r>
              <w:rPr>
                <w:vertAlign w:val="superscript"/>
                <w:lang w:val="en-GB"/>
              </w:rPr>
              <w:t>c,A</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0.05</w:t>
            </w:r>
            <w:r>
              <w:rPr>
                <w:vertAlign w:val="superscript"/>
                <w:lang w:val="en-GB"/>
              </w:rPr>
              <w:t>e,A</w:t>
            </w:r>
          </w:p>
        </w:tc>
        <w:tc>
          <w:tcPr>
            <w:tcW w:w="1400"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1" w:type="dxa"/>
            <w:tcBorders>
              <w:top w:val="single" w:sz="8" w:space="0" w:color="000000"/>
              <w:left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bc</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0.03</w:t>
            </w:r>
            <w:r>
              <w:rPr>
                <w:vertAlign w:val="superscript"/>
                <w:lang w:val="en-GB"/>
              </w:rPr>
              <w:t>de,A</w:t>
            </w:r>
          </w:p>
        </w:tc>
        <w:tc>
          <w:tcPr>
            <w:tcW w:w="1408"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5" w:type="dxa"/>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8"/>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 xml:space="preserve">              </w:t>
            </w:r>
            <w:r>
              <w:rPr>
                <w:b/>
                <w:bCs/>
                <w:color w:val="000000"/>
                <w:szCs w:val="24"/>
                <w:highlight w:val="white"/>
                <w:lang w:val="en-GB"/>
              </w:rPr>
              <w:t>Female candidates</w:t>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65" w:type="dxa"/>
            <w:tcBorders>
              <w:top w:val="single" w:sz="2" w:space="0" w:color="000000"/>
              <w:bottom w:val="single" w:sz="2" w:space="0" w:color="000000"/>
              <w:insideH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b,B</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0.46</w:t>
            </w:r>
            <w:r>
              <w:rPr>
                <w:vertAlign w:val="subscript"/>
                <w:lang w:val="en-GB"/>
              </w:rPr>
              <w:t>0.02</w:t>
            </w:r>
            <w:r>
              <w:rPr>
                <w:vertAlign w:val="superscript"/>
                <w:lang w:val="en-GB"/>
              </w:rPr>
              <w:t>ab,A *</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0.50</w:t>
            </w:r>
            <w:r>
              <w:rPr>
                <w:vertAlign w:val="subscript"/>
                <w:lang w:val="en-GB"/>
              </w:rPr>
              <w:t>0.01</w:t>
            </w:r>
            <w:r>
              <w:rPr>
                <w:vertAlign w:val="superscript"/>
                <w:lang w:val="en-GB"/>
              </w:rPr>
              <w:t>b,B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 *</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bc,B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bc,C</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0.54</w:t>
            </w:r>
            <w:r>
              <w:rPr>
                <w:vertAlign w:val="subscript"/>
                <w:lang w:val="en-GB"/>
              </w:rPr>
              <w:t>0.01</w:t>
            </w:r>
            <w:r>
              <w:rPr>
                <w:vertAlign w:val="superscript"/>
                <w:lang w:val="en-GB"/>
              </w:rPr>
              <w:t>bc,B</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cd,C</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c,C</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de,B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d,C</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e,AB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d,B</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0"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1" w:type="dxa"/>
            <w:tcBorders>
              <w:top w:val="single" w:sz="8" w:space="0" w:color="000000"/>
              <w:left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e,A</w:t>
            </w:r>
          </w:p>
        </w:tc>
        <w:tc>
          <w:tcPr>
            <w:tcW w:w="1408"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65" w:type="dxa"/>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8"/>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b/>
                <w:bCs/>
                <w:color w:val="000000"/>
                <w:szCs w:val="24"/>
                <w:lang w:val="en-GB"/>
              </w:rPr>
              <w:t xml:space="preserve">                </w:t>
            </w:r>
            <w:r>
              <w:rPr>
                <w:b/>
                <w:bCs/>
                <w:color w:val="000000"/>
                <w:szCs w:val="24"/>
                <w:lang w:val="en-GB"/>
              </w:rPr>
              <w:t>Cows</w:t>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65" w:type="dxa"/>
            <w:tcBorders>
              <w:top w:val="single" w:sz="2" w:space="0" w:color="000000"/>
              <w:bottom w:val="single" w:sz="2" w:space="0" w:color="000000"/>
              <w:insideH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b,A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0.02</w:t>
            </w:r>
            <w:r>
              <w:rPr>
                <w:vertAlign w:val="superscript"/>
                <w:lang w:val="en-GB"/>
              </w:rPr>
              <w:t>b,B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0.01</w:t>
            </w:r>
            <w:r>
              <w:rPr>
                <w:vertAlign w:val="superscript"/>
                <w:lang w:val="en-GB"/>
              </w:rPr>
              <w:t>b,C</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b,A *</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0.03</w:t>
            </w:r>
            <w:r>
              <w:rPr>
                <w:vertAlign w:val="superscript"/>
                <w:lang w:val="en-GB"/>
              </w:rPr>
              <w:t>bc,A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0.02</w:t>
            </w:r>
            <w:r>
              <w:rPr>
                <w:vertAlign w:val="superscript"/>
                <w:lang w:val="en-GB"/>
              </w:rPr>
              <w:t>c,B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0.01</w:t>
            </w:r>
            <w:r>
              <w:rPr>
                <w:vertAlign w:val="superscript"/>
                <w:lang w:val="en-GB"/>
              </w:rPr>
              <w:t>c,C</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0.02</w:t>
            </w:r>
            <w:r>
              <w:rPr>
                <w:vertAlign w:val="superscript"/>
                <w:lang w:val="en-GB"/>
              </w:rPr>
              <w:t>bc,A *</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0.02</w:t>
            </w:r>
            <w:r>
              <w:rPr>
                <w:vertAlign w:val="superscript"/>
                <w:lang w:val="en-GB"/>
              </w:rPr>
              <w:t>c,B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0.02</w:t>
            </w:r>
            <w:r>
              <w:rPr>
                <w:vertAlign w:val="superscript"/>
                <w:lang w:val="en-GB"/>
              </w:rPr>
              <w:t>d,C</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0.60</w:t>
            </w:r>
            <w:r>
              <w:rPr>
                <w:vertAlign w:val="subscript"/>
                <w:lang w:val="en-GB"/>
              </w:rPr>
              <w:t>0.02</w:t>
            </w:r>
            <w:r>
              <w:rPr>
                <w:vertAlign w:val="superscript"/>
                <w:lang w:val="en-GB"/>
              </w:rPr>
              <w:t>c,A *</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0.01</w:t>
            </w:r>
            <w:r>
              <w:rPr>
                <w:vertAlign w:val="superscript"/>
                <w:lang w:val="en-GB"/>
              </w:rPr>
              <w:t>d,B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0.02</w:t>
            </w:r>
            <w:r>
              <w:rPr>
                <w:vertAlign w:val="superscript"/>
                <w:lang w:val="en-GB"/>
              </w:rPr>
              <w:t>d,C</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0.02</w:t>
            </w:r>
            <w:r>
              <w:rPr>
                <w:vertAlign w:val="superscript"/>
                <w:lang w:val="en-GB"/>
              </w:rPr>
              <w:t>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e,C</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0.02</w:t>
            </w:r>
            <w:r>
              <w:rPr>
                <w:vertAlign w:val="superscript"/>
                <w:lang w:val="en-GB"/>
              </w:rPr>
              <w:t>d,A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e,B</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0.02</w:t>
            </w:r>
            <w:r>
              <w:rPr>
                <w:vertAlign w:val="superscript"/>
                <w:lang w:val="en-GB"/>
              </w:rPr>
              <w:t>e,B</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d,B</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0.01</w:t>
            </w:r>
            <w:r>
              <w:rPr>
                <w:vertAlign w:val="superscript"/>
                <w:lang w:val="en-GB"/>
              </w:rPr>
              <w:t>e,AB</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8"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e,A</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d,A</w:t>
            </w:r>
          </w:p>
        </w:tc>
        <w:tc>
          <w:tcPr>
            <w:tcW w:w="1400"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1401" w:type="dxa"/>
            <w:tcBorders>
              <w:top w:val="single" w:sz="8" w:space="0" w:color="000000"/>
              <w:left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8" w:type="dxa"/>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de,A</w:t>
            </w:r>
          </w:p>
        </w:tc>
        <w:tc>
          <w:tcPr>
            <w:tcW w:w="65" w:type="dxa"/>
            <w:tcBorders>
              <w:top w:val="single" w:sz="8" w:space="0" w:color="000000"/>
              <w:bottom w:val="single" w:sz="8" w:space="0" w:color="000000"/>
              <w:insideH w:val="single" w:sz="8" w:space="0" w:color="000000"/>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w:t>
      </w:r>
      <w:r>
        <w:rPr>
          <w:rFonts w:eastAsia="Wingdings"/>
          <w:color w:val="000000"/>
          <w:highlight w:val="white"/>
        </w:rPr>
        <w:t>cows</w:t>
      </w:r>
      <w:r>
        <w:rPr>
          <w:rFonts w:eastAsia="Wingdings"/>
          <w:color w:val="000000"/>
          <w:highlight w:val="white"/>
        </w:rPr>
        <w:t>).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 xml:space="preserve">phenotyped male and female candidates, and </w:t>
      </w:r>
      <w:r>
        <w:rPr/>
        <w:t>cows</w:t>
      </w:r>
      <w:r>
        <w:rPr/>
        <w:t xml:space="preserve">, but decreased accuracy for sires. We show this in Figure 2 with the accuracy for male candidates, female candidates, sires, and </w:t>
      </w:r>
      <w:r>
        <w:rPr/>
        <w:t>cows</w:t>
      </w:r>
      <w:r>
        <w:rPr/>
        <w:t xml:space="preserve">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 xml:space="preserve">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w:t>
      </w:r>
      <w:r>
        <w:rPr/>
        <w:t>cows</w:t>
      </w:r>
      <w:r>
        <w:rPr/>
        <w:t xml:space="preserve"> followed the same trends, but with higher values. We observed the highest accuracy for </w:t>
      </w:r>
      <w:r>
        <w:rPr/>
        <w:t>cows</w:t>
      </w:r>
      <w:r>
        <w:rPr/>
        <w:t xml:space="preserve">, between 0.77 and 0.79, by collecting five, two, or one phenotype record per lactation and investing the rest in genotyping. Compared to the conventional scenario, genomic scenarios increased the accuracy for </w:t>
      </w:r>
      <w:r>
        <w:rPr/>
        <w:t>cows</w:t>
      </w:r>
      <w:r>
        <w:rPr/>
        <w:t xml:space="preserve"> between 0.11 and 0.29.</w:t>
      </w:r>
    </w:p>
    <w:p>
      <w:pPr>
        <w:pStyle w:val="Normal"/>
        <w:rPr/>
      </w:pPr>
      <w:r>
        <w:rPr/>
        <w:t xml:space="preserve">Changing the relative cost of phenotyping to genotyping affected primarily the accuracy for female candidates and </w:t>
      </w:r>
      <w:r>
        <w:rPr/>
        <w:t>cows</w:t>
      </w:r>
      <w:r>
        <w:rPr/>
        <w:t xml:space="preserve">. We observed that in the majority of scenarios the accuracy increased with decreasing the relative cost of genotyping, which enabled genotyping more animals. We observed the largest difference of 0.06 for female candidates and 0.12 for </w:t>
      </w:r>
      <w:r>
        <w:rPr/>
        <w:t>cows</w:t>
      </w:r>
      <w:r>
        <w:rPr/>
        <w:t xml:space="preserve">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4"/>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3"/>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3"/>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w:t>
      </w:r>
      <w:r>
        <w:rPr/>
        <w:t>cows</w:t>
      </w:r>
      <w:r>
        <w:rPr/>
        <w:t xml:space="preserve">. We show this in Figure 3 with the accuracy without an initial </w:t>
      </w:r>
      <w:r>
        <w:rPr>
          <w:color w:val="000000"/>
        </w:rPr>
        <w:t xml:space="preserve">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w:t>
      </w:r>
      <w:r>
        <w:rPr>
          <w:color w:val="000000"/>
        </w:rPr>
        <w:t>cows</w:t>
      </w:r>
      <w:r>
        <w:rPr>
          <w:color w:val="000000"/>
        </w:rPr>
        <w:t xml:space="preserve"> between 0.56 and 0.76. For female candidates and </w:t>
      </w:r>
      <w:r>
        <w:rPr>
          <w:color w:val="000000"/>
        </w:rPr>
        <w:t>cows</w:t>
      </w:r>
      <w:r>
        <w:rPr>
          <w:color w:val="000000"/>
        </w:rPr>
        <w:t xml:space="preserve"> the accuracies followed the trends of when we had an initial training population, where increasing genotyping increased the accuracy.</w:t>
      </w:r>
    </w:p>
    <w:p>
      <w:pPr>
        <w:pStyle w:val="Normal"/>
        <w:rPr/>
      </w:pPr>
      <w:r>
        <w:rPr/>
        <w:t xml:space="preserve">As in the scenarios with an initial training population, changing the relative cost of phenotyping to genotyping affected the accuracy for female candidates and </w:t>
      </w:r>
      <w:r>
        <w:rPr/>
        <w:t>cows</w:t>
      </w:r>
      <w:r>
        <w:rPr/>
        <w:t>,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4"/>
        </w:numPr>
        <w:rPr/>
      </w:pPr>
      <w:r>
        <w:rPr/>
        <w:t>Discussion</w:t>
      </w:r>
    </w:p>
    <w:p>
      <w:pPr>
        <w:pStyle w:val="Heading1"/>
        <w:numPr>
          <w:ilvl w:val="0"/>
          <w:numId w:val="4"/>
        </w:numPr>
        <w:rPr/>
      </w:pPr>
      <w:r>
        <w:rPr/>
        <w:t>Conclusions</w:t>
      </w:r>
    </w:p>
    <w:p>
      <w:pPr>
        <w:pStyle w:val="Normal"/>
        <w:spacing w:lineRule="auto" w:line="480" w:before="0" w:after="0"/>
        <w:rPr/>
      </w:pPr>
      <w:r>
        <w:rPr>
          <w:b/>
          <w:color w:val="000000" w:themeColor="text1"/>
          <w:sz w:val="36"/>
          <w:szCs w:val="36"/>
          <w:lang w:val="en-GB"/>
        </w:rPr>
        <w:t>Declarations</w:t>
      </w:r>
    </w:p>
    <w:p>
      <w:pPr>
        <w:pStyle w:val="Normal"/>
        <w:spacing w:lineRule="auto" w:line="480" w:before="0" w:after="0"/>
        <w:rPr>
          <w:rFonts w:ascii="Times New Roman" w:hAnsi="Times New Roman"/>
          <w:color w:val="000000" w:themeColor="text1"/>
          <w:sz w:val="24"/>
          <w:szCs w:val="24"/>
          <w:lang w:val="en-GB"/>
        </w:rPr>
      </w:pPr>
      <w:r>
        <w:rPr>
          <w:color w:val="000000" w:themeColor="text1"/>
          <w:sz w:val="24"/>
          <w:szCs w:val="24"/>
          <w:lang w:val="en-GB"/>
        </w:rPr>
      </w:r>
    </w:p>
    <w:p>
      <w:pPr>
        <w:pStyle w:val="Normal"/>
        <w:spacing w:lineRule="auto" w:line="480" w:before="0" w:after="0"/>
        <w:rPr/>
      </w:pPr>
      <w:r>
        <w:rPr>
          <w:b/>
          <w:color w:val="000000" w:themeColor="text1"/>
          <w:sz w:val="24"/>
          <w:szCs w:val="24"/>
          <w:lang w:val="en-GB"/>
        </w:rPr>
        <w:t xml:space="preserve">Ethics approval and consent to participate </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Consent for publication</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Availability of data and materials</w:t>
      </w:r>
      <w:r>
        <w:rPr>
          <w:b/>
          <w:sz w:val="24"/>
          <w:szCs w:val="24"/>
        </w:rPr>
        <w:t xml:space="preserve"> </w:t>
      </w:r>
    </w:p>
    <w:p>
      <w:pPr>
        <w:pStyle w:val="Normal"/>
        <w:spacing w:lineRule="auto" w:line="480" w:before="0" w:after="0"/>
        <w:rPr/>
      </w:pPr>
      <w:r>
        <w:rPr>
          <w:b/>
          <w:color w:val="000000" w:themeColor="text1"/>
          <w:sz w:val="24"/>
          <w:szCs w:val="24"/>
          <w:lang w:val="en-GB"/>
        </w:rPr>
        <w:t>Competing interests</w:t>
      </w:r>
      <w:r>
        <w:rPr>
          <w:sz w:val="24"/>
          <w:szCs w:val="24"/>
        </w:rPr>
        <w:t xml:space="preserve"> </w:t>
      </w:r>
    </w:p>
    <w:p>
      <w:pPr>
        <w:pStyle w:val="Normal"/>
        <w:spacing w:lineRule="auto" w:line="480" w:before="0" w:after="0"/>
        <w:rPr>
          <w:b w:val="false"/>
          <w:b w:val="false"/>
          <w:bCs w:val="false"/>
        </w:rPr>
      </w:pPr>
      <w:r>
        <w:rPr>
          <w:b w:val="false"/>
          <w:bCs w:val="false"/>
          <w:sz w:val="24"/>
          <w:szCs w:val="24"/>
        </w:rPr>
        <w:t>Not applicable</w:t>
      </w:r>
    </w:p>
    <w:p>
      <w:pPr>
        <w:pStyle w:val="Normal"/>
        <w:spacing w:lineRule="auto" w:line="480" w:before="0" w:after="0"/>
        <w:rPr/>
      </w:pPr>
      <w:r>
        <w:rPr>
          <w:b/>
          <w:color w:val="000000" w:themeColor="text1"/>
          <w:sz w:val="24"/>
          <w:szCs w:val="24"/>
          <w:lang w:val="en-GB"/>
        </w:rPr>
        <w:t>Funding</w:t>
      </w:r>
    </w:p>
    <w:p>
      <w:pPr>
        <w:pStyle w:val="Normal"/>
        <w:spacing w:lineRule="auto" w:line="480" w:before="0" w:after="0"/>
        <w:rPr>
          <w:b w:val="false"/>
          <w:b w:val="false"/>
          <w:bCs w:val="false"/>
        </w:rPr>
      </w:pPr>
      <w:r>
        <w:rPr>
          <w:b w:val="false"/>
          <w:bCs w:val="false"/>
          <w:color w:val="000000" w:themeColor="text1"/>
          <w:sz w:val="24"/>
          <w:szCs w:val="24"/>
          <w:lang w:val="en-GB"/>
        </w:rPr>
        <w:t>The authors acknowledge support from the BBSRC to The Roslin Institute (BBS/E/D/30002275) and The University of Edinburgh’s Data-Driven Innovation Chancellor’s fellowship.</w:t>
      </w:r>
    </w:p>
    <w:p>
      <w:pPr>
        <w:pStyle w:val="Normal"/>
        <w:spacing w:lineRule="auto" w:line="480" w:before="0" w:after="0"/>
        <w:rPr/>
      </w:pPr>
      <w:r>
        <w:rPr>
          <w:b/>
          <w:color w:val="000000" w:themeColor="text1"/>
          <w:sz w:val="24"/>
          <w:szCs w:val="24"/>
          <w:lang w:val="en-GB"/>
        </w:rPr>
        <w:t>Authors’ contributions</w:t>
      </w:r>
    </w:p>
    <w:p>
      <w:pPr>
        <w:pStyle w:val="Normal"/>
        <w:spacing w:lineRule="auto" w:line="480" w:before="0" w:after="0"/>
        <w:rPr>
          <w:b w:val="false"/>
          <w:b w:val="false"/>
          <w:bCs w:val="false"/>
        </w:rPr>
      </w:pPr>
      <w:r>
        <w:rPr>
          <w:b w:val="false"/>
          <w:bCs w:val="false"/>
          <w:color w:val="000000" w:themeColor="text1"/>
          <w:sz w:val="24"/>
          <w:szCs w:val="24"/>
          <w:lang w:val="en-GB"/>
        </w:rPr>
        <w:t>JO designed the testing scenarios, ran the simulation, analyzed the data, wrote the papers and interpreted the results. JJ particited in designing the scenarios, troubleshooting the simulation problems, interpreting the results, and has substantially revised the manuscript. JMH participated in the design of the work, interpretation of the results, and has substantially revised the manuscript. GG has participated in designing the work, troubleshooting the problems, analysis of the data, interpretations of the results, and has substantially revised the manuscript.</w:t>
      </w:r>
    </w:p>
    <w:p>
      <w:pPr>
        <w:pStyle w:val="Normal"/>
        <w:spacing w:lineRule="auto" w:line="480" w:before="0" w:after="0"/>
        <w:rPr/>
      </w:pPr>
      <w:r>
        <w:rPr>
          <w:b/>
          <w:color w:val="000000" w:themeColor="text1"/>
          <w:sz w:val="24"/>
          <w:szCs w:val="24"/>
          <w:lang w:val="en-GB"/>
        </w:rPr>
        <w:t>Acknowledgements</w:t>
      </w:r>
    </w:p>
    <w:p>
      <w:pPr>
        <w:pStyle w:val="Normal"/>
        <w:spacing w:lineRule="auto" w:line="480" w:before="0" w:after="0"/>
        <w:rPr>
          <w:b w:val="false"/>
          <w:b w:val="false"/>
          <w:bCs w:val="false"/>
        </w:rPr>
      </w:pPr>
      <w:r>
        <w:rPr>
          <w:b w:val="false"/>
          <w:bCs w:val="false"/>
          <w:color w:val="000000" w:themeColor="text1"/>
          <w:sz w:val="24"/>
          <w:szCs w:val="24"/>
          <w:lang w:val="en-GB"/>
        </w:rPr>
        <w:t>The authors would like to thank Ivan Pocrnić from Roslin Institute, University of Edinburgh, for his help in interpreting the results and revising the manuscipt.</w:t>
      </w:r>
    </w:p>
    <w:p>
      <w:pPr>
        <w:pStyle w:val="Normal"/>
        <w:spacing w:lineRule="auto" w:line="480" w:before="0" w:after="0"/>
        <w:rPr/>
      </w:pPr>
      <w:r>
        <w:rPr>
          <w:b/>
          <w:color w:val="000000" w:themeColor="text1"/>
          <w:sz w:val="24"/>
          <w:szCs w:val="24"/>
          <w:lang w:val="en-GB"/>
        </w:rPr>
        <w:t>Author’s information</w:t>
      </w:r>
      <w:r>
        <w:rPr>
          <w:color w:val="000000" w:themeColor="text1"/>
          <w:sz w:val="24"/>
          <w:szCs w:val="24"/>
          <w:lang w:val="en-GB"/>
        </w:rPr>
        <w:t xml:space="preserve"> (optional)</w:t>
      </w:r>
    </w:p>
    <w:p>
      <w:pPr>
        <w:pStyle w:val="Normal"/>
        <w:spacing w:lineRule="auto" w:line="480" w:before="0" w:after="0"/>
        <w:rPr/>
      </w:pPr>
      <w:r>
        <w:rPr>
          <w:color w:val="000000" w:themeColor="text1"/>
          <w:sz w:val="24"/>
          <w:szCs w:val="24"/>
          <w:lang w:val="en-GB"/>
        </w:rPr>
        <w:t>Not applicable.</w:t>
      </w:r>
    </w:p>
    <w:p>
      <w:pPr>
        <w:pStyle w:val="Heading3"/>
        <w:numPr>
          <w:ilvl w:val="2"/>
          <w:numId w:val="2"/>
        </w:numPr>
        <w:spacing w:lineRule="auto" w:line="480" w:before="0" w:after="200"/>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r>
    </w:p>
    <w:p>
      <w:pPr>
        <w:pStyle w:val="Heading1"/>
        <w:numPr>
          <w:ilvl w:val="0"/>
          <w:numId w:val="4"/>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5"/>
        </w:numPr>
        <w:rPr/>
      </w:pPr>
      <w:r>
        <w:rPr/>
        <w:t>Article within a journal</w:t>
      </w:r>
    </w:p>
    <w:p>
      <w:pPr>
        <w:pStyle w:val="Normal"/>
        <w:rPr/>
      </w:pPr>
      <w:r>
        <w:rPr/>
        <w:t>Smith JJ. The world of science. Am J Sci. 1999;36:234-5.</w:t>
      </w:r>
    </w:p>
    <w:p>
      <w:pPr>
        <w:pStyle w:val="ListParagraph"/>
        <w:numPr>
          <w:ilvl w:val="0"/>
          <w:numId w:val="5"/>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5"/>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5"/>
        </w:numPr>
        <w:ind w:left="1505" w:right="0" w:hanging="360"/>
        <w:rPr/>
      </w:pPr>
      <w:r>
        <w:rPr/>
      </w:r>
    </w:p>
    <w:p>
      <w:pPr>
        <w:pStyle w:val="ListParagraph"/>
        <w:numPr>
          <w:ilvl w:val="0"/>
          <w:numId w:val="5"/>
        </w:numPr>
        <w:ind w:left="1505" w:right="0"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5"/>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5"/>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5"/>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5"/>
        </w:numPr>
        <w:rPr/>
      </w:pPr>
      <w:r>
        <w:rPr/>
        <w:t>Software</w:t>
      </w:r>
    </w:p>
    <w:p>
      <w:pPr>
        <w:pStyle w:val="Normal"/>
        <w:rPr/>
      </w:pPr>
      <w:r>
        <w:rPr/>
        <w:t>R: a language and environment for statistical computing. R Foundation for Statistical Computing, Vienna; 2012. OpenURL</w:t>
      </w:r>
    </w:p>
    <w:p>
      <w:pPr>
        <w:pStyle w:val="ListParagraph"/>
        <w:numPr>
          <w:ilvl w:val="0"/>
          <w:numId w:val="5"/>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5"/>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5"/>
        </w:numPr>
        <w:rPr/>
      </w:pPr>
      <w:r>
        <w:rPr/>
        <w:t>FAO paper report</w:t>
      </w:r>
    </w:p>
    <w:p>
      <w:pPr>
        <w:pStyle w:val="Normal"/>
        <w:rPr/>
      </w:pPr>
      <w:r>
        <w:rPr/>
        <w:t>Koziner AB, Shtakelberg ER. Animal genetic resources of the USSR. Rome: FAO and UNEP; 1989.</w:t>
      </w:r>
    </w:p>
    <w:p>
      <w:pPr>
        <w:pStyle w:val="ListParagraph"/>
        <w:numPr>
          <w:ilvl w:val="0"/>
          <w:numId w:val="5"/>
        </w:numPr>
        <w:rPr/>
      </w:pPr>
      <w:r>
        <w:rPr/>
        <w:t>Institutional document</w:t>
      </w:r>
    </w:p>
    <w:p>
      <w:pPr>
        <w:pStyle w:val="Normal"/>
        <w:rPr/>
      </w:pPr>
      <w:r>
        <w:rPr/>
        <w:t>Iversen A, Hermansen Ø. Cost development in farming of Norwegian Salmon. Tromso: Nofima Report; 2017. p. 46.</w:t>
      </w:r>
    </w:p>
    <w:p>
      <w:pPr>
        <w:pStyle w:val="Heading1"/>
        <w:numPr>
          <w:ilvl w:val="0"/>
          <w:numId w:val="4"/>
        </w:numPr>
        <w:rPr/>
      </w:pPr>
      <w:r>
        <w:rPr/>
        <w:t>Figures</w:t>
      </w:r>
      <w:del w:id="0"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4"/>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1842"/>
        <w:gridCol w:w="1837"/>
        <w:gridCol w:w="1848"/>
        <w:gridCol w:w="1837"/>
        <w:gridCol w:w="1848"/>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7"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7"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4"/>
        </w:numPr>
        <w:suppressAutoHyphens w:val="false"/>
        <w:rPr/>
      </w:pPr>
      <w:r>
        <w:rPr/>
      </w:r>
    </w:p>
    <w:p>
      <w:pPr>
        <w:pStyle w:val="Heading1"/>
        <w:numPr>
          <w:ilvl w:val="0"/>
          <w:numId w:val="4"/>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5" w:type="dxa"/>
          <w:bottom w:w="55" w:type="dxa"/>
          <w:right w:w="55" w:type="dxa"/>
        </w:tblCellMar>
      </w:tblPr>
      <w:tblGrid>
        <w:gridCol w:w="1032"/>
        <w:gridCol w:w="1179"/>
        <w:gridCol w:w="1589"/>
        <w:gridCol w:w="1639"/>
        <w:gridCol w:w="1634"/>
        <w:gridCol w:w="1001"/>
        <w:gridCol w:w="1570"/>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defaultTabStop w:val="864"/>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character" w:styleId="ListLabel476">
    <w:name w:val="ListLabel 476"/>
    <w:qFormat/>
    <w:rPr>
      <w:rFonts w:cs="Times New Roman"/>
      <w:i w:val="false"/>
      <w:iCs w:val="false"/>
      <w:sz w:val="24"/>
    </w:rPr>
  </w:style>
  <w:style w:type="character" w:styleId="ListLabel477">
    <w:name w:val="ListLabel 477"/>
    <w:qFormat/>
    <w:rPr>
      <w:rFonts w:ascii="Times New Roman" w:hAnsi="Times New Roman" w:cs="Times New Roman"/>
    </w:rPr>
  </w:style>
  <w:style w:type="character" w:styleId="ListLabel478">
    <w:name w:val="ListLabel 478"/>
    <w:qFormat/>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tru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spacing w:lineRule="atLeast" w:line="240" w:before="0" w:after="0"/>
      <w:ind w:left="720" w:right="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2036</TotalTime>
  <Application>LibreOffice/6.0.7.3$Linux_X86_64 LibreOffice_project/00m0$Build-3</Application>
  <Pages>37</Pages>
  <Words>7256</Words>
  <Characters>41633</Characters>
  <CharactersWithSpaces>48301</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2020-06-11T16:31:42Z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